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TU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Press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2023.02.09.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TU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Press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2023.02.09.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5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12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CFA - fúrt cölöp, 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530/700 mm, 800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2023.02.09.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126.40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113.92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125.40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115.93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1084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2023.02.09.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TU</w:t>
      </w:r>
      <w:r>
        <w:t xml:space="preserve">” –</w:t>
      </w:r>
      <w:r w:rsidR="00AA63C7">
        <w:t xml:space="preserve"> Press Shop </w:t>
      </w:r>
      <w:r>
        <w:t>cölöp adatok (mérve:</w:t>
      </w:r>
      <w:r w:rsidR="00AA63C7">
        <w:t xml:space="preserve">2023.02.09.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9.42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18.71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