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51EF" w:rsidRDefault="00CE1249" w:rsidP="00CE1249">
      <w:pPr>
        <w:spacing w:line="331" w:lineRule="auto"/>
        <w:jc w:val="center"/>
      </w:pPr>
      <w:bookmarkStart w:id="0" w:name="_GoBack"/>
      <w:r>
        <w:rPr>
          <w:b/>
          <w:sz w:val="36"/>
          <w:szCs w:val="36"/>
        </w:rPr>
        <w:t>Postmortem Checklist</w:t>
      </w:r>
    </w:p>
    <w:tbl>
      <w:tblPr>
        <w:tblStyle w:val="a"/>
        <w:tblW w:w="10230" w:type="dxa"/>
        <w:tblInd w:w="-39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599"/>
        <w:gridCol w:w="3121"/>
        <w:gridCol w:w="3510"/>
      </w:tblGrid>
      <w:tr w:rsidR="00C751EF">
        <w:tc>
          <w:tcPr>
            <w:tcW w:w="3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90" w:type="dxa"/>
            </w:tcMar>
          </w:tcPr>
          <w:bookmarkEnd w:id="0"/>
          <w:p w:rsidR="00C751EF" w:rsidRDefault="00CE1249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Incident Data Collection</w:t>
            </w:r>
          </w:p>
        </w:tc>
        <w:tc>
          <w:tcPr>
            <w:tcW w:w="3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90" w:type="dxa"/>
            </w:tcMar>
          </w:tcPr>
          <w:p w:rsidR="00C751EF" w:rsidRDefault="00CE1249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Root Cause Analysis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90" w:type="dxa"/>
            </w:tcMar>
          </w:tcPr>
          <w:p w:rsidR="00C751EF" w:rsidRDefault="00CE1249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Lessons Learned &amp; Action Item Design</w:t>
            </w:r>
          </w:p>
        </w:tc>
      </w:tr>
      <w:tr w:rsidR="00C751EF">
        <w:trPr>
          <w:trHeight w:val="3180"/>
        </w:trPr>
        <w:tc>
          <w:tcPr>
            <w:tcW w:w="3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Describe high level impact in executive summary</w:t>
            </w:r>
          </w:p>
          <w:p w:rsidR="00C751EF" w:rsidRDefault="00CE1249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Clarify impact:</w:t>
            </w:r>
          </w:p>
          <w:p w:rsidR="00C751EF" w:rsidRDefault="00CE1249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❐ Users affected</w:t>
            </w:r>
          </w:p>
          <w:p w:rsidR="00C751EF" w:rsidRDefault="00CE1249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❐ Regions affected</w:t>
            </w:r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❐ Customers affected </w:t>
            </w:r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Classify severity categories</w:t>
            </w:r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Complete the incident timeline fields for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MTTx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measures</w:t>
            </w:r>
          </w:p>
        </w:tc>
        <w:tc>
          <w:tcPr>
            <w:tcW w:w="3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Sufficiently detail all contributing root causes </w:t>
            </w:r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Use 5-why's or other root cause technique to ensure sufficient depth</w:t>
            </w:r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Identify the trigger</w:t>
            </w:r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Decide which root cause categories are indicated 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Explore what went well, what didn't work, and how we got lucky</w:t>
            </w:r>
          </w:p>
          <w:p w:rsidR="00C751EF" w:rsidRDefault="00CE1249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Use lessons to derive action items</w:t>
            </w:r>
          </w:p>
          <w:p w:rsidR="00C751EF" w:rsidRDefault="00C751EF">
            <w:pPr>
              <w:spacing w:line="240" w:lineRule="auto"/>
            </w:pPr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Make sure every action item has an associated item in the tracking system</w:t>
            </w:r>
          </w:p>
          <w:p w:rsidR="00C751EF" w:rsidRDefault="00CE1249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Make sure you cover 2 m</w:t>
            </w:r>
            <w:r>
              <w:rPr>
                <w:rFonts w:ascii="Arial Unicode MS" w:eastAsia="Arial Unicode MS" w:hAnsi="Arial Unicode MS" w:cs="Arial Unicode MS"/>
              </w:rPr>
              <w:t>ost critical types: Mitigate &amp; Prevent</w:t>
            </w:r>
          </w:p>
        </w:tc>
      </w:tr>
    </w:tbl>
    <w:p w:rsidR="00C751EF" w:rsidRDefault="00C751EF">
      <w:pPr>
        <w:rPr>
          <w:sz w:val="18"/>
          <w:szCs w:val="18"/>
        </w:rPr>
      </w:pPr>
    </w:p>
    <w:tbl>
      <w:tblPr>
        <w:tblStyle w:val="a0"/>
        <w:tblW w:w="9870" w:type="dxa"/>
        <w:tblInd w:w="-4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870"/>
      </w:tblGrid>
      <w:tr w:rsidR="00C751EF">
        <w:tc>
          <w:tcPr>
            <w:tcW w:w="9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90" w:type="dxa"/>
            </w:tcMar>
          </w:tcPr>
          <w:p w:rsidR="00C751EF" w:rsidRDefault="00CE1249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Action Item Checklist</w:t>
            </w:r>
          </w:p>
        </w:tc>
      </w:tr>
      <w:tr w:rsidR="00C751EF">
        <w:tc>
          <w:tcPr>
            <w:tcW w:w="9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Are the action items realistic and vetted with product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owners?</w:t>
            </w:r>
            <w:proofErr w:type="gramEnd"/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considered ways to improve both prevention </w:t>
            </w:r>
            <w:r>
              <w:rPr>
                <w:i/>
              </w:rPr>
              <w:t>and</w:t>
            </w:r>
            <w:r>
              <w:t xml:space="preserve"> resolution </w:t>
            </w:r>
            <w:proofErr w:type="gramStart"/>
            <w:r>
              <w:t>time?</w:t>
            </w:r>
            <w:proofErr w:type="gramEnd"/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considered similar or "rhyming" incidents and their corresponding action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plans?</w:t>
            </w:r>
            <w:proofErr w:type="gramEnd"/>
          </w:p>
          <w:p w:rsidR="00C751EF" w:rsidRDefault="00CE1249">
            <w:pPr>
              <w:spacing w:after="200"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considered how to automate ways to prevent humans from making mistakes?</w:t>
            </w:r>
            <w:proofErr w:type="gramEnd"/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Does your postmortem have at least one Critical Priority or High Priority action</w:t>
            </w:r>
            <w:r>
              <w:rPr>
                <w:rFonts w:ascii="Arial Unicode MS" w:eastAsia="Arial Unicode MS" w:hAnsi="Arial Unicode MS" w:cs="Arial Unicode MS"/>
              </w:rPr>
              <w:t xml:space="preserve"> item? If not,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is the risk of recurrence accepted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by stakeholders?</w:t>
            </w:r>
          </w:p>
          <w:p w:rsidR="00C751EF" w:rsidRDefault="00CE1249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negotiated the execution of action items with the responsible group(s)? </w:t>
            </w:r>
          </w:p>
        </w:tc>
      </w:tr>
    </w:tbl>
    <w:p w:rsidR="00C751EF" w:rsidRDefault="00C751EF">
      <w:pPr>
        <w:spacing w:line="331" w:lineRule="auto"/>
        <w:rPr>
          <w:sz w:val="18"/>
          <w:szCs w:val="18"/>
        </w:rPr>
      </w:pPr>
    </w:p>
    <w:tbl>
      <w:tblPr>
        <w:tblStyle w:val="a1"/>
        <w:tblW w:w="9780" w:type="dxa"/>
        <w:tblInd w:w="-3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780"/>
      </w:tblGrid>
      <w:tr w:rsidR="00C751EF">
        <w:tc>
          <w:tcPr>
            <w:tcW w:w="9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90" w:type="dxa"/>
            </w:tcMar>
          </w:tcPr>
          <w:p w:rsidR="00C751EF" w:rsidRDefault="00CE1249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Review/Approval/Socialization </w:t>
            </w:r>
          </w:p>
        </w:tc>
      </w:tr>
      <w:tr w:rsidR="00C751EF">
        <w:tc>
          <w:tcPr>
            <w:tcW w:w="9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Has your postmortem been reviewed/approved per your team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policy?</w:t>
            </w:r>
            <w:proofErr w:type="gramEnd"/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Has any blameful language been removed/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modified?</w:t>
            </w:r>
            <w:proofErr w:type="gramEnd"/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shared your postmortem with the original incident stakeholders?</w:t>
            </w:r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Have you shared your postmortem with your team?</w:t>
            </w:r>
          </w:p>
          <w:p w:rsidR="00C751EF" w:rsidRDefault="00CE1249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Is the postmortem available from your dashboards and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tools?</w:t>
            </w:r>
            <w:proofErr w:type="gramEnd"/>
          </w:p>
          <w:p w:rsidR="00C751EF" w:rsidRDefault="00CE1249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❐</w:t>
            </w:r>
            <w:r>
              <w:rPr>
                <w:rFonts w:ascii="Arial Unicode MS" w:eastAsia="Arial Unicode MS" w:hAnsi="Arial Unicode MS" w:cs="Arial Unicode MS"/>
              </w:rPr>
              <w:t xml:space="preserve"> Is your postmort</w:t>
            </w:r>
            <w:r>
              <w:rPr>
                <w:rFonts w:ascii="Arial Unicode MS" w:eastAsia="Arial Unicode MS" w:hAnsi="Arial Unicode MS" w:cs="Arial Unicode MS"/>
              </w:rPr>
              <w:t>em blameless and focused on system improvements?</w:t>
            </w:r>
          </w:p>
        </w:tc>
      </w:tr>
    </w:tbl>
    <w:p w:rsidR="00C751EF" w:rsidRDefault="00CE1249">
      <w:pPr>
        <w:keepNext/>
        <w:widowControl/>
        <w:spacing w:before="60"/>
        <w:rPr>
          <w:b/>
          <w:sz w:val="18"/>
          <w:szCs w:val="18"/>
        </w:rPr>
      </w:pPr>
      <w:r>
        <w:rPr>
          <w:b/>
          <w:sz w:val="18"/>
          <w:szCs w:val="18"/>
        </w:rPr>
        <w:t>Glossary:</w:t>
      </w:r>
    </w:p>
    <w:p w:rsidR="00C751EF" w:rsidRDefault="00CE1249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>Severity categories: Severity categories to assist in analyzing incidents</w:t>
      </w:r>
    </w:p>
    <w:p w:rsidR="00C751EF" w:rsidRDefault="00CE1249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 xml:space="preserve">5-whys: </w:t>
      </w:r>
      <w:hyperlink r:id="rId5">
        <w:r>
          <w:rPr>
            <w:color w:val="1155CC"/>
            <w:sz w:val="18"/>
            <w:szCs w:val="18"/>
            <w:u w:val="single"/>
          </w:rPr>
          <w:t>https://en.wikipedia.org/wiki/5_Whys</w:t>
        </w:r>
      </w:hyperlink>
    </w:p>
    <w:p w:rsidR="00C751EF" w:rsidRDefault="00CE1249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>Trigger: The point in the timeline at which the incident impacts production</w:t>
      </w:r>
    </w:p>
    <w:p w:rsidR="00C751EF" w:rsidRDefault="00CE1249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>Rhyming incidents: incidents that are similar in nature but may not be exact repeats of each other</w:t>
      </w:r>
    </w:p>
    <w:p w:rsidR="00C751EF" w:rsidRDefault="00CE1249">
      <w:pPr>
        <w:keepNext/>
        <w:widowControl/>
        <w:numPr>
          <w:ilvl w:val="0"/>
          <w:numId w:val="1"/>
        </w:numPr>
      </w:pPr>
      <w:r>
        <w:rPr>
          <w:sz w:val="18"/>
          <w:szCs w:val="18"/>
        </w:rPr>
        <w:t xml:space="preserve">Executive Summary: Used for </w:t>
      </w:r>
      <w:proofErr w:type="gramStart"/>
      <w:r>
        <w:rPr>
          <w:sz w:val="18"/>
          <w:szCs w:val="18"/>
        </w:rPr>
        <w:t>high level</w:t>
      </w:r>
      <w:proofErr w:type="gramEnd"/>
      <w:r>
        <w:rPr>
          <w:sz w:val="18"/>
          <w:szCs w:val="18"/>
        </w:rPr>
        <w:t xml:space="preserve"> reports, i.e. for those with shallow produ</w:t>
      </w:r>
      <w:r>
        <w:rPr>
          <w:sz w:val="18"/>
          <w:szCs w:val="18"/>
        </w:rPr>
        <w:t>ction knowledge.</w:t>
      </w:r>
    </w:p>
    <w:p w:rsidR="00C751EF" w:rsidRDefault="00CE1249">
      <w:pPr>
        <w:keepNext/>
        <w:widowControl/>
        <w:numPr>
          <w:ilvl w:val="0"/>
          <w:numId w:val="1"/>
        </w:numPr>
      </w:pPr>
      <w:proofErr w:type="spellStart"/>
      <w:r>
        <w:rPr>
          <w:sz w:val="18"/>
          <w:szCs w:val="18"/>
        </w:rPr>
        <w:t>MTTx</w:t>
      </w:r>
      <w:proofErr w:type="spellEnd"/>
      <w:r>
        <w:rPr>
          <w:sz w:val="18"/>
          <w:szCs w:val="18"/>
        </w:rPr>
        <w:t>: Mean Time to x (x=(</w:t>
      </w:r>
      <w:proofErr w:type="spellStart"/>
      <w:r>
        <w:rPr>
          <w:sz w:val="18"/>
          <w:szCs w:val="18"/>
        </w:rPr>
        <w:t>detection|escalation|mitigation|resolution</w:t>
      </w:r>
      <w:proofErr w:type="spellEnd"/>
      <w:r>
        <w:rPr>
          <w:sz w:val="18"/>
          <w:szCs w:val="18"/>
        </w:rPr>
        <w:t>)</w:t>
      </w:r>
    </w:p>
    <w:sectPr w:rsidR="00C751EF">
      <w:pgSz w:w="12240" w:h="15840"/>
      <w:pgMar w:top="720" w:right="1440" w:bottom="72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BA6"/>
    <w:multiLevelType w:val="multilevel"/>
    <w:tmpl w:val="14C8C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EF"/>
    <w:rsid w:val="00C751EF"/>
    <w:rsid w:val="00C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C4A0B-28A5-4614-9AF2-92D455DF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line="240" w:lineRule="auto"/>
      <w:outlineLvl w:val="0"/>
    </w:pPr>
    <w:rPr>
      <w:rFonts w:ascii="Trebuchet MS" w:eastAsia="Trebuchet MS" w:hAnsi="Trebuchet MS" w:cs="Trebuchet MS"/>
      <w:color w:val="1C4587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180" w:line="240" w:lineRule="auto"/>
      <w:outlineLvl w:val="1"/>
    </w:pPr>
    <w:rPr>
      <w:rFonts w:ascii="Open Sans" w:eastAsia="Open Sans" w:hAnsi="Open Sans" w:cs="Open Sans"/>
      <w:color w:val="1060B6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outlineLvl w:val="2"/>
    </w:pPr>
    <w:rPr>
      <w:rFonts w:ascii="Open Sans" w:eastAsia="Open Sans" w:hAnsi="Open Sans" w:cs="Open Sans"/>
      <w:color w:val="1060B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</w:pPr>
    <w:rPr>
      <w:rFonts w:ascii="Trebuchet MS" w:eastAsia="Trebuchet MS" w:hAnsi="Trebuchet MS" w:cs="Trebuchet MS"/>
      <w:color w:val="1C4587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5_Why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FDCC2B511A24AA1D6BA2194B4DF3E" ma:contentTypeVersion="2" ma:contentTypeDescription="Create a new document." ma:contentTypeScope="" ma:versionID="c40d42fd4e6c668326530c07179c4095">
  <xsd:schema xmlns:xsd="http://www.w3.org/2001/XMLSchema" xmlns:xs="http://www.w3.org/2001/XMLSchema" xmlns:p="http://schemas.microsoft.com/office/2006/metadata/properties" xmlns:ns2="7ffb8b7a-70b1-4b43-8c0f-cdd43cf0ccc9" targetNamespace="http://schemas.microsoft.com/office/2006/metadata/properties" ma:root="true" ma:fieldsID="7072dd43f5f91208602a6200ca6e1456" ns2:_="">
    <xsd:import namespace="7ffb8b7a-70b1-4b43-8c0f-cdd43cf0cc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b8b7a-70b1-4b43-8c0f-cdd43cf0c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25BF51-9829-4CA5-99EC-7B56F89A9A20}"/>
</file>

<file path=customXml/itemProps2.xml><?xml version="1.0" encoding="utf-8"?>
<ds:datastoreItem xmlns:ds="http://schemas.openxmlformats.org/officeDocument/2006/customXml" ds:itemID="{D3EC586C-1286-47A5-8414-204F37A40B12}"/>
</file>

<file path=customXml/itemProps3.xml><?xml version="1.0" encoding="utf-8"?>
<ds:datastoreItem xmlns:ds="http://schemas.openxmlformats.org/officeDocument/2006/customXml" ds:itemID="{869B0B4A-9818-4C17-9254-484ECFDBAB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1936</Characters>
  <Application>Microsoft Office Word</Application>
  <DocSecurity>0</DocSecurity>
  <Lines>16</Lines>
  <Paragraphs>4</Paragraphs>
  <ScaleCrop>false</ScaleCrop>
  <Company>LexisNexis Risk Solutions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Bagby, Russell (RIS-ATL)</cp:lastModifiedBy>
  <cp:revision>2</cp:revision>
  <dcterms:created xsi:type="dcterms:W3CDTF">2020-11-06T15:31:00Z</dcterms:created>
  <dcterms:modified xsi:type="dcterms:W3CDTF">2020-11-06T15:32:00Z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0x010100547FDCC2B511A24AA1D6BA2194B4DF3E</vt:lpwstr>
  </property>
</Properties>
</file>