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66A" w:rsidRPr="00D7166A" w:rsidRDefault="00D7166A" w:rsidP="00D71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93E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WHO Diabetes Burden Analysis (1990–2022)</w:t>
      </w:r>
    </w:p>
    <w:p w:rsidR="00D7166A" w:rsidRPr="00D7166A" w:rsidRDefault="00D7166A" w:rsidP="00D7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6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  <w:bookmarkStart w:id="0" w:name="_GoBack"/>
      <w:bookmarkEnd w:id="0"/>
    </w:p>
    <w:p w:rsidR="00D7166A" w:rsidRPr="00D7166A" w:rsidRDefault="00D7166A" w:rsidP="00D7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This project explores the </w:t>
      </w: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evolution of diabetes prevalence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between 1990 and 2022 across </w:t>
      </w: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Arab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European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countries using data from the </w:t>
      </w: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WHO Global Health Observatory (GHO)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66A" w:rsidRPr="00D7166A" w:rsidRDefault="00D7166A" w:rsidP="00D7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The analysis investigates not only the numerical differences but also </w:t>
      </w: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what these differences represent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— questioning whether higher prevalence in the Arab region truly indicates a worse health burden, or perhaps, </w:t>
      </w: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stronger diagnostic and reporting systems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66A" w:rsidRPr="00D7166A" w:rsidRDefault="00D7166A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66A" w:rsidRPr="00D7166A" w:rsidRDefault="00D7166A" w:rsidP="00D7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66A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/ Public Health Problem</w:t>
      </w:r>
    </w:p>
    <w:p w:rsidR="00D7166A" w:rsidRPr="00D7166A" w:rsidRDefault="00D7166A" w:rsidP="00D71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Main question</w:t>
      </w:r>
      <w:proofErr w:type="gramStart"/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7166A">
        <w:rPr>
          <w:rFonts w:ascii="Times New Roman" w:eastAsia="Times New Roman" w:hAnsi="Times New Roman" w:cs="Times New Roman"/>
          <w:sz w:val="24"/>
          <w:szCs w:val="24"/>
        </w:rPr>
        <w:br/>
        <w:t>How do diabetes prevalence trends differ between Arab and European regions, and what can these patterns reveal about healthcare data quality and detection systems?</w:t>
      </w:r>
    </w:p>
    <w:p w:rsidR="00D7166A" w:rsidRPr="00D7166A" w:rsidRDefault="00D7166A" w:rsidP="00D7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matters</w:t>
      </w:r>
      <w:proofErr w:type="gramStart"/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7166A">
        <w:rPr>
          <w:rFonts w:ascii="Times New Roman" w:eastAsia="Times New Roman" w:hAnsi="Times New Roman" w:cs="Times New Roman"/>
          <w:sz w:val="24"/>
          <w:szCs w:val="24"/>
        </w:rPr>
        <w:br/>
        <w:t>Diabetes is one of the leading non-communicable diseases worldwide.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br/>
        <w:t>Regional disparities in reported prevalence affect:</w:t>
      </w:r>
    </w:p>
    <w:p w:rsidR="00D7166A" w:rsidRPr="00D7166A" w:rsidRDefault="00D7166A" w:rsidP="00D7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>Policy prioritization</w:t>
      </w:r>
    </w:p>
    <w:p w:rsidR="00D7166A" w:rsidRPr="00D7166A" w:rsidRDefault="00D7166A" w:rsidP="00D7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>Funding allocation</w:t>
      </w:r>
    </w:p>
    <w:p w:rsidR="00D7166A" w:rsidRPr="00D7166A" w:rsidRDefault="00D7166A" w:rsidP="00D71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>Health system benchmarking</w:t>
      </w:r>
    </w:p>
    <w:p w:rsidR="00D7166A" w:rsidRPr="00D7166A" w:rsidRDefault="00D7166A" w:rsidP="00D7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Understanding whether “high numbers” mean </w:t>
      </w:r>
      <w:r w:rsidRPr="00D7166A">
        <w:rPr>
          <w:rFonts w:ascii="Times New Roman" w:eastAsia="Times New Roman" w:hAnsi="Times New Roman" w:cs="Times New Roman"/>
          <w:i/>
          <w:iCs/>
          <w:sz w:val="24"/>
          <w:szCs w:val="24"/>
        </w:rPr>
        <w:t>high risk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7166A">
        <w:rPr>
          <w:rFonts w:ascii="Times New Roman" w:eastAsia="Times New Roman" w:hAnsi="Times New Roman" w:cs="Times New Roman"/>
          <w:i/>
          <w:iCs/>
          <w:sz w:val="24"/>
          <w:szCs w:val="24"/>
        </w:rPr>
        <w:t>high vigilance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is critical for </w:t>
      </w: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accurate global health planning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166A" w:rsidRDefault="00D7166A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21E" w:rsidRPr="008C421E" w:rsidRDefault="008C421E" w:rsidP="008C421E">
      <w:pPr>
        <w:pStyle w:val="Heading3"/>
        <w:shd w:val="clear" w:color="auto" w:fill="FFFFFF"/>
        <w:spacing w:before="360" w:after="240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8C421E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📊</w:t>
      </w:r>
      <w:r w:rsidRPr="008C421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Key Statistics:</w:t>
      </w:r>
    </w:p>
    <w:p w:rsidR="008C421E" w:rsidRDefault="008C421E" w:rsidP="008C421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15.03% Gap</w:t>
      </w:r>
      <w:r>
        <w:rPr>
          <w:rFonts w:ascii="Segoe UI" w:hAnsi="Segoe UI" w:cs="Segoe UI"/>
          <w:color w:val="1F2328"/>
        </w:rPr>
        <w:t>: Arab (20.98%) vs Europe (5.95%)</w:t>
      </w:r>
    </w:p>
    <w:p w:rsidR="008C421E" w:rsidRDefault="008C421E" w:rsidP="008C421E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33 Years</w:t>
      </w:r>
      <w:r>
        <w:rPr>
          <w:rFonts w:ascii="Segoe UI" w:hAnsi="Segoe UI" w:cs="Segoe UI"/>
          <w:color w:val="1F2328"/>
        </w:rPr>
        <w:t>: Complete data from 1990-2022</w:t>
      </w:r>
    </w:p>
    <w:p w:rsidR="008C421E" w:rsidRDefault="008C421E" w:rsidP="008C421E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41,580 Records</w:t>
      </w:r>
      <w:r>
        <w:rPr>
          <w:rFonts w:ascii="Segoe UI" w:hAnsi="Segoe UI" w:cs="Segoe UI"/>
          <w:color w:val="1F2328"/>
        </w:rPr>
        <w:t>: From WHO Global Health Observatory</w:t>
      </w:r>
    </w:p>
    <w:p w:rsidR="00393E1C" w:rsidRPr="008C421E" w:rsidRDefault="008C421E" w:rsidP="008C421E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12 Arab vs 15 European</w:t>
      </w:r>
      <w:r>
        <w:rPr>
          <w:rFonts w:ascii="Segoe UI" w:hAnsi="Segoe UI" w:cs="Segoe UI"/>
          <w:color w:val="1F2328"/>
        </w:rPr>
        <w:t> countries analyzed</w:t>
      </w:r>
    </w:p>
    <w:p w:rsidR="00393E1C" w:rsidRDefault="00393E1C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E1C" w:rsidRDefault="00393E1C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421E" w:rsidRDefault="008C421E" w:rsidP="008C421E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 Symbol" w:hAnsi="Segoe UI Symbol" w:cs="Segoe UI Symbol"/>
          <w:color w:val="1F2328"/>
          <w:sz w:val="30"/>
          <w:szCs w:val="30"/>
        </w:rPr>
        <w:lastRenderedPageBreak/>
        <w:t>🔧</w:t>
      </w:r>
      <w:r>
        <w:rPr>
          <w:rFonts w:ascii="Segoe UI" w:hAnsi="Segoe UI" w:cs="Segoe UI"/>
          <w:color w:val="1F2328"/>
          <w:sz w:val="30"/>
          <w:szCs w:val="30"/>
        </w:rPr>
        <w:t xml:space="preserve"> Technical Implementation:</w:t>
      </w:r>
    </w:p>
    <w:p w:rsidR="008C421E" w:rsidRDefault="008C421E" w:rsidP="008C421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Tools</w:t>
      </w:r>
      <w:r>
        <w:rPr>
          <w:rFonts w:ascii="Segoe UI" w:hAnsi="Segoe UI" w:cs="Segoe UI"/>
          <w:color w:val="1F2328"/>
        </w:rPr>
        <w:t xml:space="preserve">: Python, Pandas, </w:t>
      </w:r>
      <w:proofErr w:type="spellStart"/>
      <w:r>
        <w:rPr>
          <w:rFonts w:ascii="Segoe UI" w:hAnsi="Segoe UI" w:cs="Segoe UI"/>
          <w:color w:val="1F2328"/>
        </w:rPr>
        <w:t>Scipy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Matplotlib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Seaborn</w:t>
      </w:r>
      <w:proofErr w:type="spellEnd"/>
    </w:p>
    <w:p w:rsidR="008C421E" w:rsidRDefault="008C421E" w:rsidP="008C421E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Methods</w:t>
      </w:r>
      <w:r>
        <w:rPr>
          <w:rFonts w:ascii="Segoe UI" w:hAnsi="Segoe UI" w:cs="Segoe UI"/>
          <w:color w:val="1F2328"/>
        </w:rPr>
        <w:t>: Statistical testing, Time-series analysis, Data validation</w:t>
      </w:r>
    </w:p>
    <w:p w:rsidR="008C421E" w:rsidRDefault="008C421E" w:rsidP="008C421E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Output</w:t>
      </w:r>
      <w:r>
        <w:rPr>
          <w:rFonts w:ascii="Segoe UI" w:hAnsi="Segoe UI" w:cs="Segoe UI"/>
          <w:color w:val="1F2328"/>
        </w:rPr>
        <w:t>: 7 professional visualizations, Comprehensive statistical report</w:t>
      </w:r>
    </w:p>
    <w:p w:rsidR="00393E1C" w:rsidRPr="00D7166A" w:rsidRDefault="00393E1C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66A" w:rsidRPr="00D7166A" w:rsidRDefault="00D7166A" w:rsidP="00D7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6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Methodology — Data Analyst Framework</w:t>
      </w:r>
    </w:p>
    <w:p w:rsidR="00393E1C" w:rsidRDefault="00D7166A" w:rsidP="00D7166A">
      <w:pPr>
        <w:pStyle w:val="Heading2"/>
      </w:pPr>
      <w:r w:rsidRPr="00D7166A">
        <w:rPr>
          <w:noProof/>
        </w:rPr>
        <w:drawing>
          <wp:inline distT="0" distB="0" distL="0" distR="0" wp14:anchorId="4F5A2F33" wp14:editId="62BC2AFD">
            <wp:extent cx="5486400" cy="3255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1C" w:rsidRDefault="00393E1C" w:rsidP="00D7166A">
      <w:pPr>
        <w:pStyle w:val="Heading2"/>
      </w:pPr>
    </w:p>
    <w:p w:rsidR="00D7166A" w:rsidRPr="00D7166A" w:rsidRDefault="00D7166A" w:rsidP="00D7166A">
      <w:pPr>
        <w:pStyle w:val="Heading2"/>
      </w:pPr>
      <w:r w:rsidRPr="00D7166A">
        <w:t>Data Source</w:t>
      </w:r>
    </w:p>
    <w:p w:rsidR="00D7166A" w:rsidRPr="00D7166A" w:rsidRDefault="00D7166A" w:rsidP="00D7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WHO Global Health Observatory — Diabetes Prevalence (%)</w:t>
      </w:r>
    </w:p>
    <w:p w:rsidR="00D7166A" w:rsidRPr="00D7166A" w:rsidRDefault="00D7166A" w:rsidP="00D7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Coverage: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1990–2022</w:t>
      </w:r>
    </w:p>
    <w:p w:rsidR="00D7166A" w:rsidRPr="00D7166A" w:rsidRDefault="00D7166A" w:rsidP="00D7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Regions: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Arab States and Europe</w:t>
      </w:r>
    </w:p>
    <w:p w:rsidR="00D7166A" w:rsidRPr="00D7166A" w:rsidRDefault="00D7166A" w:rsidP="00D7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Variables: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Country, Year, Gender (if available), Prevalence (%)</w:t>
      </w:r>
    </w:p>
    <w:p w:rsidR="00D7166A" w:rsidRPr="00D7166A" w:rsidRDefault="00D7166A" w:rsidP="00D71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All preprocessing and cleaning were performed to create a “WHO_Diabetes_Cleaned_Analysis_Ready.csv” file used in this analysis.</w:t>
      </w:r>
    </w:p>
    <w:p w:rsidR="00D7166A" w:rsidRDefault="00D7166A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E1C" w:rsidRDefault="00393E1C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E1C" w:rsidRPr="00D7166A" w:rsidRDefault="00393E1C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66A" w:rsidRPr="00D7166A" w:rsidRDefault="00D7166A" w:rsidP="00D7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6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Analytical Findings</w:t>
      </w:r>
    </w:p>
    <w:p w:rsidR="00393E1C" w:rsidRDefault="00D7166A" w:rsidP="00D7166A">
      <w:pPr>
        <w:pStyle w:val="Heading2"/>
      </w:pPr>
      <w:r w:rsidRPr="00D7166A">
        <w:rPr>
          <w:noProof/>
        </w:rPr>
        <w:drawing>
          <wp:inline distT="0" distB="0" distL="0" distR="0" wp14:anchorId="0F167E21" wp14:editId="0E73C220">
            <wp:extent cx="5486400" cy="19405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1C" w:rsidRDefault="00393E1C" w:rsidP="00D7166A">
      <w:pPr>
        <w:pStyle w:val="Heading2"/>
      </w:pPr>
    </w:p>
    <w:p w:rsidR="00D7166A" w:rsidRPr="00D7166A" w:rsidRDefault="00D7166A" w:rsidP="00D7166A">
      <w:pPr>
        <w:pStyle w:val="Heading2"/>
      </w:pPr>
      <w:r w:rsidRPr="00D7166A">
        <w:t>Visual Highlights</w:t>
      </w:r>
    </w:p>
    <w:p w:rsidR="00D7166A" w:rsidRPr="00D7166A" w:rsidRDefault="00D7166A" w:rsidP="00D71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i/>
          <w:iCs/>
          <w:sz w:val="24"/>
          <w:szCs w:val="24"/>
        </w:rPr>
        <w:t>(Summaries of key visuals — they don’t have to be executed for the reader to understand)</w:t>
      </w:r>
    </w:p>
    <w:p w:rsidR="00D7166A" w:rsidRPr="00D7166A" w:rsidRDefault="00D7166A" w:rsidP="00D71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Trend Over Time (1990–2022</w:t>
      </w:r>
      <w:proofErr w:type="gramStart"/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D7166A">
        <w:rPr>
          <w:rFonts w:ascii="Times New Roman" w:eastAsia="Times New Roman" w:hAnsi="Times New Roman" w:cs="Times New Roman"/>
          <w:sz w:val="24"/>
          <w:szCs w:val="24"/>
        </w:rPr>
        <w:br/>
        <w:t>→ Arab region shows sharper increase post-2000.</w:t>
      </w:r>
    </w:p>
    <w:p w:rsidR="00D7166A" w:rsidRPr="00D7166A" w:rsidRDefault="00D7166A" w:rsidP="00D71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Regional </w:t>
      </w:r>
      <w:proofErr w:type="spellStart"/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D7166A">
        <w:rPr>
          <w:rFonts w:ascii="Times New Roman" w:eastAsia="Times New Roman" w:hAnsi="Times New Roman" w:cs="Times New Roman"/>
          <w:sz w:val="24"/>
          <w:szCs w:val="24"/>
        </w:rPr>
        <w:br/>
        <w:t xml:space="preserve">→ Gulf </w:t>
      </w:r>
      <w:proofErr w:type="gramStart"/>
      <w:r w:rsidRPr="00D7166A">
        <w:rPr>
          <w:rFonts w:ascii="Times New Roman" w:eastAsia="Times New Roman" w:hAnsi="Times New Roman" w:cs="Times New Roman"/>
          <w:sz w:val="24"/>
          <w:szCs w:val="24"/>
        </w:rPr>
        <w:t>states</w:t>
      </w:r>
      <w:proofErr w:type="gramEnd"/>
      <w:r w:rsidRPr="00D7166A">
        <w:rPr>
          <w:rFonts w:ascii="Times New Roman" w:eastAsia="Times New Roman" w:hAnsi="Times New Roman" w:cs="Times New Roman"/>
          <w:sz w:val="24"/>
          <w:szCs w:val="24"/>
        </w:rPr>
        <w:t xml:space="preserve"> dominate higher prevalence zones.</w:t>
      </w:r>
    </w:p>
    <w:p w:rsidR="00D7166A" w:rsidRPr="008C421E" w:rsidRDefault="00D7166A" w:rsidP="008C42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Gender Comparison (if available</w:t>
      </w:r>
      <w:proofErr w:type="gramStart"/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D7166A">
        <w:rPr>
          <w:rFonts w:ascii="Times New Roman" w:eastAsia="Times New Roman" w:hAnsi="Times New Roman" w:cs="Times New Roman"/>
          <w:sz w:val="24"/>
          <w:szCs w:val="24"/>
        </w:rPr>
        <w:br/>
        <w:t>→ Minor gender differences; overall prevalence pattern stable.</w:t>
      </w:r>
    </w:p>
    <w:p w:rsidR="00D7166A" w:rsidRPr="00D7166A" w:rsidRDefault="00D7166A" w:rsidP="00D7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6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Recommendations</w:t>
      </w:r>
    </w:p>
    <w:p w:rsidR="00D7166A" w:rsidRPr="00D7166A" w:rsidRDefault="00D7166A" w:rsidP="008C4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1. Interpret high prevalence carefully.</w:t>
      </w:r>
    </w:p>
    <w:p w:rsidR="00D7166A" w:rsidRPr="00D7166A" w:rsidRDefault="00D7166A" w:rsidP="008C4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>Elevated numbers may mean better data — not worse health.</w:t>
      </w:r>
    </w:p>
    <w:p w:rsidR="00D7166A" w:rsidRPr="00D7166A" w:rsidRDefault="00D7166A" w:rsidP="008C4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2. Strengthen regional data harmonization.</w:t>
      </w:r>
    </w:p>
    <w:p w:rsidR="00D7166A" w:rsidRPr="00D7166A" w:rsidRDefault="00D7166A" w:rsidP="008C4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>Define consistent diabetes criteria across Arab health systems.</w:t>
      </w:r>
    </w:p>
    <w:p w:rsidR="00D7166A" w:rsidRPr="00D7166A" w:rsidRDefault="00D7166A" w:rsidP="008C4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3. Integrate EMR/EHR and WHO data.</w:t>
      </w:r>
    </w:p>
    <w:p w:rsidR="00D7166A" w:rsidRPr="00D7166A" w:rsidRDefault="00D7166A" w:rsidP="008C4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>Cross-verify case detection accuracy and national reporting.</w:t>
      </w:r>
    </w:p>
    <w:p w:rsidR="00D7166A" w:rsidRPr="00D7166A" w:rsidRDefault="00D7166A" w:rsidP="008C4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b/>
          <w:bCs/>
          <w:sz w:val="24"/>
          <w:szCs w:val="24"/>
        </w:rPr>
        <w:t>4. Build predictive monitoring models.</w:t>
      </w:r>
    </w:p>
    <w:p w:rsidR="00D7166A" w:rsidRPr="00D7166A" w:rsidRDefault="00D7166A" w:rsidP="00D716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A">
        <w:rPr>
          <w:rFonts w:ascii="Times New Roman" w:eastAsia="Times New Roman" w:hAnsi="Times New Roman" w:cs="Times New Roman"/>
          <w:sz w:val="24"/>
          <w:szCs w:val="24"/>
        </w:rPr>
        <w:t>Estimate 2030 burden and resource needs per country.</w:t>
      </w:r>
    </w:p>
    <w:p w:rsidR="00D7166A" w:rsidRPr="00D7166A" w:rsidRDefault="00D7166A" w:rsidP="00D716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166A" w:rsidRPr="00D7166A" w:rsidRDefault="00D7166A" w:rsidP="00D71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16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Steps</w:t>
      </w:r>
    </w:p>
    <w:p w:rsidR="00393E1C" w:rsidRDefault="00D7166A" w:rsidP="00D7166A">
      <w:pPr>
        <w:pStyle w:val="Heading2"/>
      </w:pPr>
      <w:r w:rsidRPr="00D7166A">
        <w:rPr>
          <w:noProof/>
        </w:rPr>
        <w:drawing>
          <wp:inline distT="0" distB="0" distL="0" distR="0" wp14:anchorId="58111A2E" wp14:editId="2304E0E2">
            <wp:extent cx="5486400" cy="1139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1C" w:rsidRDefault="00393E1C" w:rsidP="00D7166A">
      <w:pPr>
        <w:pStyle w:val="Heading2"/>
      </w:pPr>
    </w:p>
    <w:p w:rsidR="00393E1C" w:rsidRDefault="00393E1C" w:rsidP="00D7166A">
      <w:pPr>
        <w:pStyle w:val="Heading2"/>
      </w:pPr>
    </w:p>
    <w:p w:rsidR="00D7166A" w:rsidRDefault="00D7166A" w:rsidP="00D7166A">
      <w:pPr>
        <w:pStyle w:val="Heading2"/>
      </w:pPr>
      <w:r>
        <w:t xml:space="preserve"> Reflection — Analyst’s Insight </w:t>
      </w:r>
      <w:r>
        <w:rPr>
          <w:rFonts w:ascii="Segoe UI Symbol" w:hAnsi="Segoe UI Symbol" w:cs="Segoe UI Symbol"/>
        </w:rPr>
        <w:t>🌿</w:t>
      </w:r>
    </w:p>
    <w:p w:rsidR="00D7166A" w:rsidRDefault="00D7166A" w:rsidP="00D7166A">
      <w:pPr>
        <w:pStyle w:val="NormalWeb"/>
      </w:pPr>
      <w:r>
        <w:t>“At first glance, higher numbers look alarming.</w:t>
      </w:r>
      <w:r>
        <w:br/>
        <w:t>But data is a mirror — it reflects systems as much as it reflects people.</w:t>
      </w:r>
      <w:r>
        <w:br/>
        <w:t>What seems like a problem may, in fact, be a sign of progress</w:t>
      </w:r>
      <w:proofErr w:type="gramStart"/>
      <w:r>
        <w:t>:</w:t>
      </w:r>
      <w:proofErr w:type="gramEnd"/>
      <w:r>
        <w:br/>
        <w:t xml:space="preserve">a health system that </w:t>
      </w:r>
      <w:r>
        <w:rPr>
          <w:rStyle w:val="Emphasis"/>
        </w:rPr>
        <w:t>sees</w:t>
      </w:r>
      <w:r>
        <w:t xml:space="preserve"> better, not one that </w:t>
      </w:r>
      <w:r>
        <w:rPr>
          <w:rStyle w:val="Emphasis"/>
        </w:rPr>
        <w:t>fails</w:t>
      </w:r>
      <w:r>
        <w:t xml:space="preserve"> more.”</w:t>
      </w:r>
    </w:p>
    <w:p w:rsidR="008C421E" w:rsidRDefault="008C421E" w:rsidP="00D7166A">
      <w:pPr>
        <w:pStyle w:val="Heading2"/>
        <w:rPr>
          <w:rFonts w:asciiTheme="minorHAnsi" w:eastAsiaTheme="minorHAnsi" w:hAnsiTheme="minorHAnsi" w:cstheme="minorBidi"/>
          <w:b w:val="0"/>
          <w:bCs w:val="0"/>
          <w:sz w:val="22"/>
          <w:szCs w:val="22"/>
          <w:rtl/>
        </w:rPr>
      </w:pPr>
    </w:p>
    <w:p w:rsidR="00D7166A" w:rsidRDefault="00D7166A" w:rsidP="00D7166A">
      <w:pPr>
        <w:pStyle w:val="Heading2"/>
      </w:pPr>
      <w:r>
        <w:t xml:space="preserve"> Technical Note</w:t>
      </w:r>
    </w:p>
    <w:p w:rsidR="00D7166A" w:rsidRDefault="00D7166A" w:rsidP="00D7166A">
      <w:pPr>
        <w:pStyle w:val="NormalWeb"/>
      </w:pPr>
      <w:r>
        <w:t xml:space="preserve">This notebook is designed for </w:t>
      </w:r>
      <w:r>
        <w:rPr>
          <w:rStyle w:val="Strong"/>
        </w:rPr>
        <w:t>analytical storytelling</w:t>
      </w:r>
      <w:r>
        <w:t>, not for direct code execution.</w:t>
      </w:r>
      <w:r>
        <w:br/>
        <w:t>Data paths or library configurations may vary depending on environment.</w:t>
      </w:r>
      <w:r>
        <w:br/>
        <w:t>The core purpose is to illustrate the analytical reasoning and public health interpretation behind the findings.</w:t>
      </w:r>
    </w:p>
    <w:p w:rsidR="00D7166A" w:rsidRDefault="00D7166A"/>
    <w:sectPr w:rsidR="00D716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E53B9"/>
    <w:multiLevelType w:val="multilevel"/>
    <w:tmpl w:val="361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17C82"/>
    <w:multiLevelType w:val="multilevel"/>
    <w:tmpl w:val="BEF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03B2D"/>
    <w:multiLevelType w:val="multilevel"/>
    <w:tmpl w:val="FA2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33E44"/>
    <w:multiLevelType w:val="multilevel"/>
    <w:tmpl w:val="03B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46604"/>
    <w:multiLevelType w:val="multilevel"/>
    <w:tmpl w:val="DA68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2FC"/>
    <w:rsid w:val="00393E1C"/>
    <w:rsid w:val="004033C5"/>
    <w:rsid w:val="008C421E"/>
    <w:rsid w:val="00CF32FC"/>
    <w:rsid w:val="00D7166A"/>
    <w:rsid w:val="00F4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08AF"/>
  <w15:chartTrackingRefBased/>
  <w15:docId w15:val="{B09B0242-BC41-4E45-A63C-22CD6F0C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16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16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71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66A"/>
    <w:rPr>
      <w:b/>
      <w:bCs/>
    </w:rPr>
  </w:style>
  <w:style w:type="character" w:styleId="Emphasis">
    <w:name w:val="Emphasis"/>
    <w:basedOn w:val="DefaultParagraphFont"/>
    <w:uiPriority w:val="20"/>
    <w:qFormat/>
    <w:rsid w:val="00D7166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4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5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5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</dc:creator>
  <cp:keywords/>
  <dc:description/>
  <cp:lastModifiedBy>farah</cp:lastModifiedBy>
  <cp:revision>3</cp:revision>
  <dcterms:created xsi:type="dcterms:W3CDTF">2025-11-03T07:40:00Z</dcterms:created>
  <dcterms:modified xsi:type="dcterms:W3CDTF">2025-11-03T09:18:00Z</dcterms:modified>
</cp:coreProperties>
</file>