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94FD24" w14:textId="77777777" w:rsidR="00CE1062" w:rsidRDefault="00CE1062" w:rsidP="00CE1062">
      <w:pPr>
        <w:bidi w:val="0"/>
        <w:spacing w:line="360" w:lineRule="auto"/>
        <w:jc w:val="both"/>
      </w:pPr>
      <w:r>
        <w:t>References — Chapter 2</w:t>
      </w:r>
    </w:p>
    <w:p w14:paraId="5CC0273E" w14:textId="77777777" w:rsidR="00CE1062" w:rsidRDefault="00CE1062" w:rsidP="00CE1062">
      <w:pPr>
        <w:bidi w:val="0"/>
        <w:spacing w:line="360" w:lineRule="auto"/>
        <w:jc w:val="both"/>
      </w:pPr>
      <w:r>
        <w:rPr>
          <w:rtl/>
        </w:rPr>
        <w:t xml:space="preserve">- </w:t>
      </w:r>
      <w:r>
        <w:t>United Nations Framework Convention on Climate Change (UNFCCC). (2015). Paris Agreement. United Nations</w:t>
      </w:r>
      <w:r>
        <w:rPr>
          <w:rtl/>
        </w:rPr>
        <w:t>.</w:t>
      </w:r>
    </w:p>
    <w:p w14:paraId="52AE5535" w14:textId="77777777" w:rsidR="00CE1062" w:rsidRDefault="00CE1062" w:rsidP="00CE1062">
      <w:pPr>
        <w:bidi w:val="0"/>
        <w:spacing w:line="360" w:lineRule="auto"/>
        <w:jc w:val="both"/>
      </w:pPr>
      <w:r>
        <w:rPr>
          <w:rtl/>
        </w:rPr>
        <w:t xml:space="preserve">- </w:t>
      </w:r>
      <w:r>
        <w:t>World Health Organization (WHO). (2021). WHO global air quality guidelines: Particulate matter (PM2.5 and PM10), ozone, nitrogen dioxide, sulfur dioxide and carbon monoxide. World Health Organization</w:t>
      </w:r>
      <w:r>
        <w:rPr>
          <w:rtl/>
        </w:rPr>
        <w:t>.</w:t>
      </w:r>
    </w:p>
    <w:p w14:paraId="0507AA60" w14:textId="77777777" w:rsidR="00CE1062" w:rsidRDefault="00CE1062" w:rsidP="00CE1062">
      <w:pPr>
        <w:bidi w:val="0"/>
        <w:spacing w:line="360" w:lineRule="auto"/>
        <w:jc w:val="both"/>
      </w:pPr>
      <w:r>
        <w:rPr>
          <w:rtl/>
        </w:rPr>
        <w:t xml:space="preserve">- </w:t>
      </w:r>
      <w:r>
        <w:t>World Health Organization (WHO). (2025). WHO Air Quality Standards Database 2025. World Health Organization</w:t>
      </w:r>
      <w:r>
        <w:rPr>
          <w:rtl/>
        </w:rPr>
        <w:t>.</w:t>
      </w:r>
    </w:p>
    <w:p w14:paraId="121FC95E" w14:textId="77777777" w:rsidR="00CE1062" w:rsidRDefault="00CE1062" w:rsidP="00CE1062">
      <w:pPr>
        <w:bidi w:val="0"/>
        <w:spacing w:line="360" w:lineRule="auto"/>
        <w:jc w:val="both"/>
      </w:pPr>
      <w:r>
        <w:rPr>
          <w:rtl/>
        </w:rPr>
        <w:t xml:space="preserve">- </w:t>
      </w:r>
      <w:r>
        <w:t>World Bank. (2025). Global Gas Flaring Tracker Report. World Bank Group</w:t>
      </w:r>
      <w:r>
        <w:rPr>
          <w:rtl/>
        </w:rPr>
        <w:t>.</w:t>
      </w:r>
    </w:p>
    <w:p w14:paraId="687CE03B" w14:textId="77777777" w:rsidR="00CE1062" w:rsidRDefault="00CE1062" w:rsidP="00CE1062">
      <w:pPr>
        <w:bidi w:val="0"/>
        <w:spacing w:line="360" w:lineRule="auto"/>
        <w:jc w:val="both"/>
      </w:pPr>
      <w:r>
        <w:rPr>
          <w:rtl/>
        </w:rPr>
        <w:t xml:space="preserve">- </w:t>
      </w:r>
      <w:r>
        <w:t>World Bank. (2025). Global gas flaring hits highest level since 2007, undermining energy security, access, and emissions goals [Press release]. World Bank Group</w:t>
      </w:r>
      <w:r>
        <w:rPr>
          <w:rtl/>
        </w:rPr>
        <w:t>.</w:t>
      </w:r>
    </w:p>
    <w:p w14:paraId="19B32368" w14:textId="77777777" w:rsidR="00CE1062" w:rsidRDefault="00CE1062" w:rsidP="00CE1062">
      <w:pPr>
        <w:bidi w:val="0"/>
        <w:spacing w:line="360" w:lineRule="auto"/>
        <w:jc w:val="both"/>
      </w:pPr>
      <w:r>
        <w:rPr>
          <w:rtl/>
        </w:rPr>
        <w:t xml:space="preserve">- </w:t>
      </w:r>
      <w:r>
        <w:t>International Organization for Standardization (ISO). (2026). ISO 14001:2026 — Environmental management systems: Requirements with guidance for use. ISO</w:t>
      </w:r>
      <w:r>
        <w:rPr>
          <w:rtl/>
        </w:rPr>
        <w:t>.</w:t>
      </w:r>
    </w:p>
    <w:p w14:paraId="08621CCF" w14:textId="77777777" w:rsidR="00CE1062" w:rsidRDefault="00CE1062" w:rsidP="00CE1062">
      <w:pPr>
        <w:bidi w:val="0"/>
        <w:spacing w:line="360" w:lineRule="auto"/>
        <w:jc w:val="both"/>
      </w:pPr>
      <w:r>
        <w:rPr>
          <w:rtl/>
        </w:rPr>
        <w:t xml:space="preserve">- </w:t>
      </w:r>
      <w:r>
        <w:t>International Organization for Standardization (ISO). (2018). ISO 14064-1:2018 — Greenhouse gases: Part 1: Specification with guidance at the organization level for quantification and reporting of greenhouse gas emissions and removals. ISO</w:t>
      </w:r>
      <w:r>
        <w:rPr>
          <w:rtl/>
        </w:rPr>
        <w:t>.</w:t>
      </w:r>
    </w:p>
    <w:p w14:paraId="36F7E460" w14:textId="77777777" w:rsidR="00CE1062" w:rsidRDefault="00CE1062" w:rsidP="00CE1062">
      <w:pPr>
        <w:bidi w:val="0"/>
        <w:spacing w:line="360" w:lineRule="auto"/>
        <w:jc w:val="both"/>
      </w:pPr>
      <w:r>
        <w:rPr>
          <w:rtl/>
        </w:rPr>
        <w:t xml:space="preserve">- </w:t>
      </w:r>
      <w:r>
        <w:t>International Organization for Standardization (ISO). (2025). ISO/TS 14064-4:2025 — Greenhouse gases: Part 4: Quantification and reporting of greenhouse gas emissions and removals for organizations. ISO</w:t>
      </w:r>
      <w:r>
        <w:rPr>
          <w:rtl/>
        </w:rPr>
        <w:t>.</w:t>
      </w:r>
    </w:p>
    <w:p w14:paraId="5F011309" w14:textId="77777777" w:rsidR="00CE1062" w:rsidRDefault="00CE1062" w:rsidP="00CE1062">
      <w:pPr>
        <w:bidi w:val="0"/>
        <w:spacing w:line="360" w:lineRule="auto"/>
        <w:jc w:val="both"/>
      </w:pPr>
      <w:r>
        <w:rPr>
          <w:rtl/>
        </w:rPr>
        <w:t xml:space="preserve">- </w:t>
      </w:r>
      <w:r>
        <w:t>Greenhouse Gas Protocol (GHG Protocol). (2026). GHG Protocol announces key standard development updates: FAQ resource. World Resources Institute &amp; World Business Council for Sustainable Development</w:t>
      </w:r>
      <w:r>
        <w:rPr>
          <w:rtl/>
        </w:rPr>
        <w:t>.</w:t>
      </w:r>
    </w:p>
    <w:p w14:paraId="47442A25" w14:textId="77777777" w:rsidR="00CE1062" w:rsidRDefault="00CE1062" w:rsidP="00CE1062">
      <w:pPr>
        <w:bidi w:val="0"/>
        <w:spacing w:line="360" w:lineRule="auto"/>
        <w:jc w:val="both"/>
      </w:pPr>
      <w:r>
        <w:rPr>
          <w:rtl/>
        </w:rPr>
        <w:lastRenderedPageBreak/>
        <w:t xml:space="preserve">- </w:t>
      </w:r>
      <w:r>
        <w:t>Greenhouse Gas Protocol (GHG Protocol). (2024). Corporate Standard — Standard Development Plan. World Resources Institute &amp; World Business Council for Sustainable Development</w:t>
      </w:r>
      <w:r>
        <w:rPr>
          <w:rtl/>
        </w:rPr>
        <w:t>.</w:t>
      </w:r>
    </w:p>
    <w:p w14:paraId="1D119A2C" w14:textId="77777777" w:rsidR="00CE1062" w:rsidRDefault="00CE1062" w:rsidP="00CE1062">
      <w:pPr>
        <w:bidi w:val="0"/>
        <w:spacing w:line="360" w:lineRule="auto"/>
        <w:jc w:val="both"/>
      </w:pPr>
      <w:r>
        <w:rPr>
          <w:rtl/>
        </w:rPr>
        <w:t xml:space="preserve">- </w:t>
      </w:r>
      <w:r>
        <w:t>International Energy Agency (IEA). (2025). Global Energy Review 2025. IEA</w:t>
      </w:r>
      <w:r>
        <w:rPr>
          <w:rtl/>
        </w:rPr>
        <w:t>.</w:t>
      </w:r>
    </w:p>
    <w:p w14:paraId="47543D76" w14:textId="77777777" w:rsidR="00CE1062" w:rsidRDefault="00CE1062" w:rsidP="00CE1062">
      <w:pPr>
        <w:bidi w:val="0"/>
        <w:spacing w:line="360" w:lineRule="auto"/>
        <w:jc w:val="both"/>
      </w:pPr>
      <w:r>
        <w:rPr>
          <w:rtl/>
        </w:rPr>
        <w:t xml:space="preserve">- </w:t>
      </w:r>
      <w:r>
        <w:t>Alfitouri Ibrahim, J., &amp; Mohamed, M. (2025). Applications of cloud computing and artificial intelligence in the oil and gas industry: A review. In 2025 IEEE 6th International Conference on Image Processing, Applications and Systems (pp. 1–7). IEEE</w:t>
      </w:r>
      <w:r>
        <w:rPr>
          <w:rtl/>
        </w:rPr>
        <w:t>.</w:t>
      </w:r>
    </w:p>
    <w:p w14:paraId="05C6A98B" w14:textId="77777777" w:rsidR="00CE1062" w:rsidRDefault="00CE1062" w:rsidP="00CE1062">
      <w:pPr>
        <w:bidi w:val="0"/>
        <w:spacing w:line="360" w:lineRule="auto"/>
        <w:jc w:val="both"/>
      </w:pPr>
      <w:r>
        <w:rPr>
          <w:rtl/>
        </w:rPr>
        <w:t xml:space="preserve">- </w:t>
      </w:r>
      <w:r>
        <w:t>Maqbool, A. I., Kiayani, S., &amp; Safdar, A. (2025). Artificial intelligence in environmental science and engineering: A review of applications, challenges, and sustainable futures. Spectrum of Engineering Sciences, 3(6), 861–876</w:t>
      </w:r>
      <w:r>
        <w:rPr>
          <w:rtl/>
        </w:rPr>
        <w:t>.</w:t>
      </w:r>
    </w:p>
    <w:p w14:paraId="3162EC86" w14:textId="77777777" w:rsidR="00CE1062" w:rsidRDefault="00CE1062" w:rsidP="00CE1062">
      <w:pPr>
        <w:bidi w:val="0"/>
        <w:spacing w:line="360" w:lineRule="auto"/>
        <w:jc w:val="both"/>
      </w:pPr>
      <w:r>
        <w:rPr>
          <w:rtl/>
        </w:rPr>
        <w:t xml:space="preserve">- </w:t>
      </w:r>
      <w:r>
        <w:t>Mamun, M., Hasan, M., &amp; An, K.-G. (2024). Advancing reservoirs water quality parameters estimation using Sentinel-2 and Landsat-8 satellite data with machine learning approaches. Ecological Informatics, 81, Article 102608</w:t>
      </w:r>
      <w:r>
        <w:rPr>
          <w:rtl/>
        </w:rPr>
        <w:t>.</w:t>
      </w:r>
    </w:p>
    <w:p w14:paraId="3B189EE8" w14:textId="77777777" w:rsidR="00CE1062" w:rsidRDefault="00CE1062" w:rsidP="00CE1062">
      <w:pPr>
        <w:bidi w:val="0"/>
        <w:spacing w:line="360" w:lineRule="auto"/>
        <w:jc w:val="both"/>
      </w:pPr>
      <w:r>
        <w:rPr>
          <w:rtl/>
        </w:rPr>
        <w:t xml:space="preserve">- </w:t>
      </w:r>
      <w:r>
        <w:t>Mondal, I., Bandyopadhyay, J., Hossain, S. A., et al. (2024). Evaluating the effects of rapid urbanization on the encroachment of the East Kolkata Wetland ecosystem: A remote sensing and hybrid machine learning approach. Environment, Development and Sustainability, 27(6), 14781–14813</w:t>
      </w:r>
      <w:r>
        <w:rPr>
          <w:rtl/>
        </w:rPr>
        <w:t>.</w:t>
      </w:r>
    </w:p>
    <w:p w14:paraId="3A94F609" w14:textId="77777777" w:rsidR="00CE1062" w:rsidRDefault="00CE1062" w:rsidP="00CE1062">
      <w:pPr>
        <w:bidi w:val="0"/>
        <w:spacing w:line="360" w:lineRule="auto"/>
        <w:jc w:val="both"/>
      </w:pPr>
      <w:r>
        <w:rPr>
          <w:rtl/>
        </w:rPr>
        <w:t xml:space="preserve">- </w:t>
      </w:r>
      <w:r>
        <w:t>Nishat, M. H., Khan, M. H. R. B., Ahmed, T., et al. (2025). Comparative analysis of machine learning models for predicting water quality index in Dhaka's rivers of Bangladesh. Environmental Sciences Europe, 37, Article 31</w:t>
      </w:r>
      <w:r>
        <w:rPr>
          <w:rtl/>
        </w:rPr>
        <w:t>.</w:t>
      </w:r>
    </w:p>
    <w:p w14:paraId="7FAF833E" w14:textId="77777777" w:rsidR="00CE1062" w:rsidRDefault="00CE1062" w:rsidP="00CE1062">
      <w:pPr>
        <w:bidi w:val="0"/>
        <w:spacing w:line="360" w:lineRule="auto"/>
        <w:jc w:val="both"/>
      </w:pPr>
      <w:r>
        <w:rPr>
          <w:rtl/>
        </w:rPr>
        <w:t xml:space="preserve">- </w:t>
      </w:r>
      <w:r>
        <w:t>Lokman, A., Ismail, W. Z. W., &amp; Aziz, N. A. A. (2025). A review of water quality forecasting and classification using machine learning models and statistical analysis. Water, 17(15), Article 2243</w:t>
      </w:r>
      <w:r>
        <w:rPr>
          <w:rtl/>
        </w:rPr>
        <w:t>.</w:t>
      </w:r>
    </w:p>
    <w:p w14:paraId="0B4AE8C6" w14:textId="77777777" w:rsidR="00CE1062" w:rsidRDefault="00CE1062" w:rsidP="00CE1062">
      <w:pPr>
        <w:bidi w:val="0"/>
        <w:spacing w:line="360" w:lineRule="auto"/>
        <w:jc w:val="both"/>
      </w:pPr>
      <w:r>
        <w:rPr>
          <w:rtl/>
        </w:rPr>
        <w:lastRenderedPageBreak/>
        <w:t xml:space="preserve">- </w:t>
      </w:r>
      <w:r>
        <w:t xml:space="preserve">Van't Veen, S. G. M., Kronvang, B., Audet, J., et al. (2024). </w:t>
      </w:r>
      <w:proofErr w:type="spellStart"/>
      <w:r>
        <w:t>SentemQC</w:t>
      </w:r>
      <w:proofErr w:type="spellEnd"/>
      <w:r>
        <w:t xml:space="preserve"> — QA-QC of high temporal resolution sensor data. Open Research Europe, 4, Article 244</w:t>
      </w:r>
      <w:r>
        <w:rPr>
          <w:rtl/>
        </w:rPr>
        <w:t>.</w:t>
      </w:r>
    </w:p>
    <w:p w14:paraId="53D0A229" w14:textId="77777777" w:rsidR="00CE1062" w:rsidRDefault="00CE1062" w:rsidP="00CE1062">
      <w:pPr>
        <w:bidi w:val="0"/>
        <w:spacing w:line="360" w:lineRule="auto"/>
        <w:jc w:val="both"/>
      </w:pPr>
      <w:r>
        <w:rPr>
          <w:rtl/>
        </w:rPr>
        <w:t xml:space="preserve">- </w:t>
      </w:r>
      <w:r>
        <w:t>Shen, S. S. P., &amp; North, G. R. (2023). Statistics and data visualization in climate science with R and Python. Cambridge University Press</w:t>
      </w:r>
      <w:r>
        <w:rPr>
          <w:rtl/>
        </w:rPr>
        <w:t>.</w:t>
      </w:r>
    </w:p>
    <w:p w14:paraId="05E9DB83" w14:textId="77777777" w:rsidR="00CE1062" w:rsidRDefault="00CE1062" w:rsidP="00CE1062">
      <w:pPr>
        <w:bidi w:val="0"/>
        <w:spacing w:line="360" w:lineRule="auto"/>
        <w:jc w:val="both"/>
      </w:pPr>
      <w:r>
        <w:rPr>
          <w:rtl/>
        </w:rPr>
        <w:t xml:space="preserve">- </w:t>
      </w:r>
      <w:r>
        <w:t>Hsieh, W. W. (2023). Introduction to environmental data science. Cambridge University Press</w:t>
      </w:r>
      <w:r>
        <w:rPr>
          <w:rtl/>
        </w:rPr>
        <w:t>.</w:t>
      </w:r>
    </w:p>
    <w:p w14:paraId="77CCE3D4" w14:textId="7796D12E" w:rsidR="00DA7574" w:rsidRPr="00CE1062" w:rsidRDefault="00CE1062" w:rsidP="00CE1062">
      <w:pPr>
        <w:bidi w:val="0"/>
        <w:spacing w:line="360" w:lineRule="auto"/>
        <w:jc w:val="both"/>
      </w:pPr>
      <w:r>
        <w:rPr>
          <w:rtl/>
        </w:rPr>
        <w:t xml:space="preserve">- </w:t>
      </w:r>
      <w:r>
        <w:t>Dale, M. R. T., &amp; Fortin, M.-J. (2025). Spatial analysis: A guide for ecologists (3rd ed.). Cambridge University Press</w:t>
      </w:r>
      <w:r>
        <w:rPr>
          <w:rtl/>
        </w:rPr>
        <w:t>.</w:t>
      </w:r>
    </w:p>
    <w:sectPr w:rsidR="00DA7574" w:rsidRPr="00CE1062" w:rsidSect="00DA7574">
      <w:footerReference w:type="default" r:id="rId6"/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9CEA59" w14:textId="77777777" w:rsidR="006522F6" w:rsidRDefault="006522F6" w:rsidP="00CE1062">
      <w:pPr>
        <w:spacing w:after="0" w:line="240" w:lineRule="auto"/>
      </w:pPr>
      <w:r>
        <w:separator/>
      </w:r>
    </w:p>
  </w:endnote>
  <w:endnote w:type="continuationSeparator" w:id="0">
    <w:p w14:paraId="13A1142D" w14:textId="77777777" w:rsidR="006522F6" w:rsidRDefault="006522F6" w:rsidP="00CE1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tl/>
      </w:rPr>
      <w:id w:val="-937298042"/>
      <w:docPartObj>
        <w:docPartGallery w:val="Page Numbers (Bottom of Page)"/>
        <w:docPartUnique/>
      </w:docPartObj>
    </w:sdtPr>
    <w:sdtContent>
      <w:p w14:paraId="520DBE56" w14:textId="19EF49A6" w:rsidR="00CE1062" w:rsidRDefault="00CE106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839DEC" w14:textId="77777777" w:rsidR="006522F6" w:rsidRDefault="006522F6" w:rsidP="00CE1062">
      <w:pPr>
        <w:spacing w:after="0" w:line="240" w:lineRule="auto"/>
      </w:pPr>
      <w:r>
        <w:separator/>
      </w:r>
    </w:p>
  </w:footnote>
  <w:footnote w:type="continuationSeparator" w:id="0">
    <w:p w14:paraId="027F8625" w14:textId="77777777" w:rsidR="006522F6" w:rsidRDefault="006522F6" w:rsidP="00CE10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3B7"/>
    <w:rsid w:val="006522F6"/>
    <w:rsid w:val="00B343B7"/>
    <w:rsid w:val="00CE1062"/>
    <w:rsid w:val="00D57FB6"/>
    <w:rsid w:val="00DA7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B4495"/>
  <w15:chartTrackingRefBased/>
  <w15:docId w15:val="{452EAB7F-FEE4-4C1D-BBF6-FCF4AFEE6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10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062"/>
  </w:style>
  <w:style w:type="paragraph" w:styleId="Footer">
    <w:name w:val="footer"/>
    <w:basedOn w:val="Normal"/>
    <w:link w:val="FooterChar"/>
    <w:uiPriority w:val="99"/>
    <w:unhideWhenUsed/>
    <w:rsid w:val="00CE10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0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549</Words>
  <Characters>3131</Characters>
  <Application>Microsoft Office Word</Application>
  <DocSecurity>0</DocSecurity>
  <Lines>26</Lines>
  <Paragraphs>7</Paragraphs>
  <ScaleCrop>false</ScaleCrop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 Farmahini Farahani</dc:creator>
  <cp:keywords/>
  <dc:description/>
  <cp:lastModifiedBy>Hadi Farmahini Farahani</cp:lastModifiedBy>
  <cp:revision>3</cp:revision>
  <dcterms:created xsi:type="dcterms:W3CDTF">2026-09-29T08:56:00Z</dcterms:created>
  <dcterms:modified xsi:type="dcterms:W3CDTF">2026-10-04T08:14:00Z</dcterms:modified>
</cp:coreProperties>
</file>