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838BA" w14:textId="77777777" w:rsidR="007C684C" w:rsidRDefault="007C684C" w:rsidP="007C684C">
      <w:pPr>
        <w:bidi w:val="0"/>
        <w:spacing w:line="360" w:lineRule="auto"/>
        <w:jc w:val="both"/>
      </w:pPr>
      <w:r>
        <w:t>References — Chapter 5</w:t>
      </w:r>
    </w:p>
    <w:p w14:paraId="329514A2" w14:textId="77777777" w:rsidR="007C684C" w:rsidRDefault="007C684C" w:rsidP="007C684C">
      <w:pPr>
        <w:bidi w:val="0"/>
        <w:spacing w:line="360" w:lineRule="auto"/>
        <w:jc w:val="both"/>
      </w:pPr>
      <w:r>
        <w:t xml:space="preserve">- McKinney, W. (2022). Python for Data Analysis: Data Wrangling with pandas, NumPy, and </w:t>
      </w:r>
      <w:proofErr w:type="spellStart"/>
      <w:r>
        <w:t>Jupyter</w:t>
      </w:r>
      <w:proofErr w:type="spellEnd"/>
      <w:r>
        <w:t xml:space="preserve"> (3rd ed.). O'Reilly Media.</w:t>
      </w:r>
    </w:p>
    <w:p w14:paraId="1C455542" w14:textId="77777777" w:rsidR="007C684C" w:rsidRDefault="007C684C" w:rsidP="007C684C">
      <w:pPr>
        <w:bidi w:val="0"/>
        <w:spacing w:line="360" w:lineRule="auto"/>
        <w:jc w:val="both"/>
      </w:pPr>
      <w:r>
        <w:t xml:space="preserve">- Pedregosa, F., </w:t>
      </w:r>
      <w:proofErr w:type="spellStart"/>
      <w:r>
        <w:t>Varoquaux</w:t>
      </w:r>
      <w:proofErr w:type="spellEnd"/>
      <w:r>
        <w:t xml:space="preserve">, G., </w:t>
      </w:r>
      <w:proofErr w:type="spellStart"/>
      <w:r>
        <w:t>Gramfort</w:t>
      </w:r>
      <w:proofErr w:type="spellEnd"/>
      <w:r>
        <w:t xml:space="preserve">, A., Michel, V., Thirion, B., Grisel, O., ... &amp; </w:t>
      </w:r>
      <w:proofErr w:type="spellStart"/>
      <w:r>
        <w:t>Duchesnay</w:t>
      </w:r>
      <w:proofErr w:type="spellEnd"/>
      <w:r>
        <w:t>, E. (2011). Scikit-learn: Machine learning in Python. Journal of Machine Learning Research, 12, 2825–2830.</w:t>
      </w:r>
    </w:p>
    <w:p w14:paraId="2AE4869E" w14:textId="77777777" w:rsidR="007C684C" w:rsidRDefault="007C684C" w:rsidP="007C684C">
      <w:pPr>
        <w:bidi w:val="0"/>
        <w:spacing w:line="360" w:lineRule="auto"/>
        <w:jc w:val="both"/>
      </w:pPr>
      <w:r>
        <w:t>- Hunter, J. D. (2007). Matplotlib: A 2D graphics environment. Computing in Science &amp; Engineering, 9(3), 90–95. https://doi.org/10.1109/MCSE.2007.55</w:t>
      </w:r>
    </w:p>
    <w:p w14:paraId="1C0D135F" w14:textId="77777777" w:rsidR="007C684C" w:rsidRDefault="007C684C" w:rsidP="007C684C">
      <w:pPr>
        <w:bidi w:val="0"/>
        <w:spacing w:line="360" w:lineRule="auto"/>
        <w:jc w:val="both"/>
      </w:pPr>
      <w:r>
        <w:t xml:space="preserve">- </w:t>
      </w:r>
      <w:proofErr w:type="spellStart"/>
      <w:r>
        <w:t>Hipp</w:t>
      </w:r>
      <w:proofErr w:type="spellEnd"/>
      <w:r>
        <w:t>, D. R. (2020). SQLite. O'Reilly Media.</w:t>
      </w:r>
    </w:p>
    <w:p w14:paraId="3CACF14A" w14:textId="77777777" w:rsidR="007C684C" w:rsidRDefault="007C684C" w:rsidP="007C684C">
      <w:pPr>
        <w:bidi w:val="0"/>
        <w:spacing w:line="360" w:lineRule="auto"/>
        <w:jc w:val="both"/>
      </w:pPr>
      <w:r>
        <w:t>- Ferrari, A., &amp; Russo, M. (2021). Introducing Microsoft Power BI. Microsoft Press.</w:t>
      </w:r>
    </w:p>
    <w:p w14:paraId="51B16C30" w14:textId="77777777" w:rsidR="007C684C" w:rsidRDefault="007C684C" w:rsidP="007C684C">
      <w:pPr>
        <w:bidi w:val="0"/>
        <w:spacing w:line="360" w:lineRule="auto"/>
        <w:jc w:val="both"/>
      </w:pPr>
      <w:r>
        <w:t>- Provost, F., &amp; Fawcett, T. (2013). Data Science for Business: What You Need to Know about Data Mining and Data-Analytic Thinking. O'Reilly Media.</w:t>
      </w:r>
    </w:p>
    <w:p w14:paraId="1E905225" w14:textId="77777777" w:rsidR="007C684C" w:rsidRDefault="007C684C" w:rsidP="007C684C">
      <w:pPr>
        <w:bidi w:val="0"/>
        <w:spacing w:line="360" w:lineRule="auto"/>
        <w:jc w:val="both"/>
      </w:pPr>
      <w:r>
        <w:t xml:space="preserve">- </w:t>
      </w:r>
      <w:proofErr w:type="spellStart"/>
      <w:r>
        <w:t>Batini</w:t>
      </w:r>
      <w:proofErr w:type="spellEnd"/>
      <w:r>
        <w:t xml:space="preserve">, C., Cappiello, C., </w:t>
      </w:r>
      <w:proofErr w:type="spellStart"/>
      <w:r>
        <w:t>Francalanci</w:t>
      </w:r>
      <w:proofErr w:type="spellEnd"/>
      <w:r>
        <w:t>, C., &amp; Maurino, A. (2009). Methodologies for data quality assessment and improvement. ACM Computing Surveys, 41(3), Article 16. https://doi.org/10.1145/1541880.1541883</w:t>
      </w:r>
    </w:p>
    <w:p w14:paraId="21AC0DB7" w14:textId="77777777" w:rsidR="007C684C" w:rsidRDefault="007C684C" w:rsidP="007C684C">
      <w:pPr>
        <w:bidi w:val="0"/>
        <w:spacing w:line="360" w:lineRule="auto"/>
        <w:jc w:val="both"/>
        <w:rPr>
          <w:rtl/>
        </w:rPr>
      </w:pPr>
      <w:r>
        <w:t xml:space="preserve">- Wilkinson, M. D., Dumontier, M., </w:t>
      </w:r>
      <w:proofErr w:type="spellStart"/>
      <w:r>
        <w:t>Aalbersberg</w:t>
      </w:r>
      <w:proofErr w:type="spellEnd"/>
      <w:r>
        <w:t>, I. J., Appleton, G., Axton, M., Baak, A., ... &amp; Mons, B. (2016). The FAIR Guiding Principles for scientific data management and stewardship. Scientific Data, 3, Article 160018. https://doi.org/10.1038/sdata.2016.18</w:t>
      </w:r>
    </w:p>
    <w:p w14:paraId="6096E8C4" w14:textId="77777777" w:rsidR="007C684C" w:rsidRDefault="007C684C" w:rsidP="007C684C">
      <w:pPr>
        <w:bidi w:val="0"/>
        <w:spacing w:line="360" w:lineRule="auto"/>
        <w:jc w:val="both"/>
      </w:pPr>
      <w:r>
        <w:t xml:space="preserve">- </w:t>
      </w:r>
      <w:proofErr w:type="spellStart"/>
      <w:r>
        <w:t>Kohavi</w:t>
      </w:r>
      <w:proofErr w:type="spellEnd"/>
      <w:r>
        <w:t>, R. (1995). A study of cross-validation and bootstrap for accuracy estimation and model selection. Proceedings of the 14th International Joint Conference on Artificial Intelligence (IJCAI), 2, 1137–1143.</w:t>
      </w:r>
    </w:p>
    <w:p w14:paraId="186C8564" w14:textId="77777777" w:rsidR="007C684C" w:rsidRDefault="007C684C" w:rsidP="007C684C">
      <w:pPr>
        <w:bidi w:val="0"/>
        <w:spacing w:line="360" w:lineRule="auto"/>
        <w:jc w:val="both"/>
      </w:pPr>
      <w:r>
        <w:t>- Project Management Institute (PMI). (2021). A Guide to the Project Management Body of Knowledge (PMBOK Guide) (7th ed.). Project Management Institute.</w:t>
      </w:r>
    </w:p>
    <w:p w14:paraId="16460D2B" w14:textId="77777777" w:rsidR="007C684C" w:rsidRDefault="007C684C" w:rsidP="007C684C">
      <w:pPr>
        <w:bidi w:val="0"/>
        <w:spacing w:line="360" w:lineRule="auto"/>
        <w:jc w:val="both"/>
      </w:pPr>
      <w:r>
        <w:t>- Hillson, D. (2009). Managing Risk in Projects. Gower Publishing.</w:t>
      </w:r>
    </w:p>
    <w:p w14:paraId="1873FB2C" w14:textId="77777777" w:rsidR="007C684C" w:rsidRDefault="007C684C" w:rsidP="007C684C">
      <w:pPr>
        <w:bidi w:val="0"/>
        <w:spacing w:line="360" w:lineRule="auto"/>
        <w:jc w:val="both"/>
      </w:pPr>
      <w:r>
        <w:t>- International Organization for Standardization (ISO). (2015). ISO 9001:2015 — Quality management systems: Requirements. ISO.</w:t>
      </w:r>
    </w:p>
    <w:p w14:paraId="34778494" w14:textId="77777777" w:rsidR="007C684C" w:rsidRDefault="007C684C" w:rsidP="007C684C">
      <w:pPr>
        <w:bidi w:val="0"/>
        <w:spacing w:line="360" w:lineRule="auto"/>
        <w:jc w:val="both"/>
      </w:pPr>
      <w:r>
        <w:t>- International Organization for Standardization (ISO). (2018). ISO 14064-1:2018 — Greenhouse gases: Part 1: Specification with guidance at the organization level for quantification and reporting of greenhouse gas emissions and removals. ISO.</w:t>
      </w:r>
    </w:p>
    <w:p w14:paraId="6825E114" w14:textId="77777777" w:rsidR="007C684C" w:rsidRDefault="007C684C" w:rsidP="007C684C">
      <w:pPr>
        <w:bidi w:val="0"/>
        <w:spacing w:line="360" w:lineRule="auto"/>
        <w:jc w:val="both"/>
      </w:pPr>
      <w:r>
        <w:lastRenderedPageBreak/>
        <w:t xml:space="preserve">- </w:t>
      </w:r>
      <w:proofErr w:type="spellStart"/>
      <w:r>
        <w:t>Saltelli</w:t>
      </w:r>
      <w:proofErr w:type="spellEnd"/>
      <w:r>
        <w:t xml:space="preserve">, A., Ratto, M., Andres, T., Campolongo, F., </w:t>
      </w:r>
      <w:proofErr w:type="spellStart"/>
      <w:r>
        <w:t>Cariboni</w:t>
      </w:r>
      <w:proofErr w:type="spellEnd"/>
      <w:r>
        <w:t xml:space="preserve">, J., </w:t>
      </w:r>
      <w:proofErr w:type="spellStart"/>
      <w:r>
        <w:t>Gatelli</w:t>
      </w:r>
      <w:proofErr w:type="spellEnd"/>
      <w:r>
        <w:t>, D., ... &amp; Tarantola, S. (2008). Global Sensitivity Analysis: The Primer. John Wiley &amp; Sons.</w:t>
      </w:r>
    </w:p>
    <w:p w14:paraId="48CCAE1E" w14:textId="1038A8C4" w:rsidR="00DA7574" w:rsidRPr="007C684C" w:rsidRDefault="007C684C" w:rsidP="007C684C">
      <w:pPr>
        <w:bidi w:val="0"/>
        <w:spacing w:line="360" w:lineRule="auto"/>
        <w:jc w:val="both"/>
      </w:pPr>
      <w:r>
        <w:t xml:space="preserve">- </w:t>
      </w:r>
      <w:proofErr w:type="spellStart"/>
      <w:r>
        <w:t>Munzner</w:t>
      </w:r>
      <w:proofErr w:type="spellEnd"/>
      <w:r>
        <w:t>, T. (2014). Visualization Analysis and Design. CRC Press.</w:t>
      </w:r>
    </w:p>
    <w:sectPr w:rsidR="00DA7574" w:rsidRPr="007C684C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771EE" w14:textId="77777777" w:rsidR="00A8754B" w:rsidRDefault="00A8754B" w:rsidP="007C684C">
      <w:pPr>
        <w:spacing w:after="0" w:line="240" w:lineRule="auto"/>
      </w:pPr>
      <w:r>
        <w:separator/>
      </w:r>
    </w:p>
  </w:endnote>
  <w:endnote w:type="continuationSeparator" w:id="0">
    <w:p w14:paraId="37AF7ED1" w14:textId="77777777" w:rsidR="00A8754B" w:rsidRDefault="00A8754B" w:rsidP="007C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483856764"/>
      <w:docPartObj>
        <w:docPartGallery w:val="Page Numbers (Bottom of Page)"/>
        <w:docPartUnique/>
      </w:docPartObj>
    </w:sdtPr>
    <w:sdtContent>
      <w:p w14:paraId="424B6C25" w14:textId="7D86E401" w:rsidR="007C684C" w:rsidRDefault="007C68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49A2F" w14:textId="77777777" w:rsidR="00A8754B" w:rsidRDefault="00A8754B" w:rsidP="007C684C">
      <w:pPr>
        <w:spacing w:after="0" w:line="240" w:lineRule="auto"/>
      </w:pPr>
      <w:r>
        <w:separator/>
      </w:r>
    </w:p>
  </w:footnote>
  <w:footnote w:type="continuationSeparator" w:id="0">
    <w:p w14:paraId="44B7D14E" w14:textId="77777777" w:rsidR="00A8754B" w:rsidRDefault="00A8754B" w:rsidP="007C68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5D"/>
    <w:rsid w:val="003F665D"/>
    <w:rsid w:val="007C684C"/>
    <w:rsid w:val="00A8754B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D5B5"/>
  <w15:chartTrackingRefBased/>
  <w15:docId w15:val="{2CD08E40-6689-43EB-BF4F-96E3BA56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84C"/>
  </w:style>
  <w:style w:type="paragraph" w:styleId="Footer">
    <w:name w:val="footer"/>
    <w:basedOn w:val="Normal"/>
    <w:link w:val="FooterChar"/>
    <w:uiPriority w:val="99"/>
    <w:unhideWhenUsed/>
    <w:rsid w:val="007C6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2</cp:revision>
  <dcterms:created xsi:type="dcterms:W3CDTF">2026-09-30T06:45:00Z</dcterms:created>
  <dcterms:modified xsi:type="dcterms:W3CDTF">2026-10-04T08:11:00Z</dcterms:modified>
</cp:coreProperties>
</file>