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BBC4E0" w14:textId="77777777" w:rsidR="008D3514" w:rsidRPr="008D3514" w:rsidRDefault="008D3514" w:rsidP="008D3514">
      <w:pPr>
        <w:bidi w:val="0"/>
        <w:spacing w:line="360" w:lineRule="auto"/>
        <w:jc w:val="both"/>
        <w:rPr>
          <w:rFonts w:asciiTheme="majorBidi" w:hAnsiTheme="majorBidi" w:cstheme="majorBidi"/>
          <w:szCs w:val="24"/>
        </w:rPr>
      </w:pPr>
      <w:r w:rsidRPr="008D3514">
        <w:rPr>
          <w:rFonts w:asciiTheme="majorBidi" w:hAnsiTheme="majorBidi" w:cstheme="majorBidi"/>
          <w:szCs w:val="24"/>
        </w:rPr>
        <w:t>References — Chapter 6</w:t>
      </w:r>
    </w:p>
    <w:p w14:paraId="0C7C83F2" w14:textId="77777777" w:rsidR="008D3514" w:rsidRPr="008D3514" w:rsidRDefault="008D3514" w:rsidP="008D3514">
      <w:pPr>
        <w:bidi w:val="0"/>
        <w:spacing w:line="360" w:lineRule="auto"/>
        <w:jc w:val="both"/>
        <w:rPr>
          <w:rFonts w:asciiTheme="majorBidi" w:hAnsiTheme="majorBidi" w:cstheme="majorBidi"/>
          <w:szCs w:val="24"/>
          <w:rtl/>
        </w:rPr>
      </w:pPr>
      <w:r w:rsidRPr="008D3514">
        <w:rPr>
          <w:rFonts w:asciiTheme="majorBidi" w:hAnsiTheme="majorBidi" w:cstheme="majorBidi"/>
          <w:szCs w:val="24"/>
          <w:rtl/>
        </w:rPr>
        <w:t xml:space="preserve">- </w:t>
      </w:r>
      <w:r w:rsidRPr="008D3514">
        <w:rPr>
          <w:rFonts w:asciiTheme="majorBidi" w:hAnsiTheme="majorBidi" w:cstheme="majorBidi"/>
          <w:szCs w:val="24"/>
        </w:rPr>
        <w:t xml:space="preserve">Wilkinson, M. D., Dumontier, M., </w:t>
      </w:r>
      <w:proofErr w:type="spellStart"/>
      <w:r w:rsidRPr="008D3514">
        <w:rPr>
          <w:rFonts w:asciiTheme="majorBidi" w:hAnsiTheme="majorBidi" w:cstheme="majorBidi"/>
          <w:szCs w:val="24"/>
        </w:rPr>
        <w:t>Aalbersberg</w:t>
      </w:r>
      <w:proofErr w:type="spellEnd"/>
      <w:r w:rsidRPr="008D3514">
        <w:rPr>
          <w:rFonts w:asciiTheme="majorBidi" w:hAnsiTheme="majorBidi" w:cstheme="majorBidi"/>
          <w:szCs w:val="24"/>
        </w:rPr>
        <w:t>, I. J., Appleton, G., Axton, M., Baak, A., ... &amp; Mons, B. (2016). The FAIR Guiding Principles for scientific data management and stewardship. Scientific Data, 3, Article 160018. https://doi.org/10.1038/sdata.2016.18</w:t>
      </w:r>
    </w:p>
    <w:p w14:paraId="1FDE81BB" w14:textId="77777777" w:rsidR="008D3514" w:rsidRPr="008D3514" w:rsidRDefault="008D3514" w:rsidP="008D3514">
      <w:pPr>
        <w:bidi w:val="0"/>
        <w:spacing w:line="360" w:lineRule="auto"/>
        <w:jc w:val="both"/>
        <w:rPr>
          <w:rFonts w:asciiTheme="majorBidi" w:hAnsiTheme="majorBidi" w:cstheme="majorBidi"/>
          <w:szCs w:val="24"/>
        </w:rPr>
      </w:pPr>
      <w:r w:rsidRPr="008D3514">
        <w:rPr>
          <w:rFonts w:asciiTheme="majorBidi" w:hAnsiTheme="majorBidi" w:cstheme="majorBidi"/>
          <w:szCs w:val="24"/>
          <w:rtl/>
        </w:rPr>
        <w:t xml:space="preserve">- </w:t>
      </w:r>
      <w:proofErr w:type="spellStart"/>
      <w:r w:rsidRPr="008D3514">
        <w:rPr>
          <w:rFonts w:asciiTheme="majorBidi" w:hAnsiTheme="majorBidi" w:cstheme="majorBidi"/>
          <w:szCs w:val="24"/>
        </w:rPr>
        <w:t>Batini</w:t>
      </w:r>
      <w:proofErr w:type="spellEnd"/>
      <w:r w:rsidRPr="008D3514">
        <w:rPr>
          <w:rFonts w:asciiTheme="majorBidi" w:hAnsiTheme="majorBidi" w:cstheme="majorBidi"/>
          <w:szCs w:val="24"/>
        </w:rPr>
        <w:t xml:space="preserve">, C., Cappiello, C., </w:t>
      </w:r>
      <w:proofErr w:type="spellStart"/>
      <w:r w:rsidRPr="008D3514">
        <w:rPr>
          <w:rFonts w:asciiTheme="majorBidi" w:hAnsiTheme="majorBidi" w:cstheme="majorBidi"/>
          <w:szCs w:val="24"/>
        </w:rPr>
        <w:t>Francalanci</w:t>
      </w:r>
      <w:proofErr w:type="spellEnd"/>
      <w:r w:rsidRPr="008D3514">
        <w:rPr>
          <w:rFonts w:asciiTheme="majorBidi" w:hAnsiTheme="majorBidi" w:cstheme="majorBidi"/>
          <w:szCs w:val="24"/>
        </w:rPr>
        <w:t>, C., &amp; Maurino, A. (2009). Methodologies for data quality assessment and improvement. ACM Computing Surveys, 41(3), Article 16. https://doi.org/10.1145/1541880.1541883</w:t>
      </w:r>
    </w:p>
    <w:p w14:paraId="362399DB" w14:textId="77777777" w:rsidR="008D3514" w:rsidRPr="008D3514" w:rsidRDefault="008D3514" w:rsidP="008D3514">
      <w:pPr>
        <w:bidi w:val="0"/>
        <w:spacing w:line="360" w:lineRule="auto"/>
        <w:jc w:val="both"/>
        <w:rPr>
          <w:rFonts w:asciiTheme="majorBidi" w:hAnsiTheme="majorBidi" w:cstheme="majorBidi"/>
          <w:szCs w:val="24"/>
        </w:rPr>
      </w:pPr>
      <w:r w:rsidRPr="008D3514">
        <w:rPr>
          <w:rFonts w:asciiTheme="majorBidi" w:hAnsiTheme="majorBidi" w:cstheme="majorBidi"/>
          <w:szCs w:val="24"/>
          <w:rtl/>
        </w:rPr>
        <w:t xml:space="preserve">- </w:t>
      </w:r>
      <w:r w:rsidRPr="008D3514">
        <w:rPr>
          <w:rFonts w:asciiTheme="majorBidi" w:hAnsiTheme="majorBidi" w:cstheme="majorBidi"/>
          <w:szCs w:val="24"/>
        </w:rPr>
        <w:t>Michener, W. K. (2015). Ten simple rules for creating a good data management plan. PLOS Computational Biology, 11(10), e1004525. https://doi.org/10.1371/journal.pcbi.1004525</w:t>
      </w:r>
    </w:p>
    <w:p w14:paraId="0ED245DF" w14:textId="77777777" w:rsidR="008D3514" w:rsidRPr="008D3514" w:rsidRDefault="008D3514" w:rsidP="008D3514">
      <w:pPr>
        <w:bidi w:val="0"/>
        <w:spacing w:line="360" w:lineRule="auto"/>
        <w:jc w:val="both"/>
        <w:rPr>
          <w:rFonts w:asciiTheme="majorBidi" w:hAnsiTheme="majorBidi" w:cstheme="majorBidi"/>
          <w:szCs w:val="24"/>
        </w:rPr>
      </w:pPr>
      <w:r w:rsidRPr="008D3514">
        <w:rPr>
          <w:rFonts w:asciiTheme="majorBidi" w:hAnsiTheme="majorBidi" w:cstheme="majorBidi"/>
          <w:szCs w:val="24"/>
          <w:rtl/>
        </w:rPr>
        <w:t xml:space="preserve">- </w:t>
      </w:r>
      <w:r w:rsidRPr="008D3514">
        <w:rPr>
          <w:rFonts w:asciiTheme="majorBidi" w:hAnsiTheme="majorBidi" w:cstheme="majorBidi"/>
          <w:szCs w:val="24"/>
        </w:rPr>
        <w:t>Gibert, K., Horsburgh, J. S., Athanasiadis, I. N., &amp; Holmes, G. (2018). Environmental Data Science. Environmental Modelling &amp; Software, 106, 4–12. https://doi.org/10.1016/j.envsoft.2018.04.005</w:t>
      </w:r>
    </w:p>
    <w:p w14:paraId="33CF3149" w14:textId="77777777" w:rsidR="008D3514" w:rsidRPr="008D3514" w:rsidRDefault="008D3514" w:rsidP="008D3514">
      <w:pPr>
        <w:bidi w:val="0"/>
        <w:spacing w:line="360" w:lineRule="auto"/>
        <w:jc w:val="both"/>
        <w:rPr>
          <w:rFonts w:asciiTheme="majorBidi" w:hAnsiTheme="majorBidi" w:cstheme="majorBidi"/>
          <w:szCs w:val="24"/>
        </w:rPr>
      </w:pPr>
      <w:r w:rsidRPr="008D3514">
        <w:rPr>
          <w:rFonts w:asciiTheme="majorBidi" w:hAnsiTheme="majorBidi" w:cstheme="majorBidi"/>
          <w:szCs w:val="24"/>
          <w:rtl/>
        </w:rPr>
        <w:t xml:space="preserve">- </w:t>
      </w:r>
      <w:proofErr w:type="spellStart"/>
      <w:r w:rsidRPr="008D3514">
        <w:rPr>
          <w:rFonts w:asciiTheme="majorBidi" w:hAnsiTheme="majorBidi" w:cstheme="majorBidi"/>
          <w:szCs w:val="24"/>
        </w:rPr>
        <w:t>Hipp</w:t>
      </w:r>
      <w:proofErr w:type="spellEnd"/>
      <w:r w:rsidRPr="008D3514">
        <w:rPr>
          <w:rFonts w:asciiTheme="majorBidi" w:hAnsiTheme="majorBidi" w:cstheme="majorBidi"/>
          <w:szCs w:val="24"/>
        </w:rPr>
        <w:t>, D. R. (2020). SQLite. O'Reilly Media</w:t>
      </w:r>
      <w:r w:rsidRPr="008D3514">
        <w:rPr>
          <w:rFonts w:asciiTheme="majorBidi" w:hAnsiTheme="majorBidi" w:cstheme="majorBidi"/>
          <w:szCs w:val="24"/>
          <w:rtl/>
        </w:rPr>
        <w:t>.</w:t>
      </w:r>
    </w:p>
    <w:p w14:paraId="2EA29CFB" w14:textId="77777777" w:rsidR="008D3514" w:rsidRPr="008D3514" w:rsidRDefault="008D3514" w:rsidP="008D3514">
      <w:pPr>
        <w:bidi w:val="0"/>
        <w:spacing w:line="360" w:lineRule="auto"/>
        <w:jc w:val="both"/>
        <w:rPr>
          <w:rFonts w:asciiTheme="majorBidi" w:hAnsiTheme="majorBidi" w:cstheme="majorBidi"/>
          <w:szCs w:val="24"/>
        </w:rPr>
      </w:pPr>
      <w:r w:rsidRPr="008D3514">
        <w:rPr>
          <w:rFonts w:asciiTheme="majorBidi" w:hAnsiTheme="majorBidi" w:cstheme="majorBidi"/>
          <w:szCs w:val="24"/>
          <w:rtl/>
        </w:rPr>
        <w:t xml:space="preserve">- </w:t>
      </w:r>
      <w:r w:rsidRPr="008D3514">
        <w:rPr>
          <w:rFonts w:asciiTheme="majorBidi" w:hAnsiTheme="majorBidi" w:cstheme="majorBidi"/>
          <w:szCs w:val="24"/>
        </w:rPr>
        <w:t xml:space="preserve">McKinney, W. (2022). Python for Data Analysis: Data Wrangling with pandas, NumPy, and </w:t>
      </w:r>
      <w:proofErr w:type="spellStart"/>
      <w:r w:rsidRPr="008D3514">
        <w:rPr>
          <w:rFonts w:asciiTheme="majorBidi" w:hAnsiTheme="majorBidi" w:cstheme="majorBidi"/>
          <w:szCs w:val="24"/>
        </w:rPr>
        <w:t>Jupyter</w:t>
      </w:r>
      <w:proofErr w:type="spellEnd"/>
      <w:r w:rsidRPr="008D3514">
        <w:rPr>
          <w:rFonts w:asciiTheme="majorBidi" w:hAnsiTheme="majorBidi" w:cstheme="majorBidi"/>
          <w:szCs w:val="24"/>
        </w:rPr>
        <w:t xml:space="preserve"> (3rd ed.). O'Reilly Media</w:t>
      </w:r>
      <w:r w:rsidRPr="008D3514">
        <w:rPr>
          <w:rFonts w:asciiTheme="majorBidi" w:hAnsiTheme="majorBidi" w:cstheme="majorBidi"/>
          <w:szCs w:val="24"/>
          <w:rtl/>
        </w:rPr>
        <w:t>.</w:t>
      </w:r>
    </w:p>
    <w:p w14:paraId="2F6D0C65" w14:textId="77777777" w:rsidR="008D3514" w:rsidRPr="008D3514" w:rsidRDefault="008D3514" w:rsidP="008D3514">
      <w:pPr>
        <w:bidi w:val="0"/>
        <w:spacing w:line="360" w:lineRule="auto"/>
        <w:jc w:val="both"/>
        <w:rPr>
          <w:rFonts w:asciiTheme="majorBidi" w:hAnsiTheme="majorBidi" w:cstheme="majorBidi"/>
          <w:szCs w:val="24"/>
        </w:rPr>
      </w:pPr>
      <w:r w:rsidRPr="008D3514">
        <w:rPr>
          <w:rFonts w:asciiTheme="majorBidi" w:hAnsiTheme="majorBidi" w:cstheme="majorBidi"/>
          <w:szCs w:val="24"/>
          <w:rtl/>
        </w:rPr>
        <w:t xml:space="preserve">- </w:t>
      </w:r>
      <w:r w:rsidRPr="008D3514">
        <w:rPr>
          <w:rFonts w:asciiTheme="majorBidi" w:hAnsiTheme="majorBidi" w:cstheme="majorBidi"/>
          <w:szCs w:val="24"/>
        </w:rPr>
        <w:t xml:space="preserve">Helsel, D. R., Hirsch, R. M., Ryberg, K. R., </w:t>
      </w:r>
      <w:proofErr w:type="spellStart"/>
      <w:r w:rsidRPr="008D3514">
        <w:rPr>
          <w:rFonts w:asciiTheme="majorBidi" w:hAnsiTheme="majorBidi" w:cstheme="majorBidi"/>
          <w:szCs w:val="24"/>
        </w:rPr>
        <w:t>Archfield</w:t>
      </w:r>
      <w:proofErr w:type="spellEnd"/>
      <w:r w:rsidRPr="008D3514">
        <w:rPr>
          <w:rFonts w:asciiTheme="majorBidi" w:hAnsiTheme="majorBidi" w:cstheme="majorBidi"/>
          <w:szCs w:val="24"/>
        </w:rPr>
        <w:t>, S. A., &amp; Gilroy, E. J. (2020). Statistical Methods in Water Resources. U.S. Geological Survey Techniques and Methods, Book 4, Chapter A3. https://doi.org/10.3133/tm4a3</w:t>
      </w:r>
    </w:p>
    <w:p w14:paraId="058155E9" w14:textId="77777777" w:rsidR="008D3514" w:rsidRPr="008D3514" w:rsidRDefault="008D3514" w:rsidP="008D3514">
      <w:pPr>
        <w:bidi w:val="0"/>
        <w:spacing w:line="360" w:lineRule="auto"/>
        <w:jc w:val="both"/>
        <w:rPr>
          <w:rFonts w:asciiTheme="majorBidi" w:hAnsiTheme="majorBidi" w:cstheme="majorBidi"/>
          <w:szCs w:val="24"/>
        </w:rPr>
      </w:pPr>
      <w:r w:rsidRPr="008D3514">
        <w:rPr>
          <w:rFonts w:asciiTheme="majorBidi" w:hAnsiTheme="majorBidi" w:cstheme="majorBidi"/>
          <w:szCs w:val="24"/>
          <w:rtl/>
        </w:rPr>
        <w:t xml:space="preserve">- </w:t>
      </w:r>
      <w:r w:rsidRPr="008D3514">
        <w:rPr>
          <w:rFonts w:asciiTheme="majorBidi" w:hAnsiTheme="majorBidi" w:cstheme="majorBidi"/>
          <w:szCs w:val="24"/>
        </w:rPr>
        <w:t>Little, R. J. A., &amp; Rubin, D. B. (2019). Statistical Analysis with Missing Data (3rd ed.). John Wiley &amp; Sons</w:t>
      </w:r>
      <w:r w:rsidRPr="008D3514">
        <w:rPr>
          <w:rFonts w:asciiTheme="majorBidi" w:hAnsiTheme="majorBidi" w:cstheme="majorBidi"/>
          <w:szCs w:val="24"/>
          <w:rtl/>
        </w:rPr>
        <w:t>.</w:t>
      </w:r>
    </w:p>
    <w:p w14:paraId="4DC98F9B" w14:textId="77777777" w:rsidR="008D3514" w:rsidRPr="008D3514" w:rsidRDefault="008D3514" w:rsidP="008D3514">
      <w:pPr>
        <w:bidi w:val="0"/>
        <w:spacing w:line="360" w:lineRule="auto"/>
        <w:jc w:val="both"/>
        <w:rPr>
          <w:rFonts w:asciiTheme="majorBidi" w:hAnsiTheme="majorBidi" w:cstheme="majorBidi"/>
          <w:szCs w:val="24"/>
        </w:rPr>
      </w:pPr>
      <w:r w:rsidRPr="008D3514">
        <w:rPr>
          <w:rFonts w:asciiTheme="majorBidi" w:hAnsiTheme="majorBidi" w:cstheme="majorBidi"/>
          <w:szCs w:val="24"/>
          <w:rtl/>
        </w:rPr>
        <w:t xml:space="preserve">- </w:t>
      </w:r>
      <w:r w:rsidRPr="008D3514">
        <w:rPr>
          <w:rFonts w:asciiTheme="majorBidi" w:hAnsiTheme="majorBidi" w:cstheme="majorBidi"/>
          <w:szCs w:val="24"/>
        </w:rPr>
        <w:t>Aggarwal, C. C. (2017). Outlier Analysis (2nd ed.). Springer. https://doi.org/10.1007/978-3-319-47578-3</w:t>
      </w:r>
    </w:p>
    <w:p w14:paraId="4896FD7B" w14:textId="77777777" w:rsidR="008D3514" w:rsidRPr="008D3514" w:rsidRDefault="008D3514" w:rsidP="008D3514">
      <w:pPr>
        <w:bidi w:val="0"/>
        <w:spacing w:line="360" w:lineRule="auto"/>
        <w:jc w:val="both"/>
        <w:rPr>
          <w:rFonts w:asciiTheme="majorBidi" w:hAnsiTheme="majorBidi" w:cstheme="majorBidi"/>
          <w:szCs w:val="24"/>
        </w:rPr>
      </w:pPr>
      <w:r w:rsidRPr="008D3514">
        <w:rPr>
          <w:rFonts w:asciiTheme="majorBidi" w:hAnsiTheme="majorBidi" w:cstheme="majorBidi"/>
          <w:szCs w:val="24"/>
          <w:rtl/>
        </w:rPr>
        <w:t xml:space="preserve">- </w:t>
      </w:r>
      <w:r w:rsidRPr="008D3514">
        <w:rPr>
          <w:rFonts w:asciiTheme="majorBidi" w:hAnsiTheme="majorBidi" w:cstheme="majorBidi"/>
          <w:szCs w:val="24"/>
        </w:rPr>
        <w:t xml:space="preserve">Van't Veen, S. G. M., Kronvang, B., Audet, J., et al. (2024). </w:t>
      </w:r>
      <w:proofErr w:type="spellStart"/>
      <w:r w:rsidRPr="008D3514">
        <w:rPr>
          <w:rFonts w:asciiTheme="majorBidi" w:hAnsiTheme="majorBidi" w:cstheme="majorBidi"/>
          <w:szCs w:val="24"/>
        </w:rPr>
        <w:t>SentemQC</w:t>
      </w:r>
      <w:proofErr w:type="spellEnd"/>
      <w:r w:rsidRPr="008D3514">
        <w:rPr>
          <w:rFonts w:asciiTheme="majorBidi" w:hAnsiTheme="majorBidi" w:cstheme="majorBidi"/>
          <w:szCs w:val="24"/>
        </w:rPr>
        <w:t xml:space="preserve"> — QA-QC of high temporal resolution sensor data. Open Research Europe, 4, Article 244. https://doi.org/10.12688/openreseurope.17457.1</w:t>
      </w:r>
    </w:p>
    <w:p w14:paraId="63873F28" w14:textId="77777777" w:rsidR="008D3514" w:rsidRPr="008D3514" w:rsidRDefault="008D3514" w:rsidP="008D3514">
      <w:pPr>
        <w:bidi w:val="0"/>
        <w:spacing w:line="360" w:lineRule="auto"/>
        <w:jc w:val="both"/>
        <w:rPr>
          <w:rFonts w:asciiTheme="majorBidi" w:hAnsiTheme="majorBidi" w:cstheme="majorBidi"/>
          <w:szCs w:val="24"/>
        </w:rPr>
      </w:pPr>
      <w:r w:rsidRPr="008D3514">
        <w:rPr>
          <w:rFonts w:asciiTheme="majorBidi" w:hAnsiTheme="majorBidi" w:cstheme="majorBidi"/>
          <w:szCs w:val="24"/>
          <w:rtl/>
        </w:rPr>
        <w:t xml:space="preserve">- </w:t>
      </w:r>
      <w:r w:rsidRPr="008D3514">
        <w:rPr>
          <w:rFonts w:asciiTheme="majorBidi" w:hAnsiTheme="majorBidi" w:cstheme="majorBidi"/>
          <w:szCs w:val="24"/>
        </w:rPr>
        <w:t>International Organization for Standardization (ISO). (2015). ISO 9001:2015 — Quality management systems: Requirements. ISO</w:t>
      </w:r>
      <w:r w:rsidRPr="008D3514">
        <w:rPr>
          <w:rFonts w:asciiTheme="majorBidi" w:hAnsiTheme="majorBidi" w:cstheme="majorBidi"/>
          <w:szCs w:val="24"/>
          <w:rtl/>
        </w:rPr>
        <w:t>.</w:t>
      </w:r>
    </w:p>
    <w:p w14:paraId="568EDBD0" w14:textId="77777777" w:rsidR="008D3514" w:rsidRPr="008D3514" w:rsidRDefault="008D3514" w:rsidP="008D3514">
      <w:pPr>
        <w:bidi w:val="0"/>
        <w:spacing w:line="360" w:lineRule="auto"/>
        <w:jc w:val="both"/>
        <w:rPr>
          <w:rFonts w:asciiTheme="majorBidi" w:hAnsiTheme="majorBidi" w:cstheme="majorBidi"/>
          <w:szCs w:val="24"/>
        </w:rPr>
      </w:pPr>
      <w:r w:rsidRPr="008D3514">
        <w:rPr>
          <w:rFonts w:asciiTheme="majorBidi" w:hAnsiTheme="majorBidi" w:cstheme="majorBidi"/>
          <w:szCs w:val="24"/>
          <w:rtl/>
        </w:rPr>
        <w:lastRenderedPageBreak/>
        <w:t xml:space="preserve">- </w:t>
      </w:r>
      <w:r w:rsidRPr="008D3514">
        <w:rPr>
          <w:rFonts w:asciiTheme="majorBidi" w:hAnsiTheme="majorBidi" w:cstheme="majorBidi"/>
          <w:szCs w:val="24"/>
        </w:rPr>
        <w:t>International Organization for Standardization (ISO). (2018). ISO 14064-1:2018 — Greenhouse gases: Part 1: Specification with guidance at the organization level for quantification and reporting of greenhouse gas emissions and removals. ISO</w:t>
      </w:r>
      <w:r w:rsidRPr="008D3514">
        <w:rPr>
          <w:rFonts w:asciiTheme="majorBidi" w:hAnsiTheme="majorBidi" w:cstheme="majorBidi"/>
          <w:szCs w:val="24"/>
          <w:rtl/>
        </w:rPr>
        <w:t>.</w:t>
      </w:r>
    </w:p>
    <w:p w14:paraId="4193A530" w14:textId="77777777" w:rsidR="008D3514" w:rsidRPr="008D3514" w:rsidRDefault="008D3514" w:rsidP="008D3514">
      <w:pPr>
        <w:bidi w:val="0"/>
        <w:spacing w:line="360" w:lineRule="auto"/>
        <w:jc w:val="both"/>
        <w:rPr>
          <w:rFonts w:asciiTheme="majorBidi" w:hAnsiTheme="majorBidi" w:cstheme="majorBidi"/>
          <w:szCs w:val="24"/>
        </w:rPr>
      </w:pPr>
      <w:r w:rsidRPr="008D3514">
        <w:rPr>
          <w:rFonts w:asciiTheme="majorBidi" w:hAnsiTheme="majorBidi" w:cstheme="majorBidi"/>
          <w:szCs w:val="24"/>
          <w:rtl/>
        </w:rPr>
        <w:t xml:space="preserve">- </w:t>
      </w:r>
      <w:r w:rsidRPr="008D3514">
        <w:rPr>
          <w:rFonts w:asciiTheme="majorBidi" w:hAnsiTheme="majorBidi" w:cstheme="majorBidi"/>
          <w:szCs w:val="24"/>
        </w:rPr>
        <w:t>Greenhouse Gas Protocol (GHG Protocol). (2024). Corporate Standard — Standard Development Plan. World Resources Institute &amp; World Business Council for Sustainable Development</w:t>
      </w:r>
      <w:r w:rsidRPr="008D3514">
        <w:rPr>
          <w:rFonts w:asciiTheme="majorBidi" w:hAnsiTheme="majorBidi" w:cstheme="majorBidi"/>
          <w:szCs w:val="24"/>
          <w:rtl/>
        </w:rPr>
        <w:t>.</w:t>
      </w:r>
    </w:p>
    <w:p w14:paraId="5834E81F" w14:textId="77777777" w:rsidR="008D3514" w:rsidRPr="008D3514" w:rsidRDefault="008D3514" w:rsidP="008D3514">
      <w:pPr>
        <w:bidi w:val="0"/>
        <w:spacing w:line="360" w:lineRule="auto"/>
        <w:jc w:val="both"/>
        <w:rPr>
          <w:rFonts w:asciiTheme="majorBidi" w:hAnsiTheme="majorBidi" w:cstheme="majorBidi"/>
          <w:szCs w:val="24"/>
        </w:rPr>
      </w:pPr>
      <w:r w:rsidRPr="008D3514">
        <w:rPr>
          <w:rFonts w:asciiTheme="majorBidi" w:hAnsiTheme="majorBidi" w:cstheme="majorBidi"/>
          <w:szCs w:val="24"/>
          <w:rtl/>
        </w:rPr>
        <w:t xml:space="preserve">- </w:t>
      </w:r>
      <w:r w:rsidRPr="008D3514">
        <w:rPr>
          <w:rFonts w:asciiTheme="majorBidi" w:hAnsiTheme="majorBidi" w:cstheme="majorBidi"/>
          <w:szCs w:val="24"/>
        </w:rPr>
        <w:t>World Health Organization (WHO). (2021). WHO global air quality guidelines: Particulate matter (PM2.5 and PM10), ozone, nitrogen dioxide, sulfur dioxide and carbon monoxide. World Health Organization</w:t>
      </w:r>
      <w:r w:rsidRPr="008D3514">
        <w:rPr>
          <w:rFonts w:asciiTheme="majorBidi" w:hAnsiTheme="majorBidi" w:cstheme="majorBidi"/>
          <w:szCs w:val="24"/>
          <w:rtl/>
        </w:rPr>
        <w:t>.</w:t>
      </w:r>
    </w:p>
    <w:p w14:paraId="498072C8" w14:textId="00B9C442" w:rsidR="00DA7574" w:rsidRPr="008D3514" w:rsidRDefault="008D3514" w:rsidP="008D3514">
      <w:pPr>
        <w:bidi w:val="0"/>
        <w:spacing w:line="360" w:lineRule="auto"/>
        <w:jc w:val="both"/>
        <w:rPr>
          <w:rFonts w:asciiTheme="majorBidi" w:hAnsiTheme="majorBidi" w:cstheme="majorBidi"/>
          <w:szCs w:val="24"/>
        </w:rPr>
      </w:pPr>
      <w:r w:rsidRPr="008D3514">
        <w:rPr>
          <w:rFonts w:asciiTheme="majorBidi" w:hAnsiTheme="majorBidi" w:cstheme="majorBidi"/>
          <w:szCs w:val="24"/>
          <w:rtl/>
        </w:rPr>
        <w:t xml:space="preserve">- </w:t>
      </w:r>
      <w:r w:rsidRPr="008D3514">
        <w:rPr>
          <w:rFonts w:asciiTheme="majorBidi" w:hAnsiTheme="majorBidi" w:cstheme="majorBidi"/>
          <w:szCs w:val="24"/>
        </w:rPr>
        <w:t>World Bank. (2025). Global Gas Flaring Tracker Report. World Bank Group</w:t>
      </w:r>
      <w:r w:rsidRPr="008D3514">
        <w:rPr>
          <w:rFonts w:asciiTheme="majorBidi" w:hAnsiTheme="majorBidi" w:cstheme="majorBidi"/>
          <w:szCs w:val="24"/>
          <w:rtl/>
        </w:rPr>
        <w:t>.</w:t>
      </w:r>
    </w:p>
    <w:sectPr w:rsidR="00DA7574" w:rsidRPr="008D3514" w:rsidSect="00DA7574">
      <w:footerReference w:type="default" r:id="rId6"/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94764D" w14:textId="77777777" w:rsidR="002C56CD" w:rsidRDefault="002C56CD" w:rsidP="008D3514">
      <w:pPr>
        <w:spacing w:after="0" w:line="240" w:lineRule="auto"/>
      </w:pPr>
      <w:r>
        <w:separator/>
      </w:r>
    </w:p>
  </w:endnote>
  <w:endnote w:type="continuationSeparator" w:id="0">
    <w:p w14:paraId="0DA24329" w14:textId="77777777" w:rsidR="002C56CD" w:rsidRDefault="002C56CD" w:rsidP="008D35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tl/>
      </w:rPr>
      <w:id w:val="-1034413979"/>
      <w:docPartObj>
        <w:docPartGallery w:val="Page Numbers (Bottom of Page)"/>
        <w:docPartUnique/>
      </w:docPartObj>
    </w:sdtPr>
    <w:sdtContent>
      <w:p w14:paraId="04FA6A40" w14:textId="21A3BBA8" w:rsidR="008D3514" w:rsidRDefault="008D351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D80EDF" w14:textId="77777777" w:rsidR="002C56CD" w:rsidRDefault="002C56CD" w:rsidP="008D3514">
      <w:pPr>
        <w:spacing w:after="0" w:line="240" w:lineRule="auto"/>
      </w:pPr>
      <w:r>
        <w:separator/>
      </w:r>
    </w:p>
  </w:footnote>
  <w:footnote w:type="continuationSeparator" w:id="0">
    <w:p w14:paraId="3469563D" w14:textId="77777777" w:rsidR="002C56CD" w:rsidRDefault="002C56CD" w:rsidP="008D35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83C"/>
    <w:rsid w:val="002C56CD"/>
    <w:rsid w:val="008D3514"/>
    <w:rsid w:val="00DA7574"/>
    <w:rsid w:val="00FA5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E7852"/>
  <w15:chartTrackingRefBased/>
  <w15:docId w15:val="{692CD570-F8A3-4A3F-B0D4-ED554E8AD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35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3514"/>
  </w:style>
  <w:style w:type="paragraph" w:styleId="Footer">
    <w:name w:val="footer"/>
    <w:basedOn w:val="Normal"/>
    <w:link w:val="FooterChar"/>
    <w:uiPriority w:val="99"/>
    <w:unhideWhenUsed/>
    <w:rsid w:val="008D35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35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 Farmahini Farahani</dc:creator>
  <cp:keywords/>
  <dc:description/>
  <cp:lastModifiedBy>Hadi Farmahini Farahani</cp:lastModifiedBy>
  <cp:revision>3</cp:revision>
  <dcterms:created xsi:type="dcterms:W3CDTF">2026-09-30T08:16:00Z</dcterms:created>
  <dcterms:modified xsi:type="dcterms:W3CDTF">2026-10-04T08:10:00Z</dcterms:modified>
</cp:coreProperties>
</file>