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28"/>
          <w:szCs w:val="28"/>
        </w:rPr>
        <w:t xml:space="preserve">UNIVERSITI TEKNOLOGI PETRONAS</w:t>
      </w:r>
    </w:p>
    <w:p>
      <w:pPr>
        <w:spacing w:after="200"/>
        <w:jc w:val="center"/>
      </w:pPr>
      <w:r>
        <w:rPr>
          <w:rFonts w:ascii="Arial" w:cs="Arial" w:eastAsia="Arial" w:hAnsi="Arial"/>
          <w:sz w:val="24"/>
          <w:szCs w:val="24"/>
        </w:rPr>
        <w:t xml:space="preserve">Bachelor of Computer Science (Hons)</w:t>
      </w:r>
    </w:p>
    <w:p>
      <w:pPr>
        <w:spacing w:after="600"/>
        <w:jc w:val="center"/>
      </w:pPr>
      <w:r>
        <w:rPr>
          <w:rFonts w:ascii="Arial" w:cs="Arial" w:eastAsia="Arial" w:hAnsi="Arial"/>
          <w:b/>
          <w:bCs/>
          <w:color w:val="2E75B6"/>
          <w:sz w:val="26"/>
          <w:szCs w:val="26"/>
        </w:rPr>
        <w:t xml:space="preserve">FINAL YEAR PROJECT 1 – WEEK 5 DELIVERABLES</w:t>
      </w:r>
    </w:p>
    <w:p>
      <w:pPr>
        <w:spacing w:after="200"/>
      </w:pPr>
    </w:p>
    <w:p>
      <w:pPr>
        <w:spacing w:after="200"/>
        <w:jc w:val="center"/>
      </w:pPr>
      <w:r>
        <w:rPr>
          <w:rFonts w:ascii="Arial" w:cs="Arial" w:eastAsia="Arial" w:hAnsi="Arial"/>
          <w:b/>
          <w:bCs/>
          <w:color w:val="1F4E79"/>
          <w:sz w:val="36"/>
          <w:szCs w:val="36"/>
        </w:rPr>
        <w:t xml:space="preserve">Literature Review Consolidation</w:t>
      </w:r>
    </w:p>
    <w:p>
      <w:pPr>
        <w:spacing w:after="600"/>
        <w:jc w:val="center"/>
      </w:pPr>
      <w:r>
        <w:rPr>
          <w:rFonts w:ascii="Arial" w:cs="Arial" w:eastAsia="Arial" w:hAnsi="Arial"/>
          <w:i/>
          <w:iCs/>
          <w:color w:val="404040"/>
          <w:sz w:val="22"/>
          <w:szCs w:val="22"/>
        </w:rPr>
        <w:t xml:space="preserve">Gen-Z Financial Copilot: An AI-Driven System for Financial Health Forecasting and BNPL Debt Prevention</w:t>
      </w:r>
    </w:p>
    <w:p>
      <w:pPr>
        <w:spacing w:after="800"/>
      </w:pPr>
    </w:p>
    <w:p>
      <w:pPr>
        <w:spacing w:after="100"/>
        <w:jc w:val="center"/>
      </w:pPr>
      <w:r>
        <w:rPr>
          <w:rFonts w:ascii="Arial" w:cs="Arial" w:eastAsia="Arial" w:hAnsi="Arial"/>
          <w:sz w:val="22"/>
          <w:szCs w:val="22"/>
        </w:rPr>
        <w:t xml:space="preserve">Prepared by:</w:t>
      </w:r>
    </w:p>
    <w:p>
      <w:pPr>
        <w:spacing w:after="100"/>
        <w:jc w:val="center"/>
      </w:pPr>
      <w:r>
        <w:rPr>
          <w:rFonts w:ascii="Arial" w:cs="Arial" w:eastAsia="Arial" w:hAnsi="Arial"/>
          <w:b/>
          <w:bCs/>
          <w:sz w:val="24"/>
          <w:szCs w:val="24"/>
        </w:rPr>
        <w:t xml:space="preserve">Nur Farah Binti Ahmad Nazri</w:t>
      </w:r>
    </w:p>
    <w:p>
      <w:pPr>
        <w:spacing w:after="100"/>
        <w:jc w:val="center"/>
      </w:pPr>
      <w:r>
        <w:rPr>
          <w:rFonts w:ascii="Arial" w:cs="Arial" w:eastAsia="Arial" w:hAnsi="Arial"/>
          <w:sz w:val="22"/>
          <w:szCs w:val="22"/>
        </w:rPr>
        <w:t xml:space="preserve">Student ID: 22007916</w:t>
      </w:r>
    </w:p>
    <w:p>
      <w:pPr>
        <w:spacing w:after="400"/>
        <w:jc w:val="center"/>
      </w:pPr>
      <w:r>
        <w:rPr>
          <w:rFonts w:ascii="Arial" w:cs="Arial" w:eastAsia="Arial" w:hAnsi="Arial"/>
          <w:sz w:val="22"/>
          <w:szCs w:val="22"/>
        </w:rPr>
        <w:t xml:space="preserve">Supervisor: Dr. Nazleeni Samiha Bt Haron</w:t>
      </w:r>
    </w:p>
    <w:p>
      <w:pPr>
        <w:jc w:val="center"/>
      </w:pPr>
      <w:r>
        <w:rPr>
          <w:rFonts w:ascii="Arial" w:cs="Arial" w:eastAsia="Arial" w:hAnsi="Arial"/>
          <w:color w:val="666666"/>
          <w:sz w:val="22"/>
          <w:szCs w:val="22"/>
        </w:rPr>
        <w:t xml:space="preserve">June 2026</w:t>
      </w:r>
    </w:p>
    <w:p>
      <w:pPr>
        <w:sectPr>
          <w:pgSz w:w="11906" w:h="16838" w:orient="portrait"/>
          <w:pgMar w:top="1440" w:right="1440" w:bottom="1440" w:left="1440" w:header="708" w:footer="708" w:gutter="0"/>
          <w:pgNumType/>
          <w:docGrid w:linePitch="360"/>
        </w:sectPr>
      </w:pPr>
    </w:p>
    <w:p>
      <w:pPr>
        <w:pStyle w:val="Heading1"/>
      </w:pPr>
      <w:r>
        <w:t xml:space="preserve">1. Literature Review Matrix / Table</w:t>
      </w:r>
    </w:p>
    <w:p>
      <w:pPr>
        <w:spacing w:after="200"/>
      </w:pPr>
      <w:r>
        <w:rPr>
          <w:rFonts w:ascii="Arial" w:cs="Arial" w:eastAsia="Arial" w:hAnsi="Arial"/>
          <w:sz w:val="20"/>
          <w:szCs w:val="20"/>
        </w:rPr>
        <w:t xml:space="preserve">A total of 30 papers (2021–2026) have been reviewed and categorized across 7 domains relevant to the project. Papers are sourced from Google Scholar, IEEE Xplore, Springer, ScienceDirect, Taylor &amp; Francis, and other indexed databases.</w:t>
      </w:r>
    </w:p>
    <w:p>
      <w:pPr>
        <w:spacing w:after="100"/>
      </w:pPr>
      <w:r>
        <w:rPr>
          <w:rFonts w:ascii="Arial" w:cs="Arial" w:eastAsia="Arial" w:hAnsi="Arial"/>
          <w:b/>
          <w:bCs/>
          <w:sz w:val="20"/>
          <w:szCs w:val="20"/>
        </w:rPr>
        <w:t xml:space="preserve">Distribution: </w:t>
      </w:r>
      <w:r>
        <w:rPr>
          <w:rFonts w:ascii="Arial" w:cs="Arial" w:eastAsia="Arial" w:hAnsi="Arial"/>
          <w:sz w:val="20"/>
          <w:szCs w:val="20"/>
        </w:rPr>
        <w:t xml:space="preserve">21 Journal Papers | 3 Conference Papers | 3 Working Papers/Preprints | 3 Review Papers</w:t>
      </w:r>
    </w:p>
    <w:p>
      <w:pPr>
        <w:spacing w:after="200"/>
      </w:pPr>
      <w:r>
        <w:rPr>
          <w:rFonts w:ascii="Arial" w:cs="Arial" w:eastAsia="Arial" w:hAnsi="Arial"/>
          <w:b/>
          <w:bCs/>
          <w:sz w:val="20"/>
          <w:szCs w:val="20"/>
        </w:rPr>
        <w:t xml:space="preserve">Categories: </w:t>
      </w:r>
      <w:r>
        <w:rPr>
          <w:rFonts w:ascii="Arial" w:cs="Arial" w:eastAsia="Arial" w:hAnsi="Arial"/>
          <w:sz w:val="20"/>
          <w:szCs w:val="20"/>
        </w:rPr>
        <w:t xml:space="preserve">BNPL Consumer Behavior (8) | BNPL Regulation &amp; Market (3) | Financial Literacy (4) | Time-Series Forecasting (5) | Credit Risk Classification (5) | Explainable AI (3) | Personal Finance Apps (2)</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50"/>
        <w:gridCol w:w="1400"/>
        <w:gridCol w:w="2000"/>
        <w:gridCol w:w="1400"/>
        <w:gridCol w:w="450"/>
        <w:gridCol w:w="1000"/>
        <w:gridCol w:w="1600"/>
        <w:gridCol w:w="2100"/>
        <w:gridCol w:w="1400"/>
        <w:gridCol w:w="1400"/>
        <w:gridCol w:w="900"/>
      </w:tblGrid>
      <w:tr>
        <w:trPr>
          <w:tblHeader/>
        </w:trPr>
        <w:tc>
          <w:tcPr>
            <w:tcW w:type="dxa" w:w="35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No.</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Author(s) &amp; Year</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Title</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Source / Journal</w:t>
            </w:r>
          </w:p>
        </w:tc>
        <w:tc>
          <w:tcPr>
            <w:tcW w:type="dxa" w:w="45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Type</w:t>
            </w:r>
          </w:p>
        </w:tc>
        <w:tc>
          <w:tcPr>
            <w:tcW w:type="dxa" w:w="1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Category</w:t>
            </w:r>
          </w:p>
        </w:tc>
        <w:tc>
          <w:tcPr>
            <w:tcW w:type="dxa" w:w="1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Method / Approach</w:t>
            </w:r>
          </w:p>
        </w:tc>
        <w:tc>
          <w:tcPr>
            <w:tcW w:type="dxa" w:w="21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Key Findings</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Limitations / Gap</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Relevance to Project</w:t>
            </w:r>
          </w:p>
        </w:tc>
        <w:tc>
          <w:tcPr>
            <w:tcW w:type="dxa" w:w="9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Source URL</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Osman, I., Ariffin, N. A. M., Mohd Yuraimie, M. F. N. B., Ali, M. F. B., &amp; Noor Akbar, M. A. F. B.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How Buy Now, Pay Later (BNPL) is Shaping Gen Z’s Spending Spree in Malaysia</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Information Management and Business Review, 16(3S(I)a), 757–770</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Quantitative survey using Theory of Planned Behavior (TPB); PLS-SEM analysis on Malaysian Gen Z respondents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Attitude and perceived behavioral control significantly influence BNPL adoption among Malaysian Gen Z. Social influence and peer pressure drive impulsive spending. BNPL normalizes deferred payment behavior among young consumers.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Limited to Malaysian context; cross-sectional design does not capture behavioral changes over time. No predictive modeling of financial outcomes.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Directly validates the target demographic (Malaysian Gen Z students) and confirms the knowledge-action gap that the Gen-Z Financial Copilot aims to address.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https://ojs.amhinternational.com/index.php/imbr/article/view/4092</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Tan, W. S., et al. (2026)</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Buy Now Pay Later (BNPL) Usage and Its Impact on Debt Management Among Malaysian University Students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International Journal of Accounting and Finance in Asia Pacific (IJAFAP), 9(1), 90–103</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Quantitative survey with structural equation modeling; financial literacy, attitude, and perceived behavioral control as variables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Despite high self-reported financial literacy (M = 4.07/5), correlation with actual debt management behavior is very weak (r = 0.060). Perceived Behavioral Control (Beta = 0.694) is the dominant predictor of BNPL usage, confirming overconfidence drives spending decisions.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Sample limited to university students; does not cover employed individuals or older demographics. No longitudinal tracking of debt accumulation.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Core reference paper. Provides the key statistics (knowledge-action gap, PBC dominance) that justify the project’s problem statement and the need for an AI-driven intervention tool.</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https://www.researchgate.net/publication/401246325</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3</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Raj, V. A., Jasrotia, S. S., &amp; Rai, S. S.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Intensifying Materialism Through Buy-Now Pay-Later (BNPL): Examining the Dark Sides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International Journal of Bank Marketing, 42(1), 94–112</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Mixed methods; survey-based quantitative analysis with qualitative interviews; SEM modeling</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BNPL intensifies materialistic consumption among young adults. Users driven by desire for social status and instant gratification. BNPL reduces the psychological ‘pain of payment,’ leading to overconsumption and potential debt traps.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Does not quantify the financial impact of BNPL stacking on future cash flow. No predictive modeling or simulation of debt scenarios.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Supports the need for a system that can simulate and visualize the cumulative financial impact of BNPL purchases before users commit, which is the core function of Engine 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https://doi.org/10.1108/IJBM-07-2023-0389</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4</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Aisjah, S.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Intention to Use Buy-Now-Pay-Later Payment System Among University Students: A Combination of Financial Parenting, Financial Self-Efficacy, and Social Media Intensity</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Cogent Social Sciences, 10(1), 2306705</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Quantitative research using extended TPB model; online questionnaire distributed to Indonesian university students; SEM analysis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Financial parenting and self-efficacy significantly influence BNPL adoption intention. Social media intensity amplifies BNPL awareness and usage. Students with lower financial self-efficacy are more vulnerable to impulsive BNPL usage.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Indonesian context may not directly apply to Malaysia. Does not measure actual BNPL debt outcomes or provide intervention mechanisms.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Reinforces the finding that university students are a high-risk group for BNPL-related debt, supporting the need for proactive financial tools like the copilot system.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https://doi.org/10.1080/23311886.2024.2306705</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Kumar, A., Salo, J., &amp; Bezawada, R.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The Effects of Buy Now, Pay Later (BNPL) on Customers’ Online Purchase Behavior</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 of Retailing (Elsevier), Advance Online Publication</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Large-scale empirical analysis of 275,000 consumer transaction records; quasi-experimental design comparing BNPL vs. non-BNPL purchases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BNPL drives a 10% increase in basket sizes and increases purchase likelihood. Effects are especially pronounced for consumers who historically made smaller purchases. BNPL reduces price sensitivity at checkout.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Retailer-level data; does not track individual consumer debt accumulation over time. No analysis of instalment stacking effects.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Provides empirical evidence that BNPL increases spending, validating the need for a predictive tool that can forecast the cumulative impact of increased spending on future cash flow.</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https://doi.org/10.1016/j.jretai.2024.09.004</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6</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Blue, L., Coglan, L., Pham, T., Lammer, I., Menner, R., &amp; Lee, C.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Spend and Repeat! Young Adult’s Experiences with Buy Now Pay Later Services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Financial Planning Research Journal, 9(1), 1–19</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Qualitative study using semi-structured interviews with Australian young adults aged 18–30; thematic analysis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Young adults use BNPL both ‘savvily’ and impulsively. Many experience debt cycling where they use one BNPL to pay for another. BNPL normalizes debt and reduces awareness of cumulative financial obligations.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Australian context; qualitative design limits generalizability. No quantitative measurement of financial impact.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Confirms the ‘instalment stacking’ problem central to the project. The finding that users lose track of cumulative BNPL commitments directly justifies Engine 1’s cash flow forecasting approach.</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https://doi.org/10.2478/fprj-2023-0002</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7</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Relja, R., Ward, P., &amp; Zhao, A.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Understanding the Psychological Determinants of Buy-Now-Pay-Later (BNPL) in the UK: A User Perspective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International Journal of Bank Marketing, 42(1), 7–37</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Quantitative survey using SEM; variables include perceived usefulness, perceived risk, trust, and financial self-efficacy</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Trust and perceived usefulness are strong predictors of BNPL adoption. Users underestimate risk due to framing effects (interest-free messaging). Financial self-efficacy mediates the relationship between BNPL usage and debt outcomes.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UK-centric sample; does not examine multi-platform BNPL stacking. No forecasting or simulation component.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Highlights that users underestimate BNPL risk, supporting the need for an AI-driven risk classifier (Engine 2) that objectively evaluates purchase risk before commitment.</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https://doi.org/10.1108/IJBM-02-2023-0076</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8</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Cook, J., Davies, K., Farrugia, D., Threadgold, S., Coffey, J., Senior, K., Haro, A., &amp; Shannon, B.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Buy Now Pay Later Services as a Way to Pay: Credit Consumption and the Depoliticization of Debt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Consumption Markets &amp; Culture, 26(4), 245–257</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Consumer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Qualitative sociological analysis with in-depth interviews; critical discourse analysis of BNPL marketing materials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BNPL providers frame debt as a neutral ‘payment method’ rather than credit, depoliticizing its risks. Young adults internalize this framing and view BNPL debt differently from credit card debt, reducing risk perception.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Qualitative approach; no empirical measurement of debt outcomes. Does not propose technological interventions.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Explains why students do not perceive BNPL as ‘real debt,’ reinforcing the need for a dashboard that explicitly visualizes future financial health rather than framing BNPL as a simple payment method.</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https://doi.org/10.1080/10253866.2022.2075652</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9</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Irawati, L., Hamzah, M. Z., &amp; Sofilda, E.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Regulating Buy Now Pay Later (BNPL) in ASEAN: A Comparative Analysis on Regulatory Challenges and Opportunities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International Journal of Economics, Management and Accounting, 1(4), 60–81</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E2EFDA" w:val="clear"/>
            <w:tcMar>
              <w:top w:type="dxa" w:w="60"/>
              <w:left w:type="dxa" w:w="80"/>
              <w:bottom w:type="dxa" w:w="60"/>
              <w:right w:type="dxa" w:w="80"/>
            </w:tcMar>
          </w:tcPr>
          <w:p>
            <w:pPr>
              <w:spacing w:line="240"/>
            </w:pPr>
            <w:r>
              <w:rPr>
                <w:rFonts w:ascii="Arial" w:cs="Arial" w:eastAsia="Arial" w:hAnsi="Arial"/>
                <w:b/>
                <w:bCs/>
                <w:sz w:val="14"/>
                <w:szCs w:val="14"/>
              </w:rPr>
              <w:t xml:space="preserve">BNPL Regulation</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Comparative literature review methodology; analysis of regulatory frameworks across ASEAN nations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Singapore leads in regulatory practices; Malaysia and Indonesia emphasize financial inclusion and systemic risk management. BNPL poses challenges related to over-indebtedness, credit risk, and data protection across all ASEAN markets.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Descriptive comparative analysis; does not propose specific consumer-facing tools to mitigate risks. No empirical validation of regulatory effectiveness.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Highlights the regulatory gap in Malaysia’s BNPL market, providing policy-level justification for building consumer-facing protective tools like the proposed system.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https://international.areai.or.id/index.php/IJEMA/article/view/227</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Filotto, U., Salerno, D., Sampagnaro, G., &amp; Stella, G. P.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Riding the Wave of Change: Buy Now, Pay Later as a Disruptive Threat to Payment Cards in the Global Market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Research in International Business and Finance, 72, 102499</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E2EFDA" w:val="clear"/>
            <w:tcMar>
              <w:top w:type="dxa" w:w="60"/>
              <w:left w:type="dxa" w:w="80"/>
              <w:bottom w:type="dxa" w:w="60"/>
              <w:right w:type="dxa" w:w="80"/>
            </w:tcMar>
          </w:tcPr>
          <w:p>
            <w:pPr>
              <w:spacing w:line="240"/>
            </w:pPr>
            <w:r>
              <w:rPr>
                <w:rFonts w:ascii="Arial" w:cs="Arial" w:eastAsia="Arial" w:hAnsi="Arial"/>
                <w:b/>
                <w:bCs/>
                <w:sz w:val="14"/>
                <w:szCs w:val="14"/>
              </w:rPr>
              <w:t xml:space="preserve">BNPL Market Analysis</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Quantitative market analysis using global transaction data; regression modeling of BNPL adoption drivers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BNPL is rapidly displacing traditional credit cards among younger demographics globally. The market reached significant scale with limited regulatory oversight. Users with limited credit history are disproportionately adopting BNPL.</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Macro-level market analysis; does not address individual-level financial risk management or provide consumer tools.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Provides market-scale evidence of BNPL’s rapid growth, confirming the urgency and scale of the problem the project addresses.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https://doi.org/10.1016/j.ribaf.2024.102499</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Cornelli, G., Gambacorta, L., &amp; Pancotto, L.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Buy Now, Pay Later: A Cross-Country Analysis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BIS Quarterly Review, Bank for International Settlements</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E2EFDA" w:val="clear"/>
            <w:tcMar>
              <w:top w:type="dxa" w:w="60"/>
              <w:left w:type="dxa" w:w="80"/>
              <w:bottom w:type="dxa" w:w="60"/>
              <w:right w:type="dxa" w:w="80"/>
            </w:tcMar>
          </w:tcPr>
          <w:p>
            <w:pPr>
              <w:spacing w:line="240"/>
            </w:pPr>
            <w:r>
              <w:rPr>
                <w:rFonts w:ascii="Arial" w:cs="Arial" w:eastAsia="Arial" w:hAnsi="Arial"/>
                <w:b/>
                <w:bCs/>
                <w:sz w:val="14"/>
                <w:szCs w:val="14"/>
              </w:rPr>
              <w:t xml:space="preserve">BNPL Market Analysis</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Cross-country empirical analysis using fintech and banking data from multiple countries; econometric modeling</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BNPL growth is correlated with higher e-commerce penetration and lower credit card access. Younger, lower-income consumers are the primary adopters. Regulatory approaches vary significantly across countries.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Country-level aggregate data; does not analyze individual consumer debt trajectories or propose intervention tools.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Confirms that BNPL disproportionately affects users with limited income (students), supporting the target demographic selection for the project.</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https://www.bis.org/publ/qtrpdf/r_qt2312f.htm</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Cappelli, T., Banks, A. P., &amp; Gardner, B.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Understanding Money-Management Behaviour and Its Potential Determinants Among Undergraduate Students: A Scoping Review</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PLOS ONE, 19(8), e0307137</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FFF2CC" w:val="clear"/>
            <w:tcMar>
              <w:top w:type="dxa" w:w="60"/>
              <w:left w:type="dxa" w:w="80"/>
              <w:bottom w:type="dxa" w:w="60"/>
              <w:right w:type="dxa" w:w="80"/>
            </w:tcMar>
          </w:tcPr>
          <w:p>
            <w:pPr>
              <w:spacing w:line="240"/>
            </w:pPr>
            <w:r>
              <w:rPr>
                <w:rFonts w:ascii="Arial" w:cs="Arial" w:eastAsia="Arial" w:hAnsi="Arial"/>
                <w:b/>
                <w:bCs/>
                <w:sz w:val="14"/>
                <w:szCs w:val="14"/>
              </w:rPr>
              <w:t xml:space="preserve">Financial Literacy</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Systematic scoping review of 52 studies; PRISMA framework for literature synthesis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Financial literacy alone is insufficient to drive responsible financial behavior among students. Behavioral interventions and digital tools show more promise than knowledge-only approaches. Students need actionable, real-time financial guidance rather than theoretical education.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Review paper; does not propose or test specific technological solutions. Heterogeneous study designs limit meta-analytical conclusions.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Directly supports the project’s rationale: knowledge-based financial education fails students; AI-driven, actionable tools (like the copilot) are more effective at changing behavior.</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https://doi.org/10.1371/journal.pone.0307137</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13</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Surwanti, A., Maulidah, M., Wihandaru, Kusumawati, R., &amp; Santi, F.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Financial Management Behaviour Z Generation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E3S Web of Conferences, 571, 03003</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Conference</w:t>
            </w:r>
          </w:p>
        </w:tc>
        <w:tc>
          <w:tcPr>
            <w:tcW w:type="dxa" w:w="1000"/>
            <w:tcBorders>
              <w:top w:val="single" w:color="999999" w:sz="1"/>
              <w:left w:val="single" w:color="999999" w:sz="1"/>
              <w:bottom w:val="single" w:color="999999" w:sz="1"/>
              <w:right w:val="single" w:color="999999" w:sz="1"/>
            </w:tcBorders>
            <w:shd w:fill="FFF2CC" w:val="clear"/>
            <w:tcMar>
              <w:top w:type="dxa" w:w="60"/>
              <w:left w:type="dxa" w:w="80"/>
              <w:bottom w:type="dxa" w:w="60"/>
              <w:right w:type="dxa" w:w="80"/>
            </w:tcMar>
          </w:tcPr>
          <w:p>
            <w:pPr>
              <w:spacing w:line="240"/>
            </w:pPr>
            <w:r>
              <w:rPr>
                <w:rFonts w:ascii="Arial" w:cs="Arial" w:eastAsia="Arial" w:hAnsi="Arial"/>
                <w:b/>
                <w:bCs/>
                <w:sz w:val="14"/>
                <w:szCs w:val="14"/>
              </w:rPr>
              <w:t xml:space="preserve">Financial Literacy</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Quantitative survey of Gen Z consumers; regression analysis on financial management behavior variables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Gen Z exhibits lower financial discipline compared to previous generations. Digital payment convenience (including BNPL) correlates with reduced budgeting behavior. Financial technology adoption outpaces financial literacy development.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Single-country study; self-reported financial behavior may not reflect actual spending patterns. No predictive modeling.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Confirms that Gen Z’s financial management behavior is poor despite digital fluency, validating the need for a predictive financial copilot that bridges the gap between digital convenience and financial responsibility.</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https://doi.org/10.1051/e3sconf/202457103003</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14</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Di Maggio, M., Williams, E., &amp; Katz, J. (2022)</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Buy Now, Pay Later Credit: User Characteristics and Effects on Spending Patterns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National Bureau of Economic Research (NBER) Working Paper No. 30508</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&amp; Financial Behavior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Large-scale empirical analysis using anonymized transaction data; difference-in-differences estimation</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BNPL users increase overall spending significantly after adoption. Users frequently stack multiple BNPL commitments. Financially fragile consumers are more likely to use BNPL as a bridge for purchases they cannot afford.</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US-focused data; does not provide consumer-facing tools for managing BNPL commitments. No forecasting of future financial states.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Provides foundational evidence for the ‘instalment stacking’ problem and confirms that BNPL increases spending, directly supporting the need for Engine 1’s cash flow forecasting.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https://www.nber.org/papers/w30508</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Gerrans, P., Baur, D. G., &amp; Lavagna-Slater, S. (2022)</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Fintech and Responsibility: Buy-Now-Pay-Later Arrangements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Australian Journal of Management, 48(4), 772–793</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AEEF3" w:val="clear"/>
            <w:tcMar>
              <w:top w:type="dxa" w:w="60"/>
              <w:left w:type="dxa" w:w="80"/>
              <w:bottom w:type="dxa" w:w="60"/>
              <w:right w:type="dxa" w:w="80"/>
            </w:tcMar>
          </w:tcPr>
          <w:p>
            <w:pPr>
              <w:spacing w:line="240"/>
            </w:pPr>
            <w:r>
              <w:rPr>
                <w:rFonts w:ascii="Arial" w:cs="Arial" w:eastAsia="Arial" w:hAnsi="Arial"/>
                <w:b/>
                <w:bCs/>
                <w:sz w:val="14"/>
                <w:szCs w:val="14"/>
              </w:rPr>
              <w:t xml:space="preserve">BNPL &amp; Financial Responsibility</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Survey-based empirical study with 1,515 Australian respondents; logistic regression and mediation analysis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BNPL users with lower financial literacy are significantly more likely to experience financial stress. BNPL providers have minimal affordability checks compared to traditional lenders. Users who struggle with BNPL repayments are unlikely to seek help.</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Australian context; does not explore technological interventions for preventing BNPL-related debt. No AI or predictive modeling component.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Highlights the absence of affordability checks in BNPL services, directly justifying the need for Engine 2’s AI-driven risk classifier that performs stress-testing before users commit to purchases.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https://doi.org/10.1177/03128962221112570</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16</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Ning, Y., Kazemi, H., &amp; Tahmasebi, P. (2022)</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A Comparative Machine Learning Study for Time Series Oil Production Forecasting: ARIMA, LSTM, and Prophet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Computers &amp; Geosciences, 164, 105126</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spacing w:line="240"/>
            </w:pPr>
            <w:r>
              <w:rPr>
                <w:rFonts w:ascii="Arial" w:cs="Arial" w:eastAsia="Arial" w:hAnsi="Arial"/>
                <w:b/>
                <w:bCs/>
                <w:sz w:val="14"/>
                <w:szCs w:val="14"/>
              </w:rPr>
              <w:t xml:space="preserve">Time-Series Forecasting</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Comparative study of ARIMA, LSTM, and Prophet models on time series data; evaluation using MAE, RMSE, and R-squared metrics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Prophet provides robust baseline forecasts with automatic seasonality detection and trend decomposition. LSTM outperforms for complex non-linear patterns but requires more data. ARIMA remains competitive for stationary series with clear linear trends.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Oil production data context; model performance may differ for personal finance data with irregular patterns. No application to consumer spending forecasting.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Directly informs the choice of Prophet as the primary forecasting model for Engine 1, with ARIMA as a fallback, and validates the evaluation metrics (MAE, RMSE) planned for model assessment.</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https://doi.org/10.1016/j.cageo.2022.105126</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17</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Arslan, S. (2022)</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A Hybrid Forecasting Model Using LSTM and Prophet for Energy Consumption with Decomposition of Time Series Data</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PeerJ Computer Science, 8, e1001</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spacing w:line="240"/>
            </w:pPr>
            <w:r>
              <w:rPr>
                <w:rFonts w:ascii="Arial" w:cs="Arial" w:eastAsia="Arial" w:hAnsi="Arial"/>
                <w:b/>
                <w:bCs/>
                <w:sz w:val="14"/>
                <w:szCs w:val="14"/>
              </w:rPr>
              <w:t xml:space="preserve">Time-Series Forecasting</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Hybrid model combining Prophet for trend/seasonality decomposition with LSTM for residual learning; time series decomposition approach</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The hybrid Prophet-LSTM model significantly outperforms standalone Prophet and ARIMA. Prophet excels at capturing seasonal patterns while LSTM handles non-linear residuals. Decomposition-based approaches improve forecast accuracy for time series with multiple seasonalities.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Energy consumption data; not directly applied to financial forecasting. Computational complexity may be excessive for real-time personal finance applications.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Validates the hybrid forecasting approach and decomposition strategy that could enhance Engine 1’s accuracy. The Prophet + residual learning architecture is applicable to personal spending patterns.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https://doi.org/10.7717/peerj-cs.1001</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18</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Khan, S. N., &amp; Ali, A.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Comparative Analysis of Advanced Time Series Forecasting Techniques: Evaluating the Accuracy of ARIMA, Prophet, and Deep Learning Models for Predicting Financial Indicators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Advances in Deep Learning Techniques, 3(1), 52–98</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spacing w:line="240"/>
            </w:pPr>
            <w:r>
              <w:rPr>
                <w:rFonts w:ascii="Arial" w:cs="Arial" w:eastAsia="Arial" w:hAnsi="Arial"/>
                <w:b/>
                <w:bCs/>
                <w:sz w:val="14"/>
                <w:szCs w:val="14"/>
              </w:rPr>
              <w:t xml:space="preserve">Time-Series Forecasting</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Systematic comparative analysis of ARIMA, Prophet, and deep learning models (LSTM, GRU) on financial datasets including inflation rates and exchange rates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Prophet provides the best balance of accuracy and simplicity for financial time series with clear trends. ARIMA is effective for stationary data. Deep learning models require large datasets and offer marginal improvements for short-horizon financial forecasts.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Focuses on macroeconomic indicators rather than personal finance data. Does not address the specific challenges of individual spending pattern forecasting.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Directly validates the selection of Prophet and ARIMA for Engine 1. Confirms that for short-horizon forecasts (3 months, as in the project), Prophet offers the best trade-off between accuracy and implementation simplicity.</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https://thesciencebrigade.com/adlt/article/view/300</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19</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Wang, Z., &amp; Li, H.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Time-Series Prediction Research Based on Combined Prophet-LSTM Model</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IEEE 2nd International Conference on Electrical Engineering, Big Data and Algorithms (EEBDA), pp. 1395–1399</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Conference</w:t>
            </w:r>
          </w:p>
        </w:tc>
        <w:tc>
          <w:tcPr>
            <w:tcW w:type="dxa" w:w="10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spacing w:line="240"/>
            </w:pPr>
            <w:r>
              <w:rPr>
                <w:rFonts w:ascii="Arial" w:cs="Arial" w:eastAsia="Arial" w:hAnsi="Arial"/>
                <w:b/>
                <w:bCs/>
                <w:sz w:val="14"/>
                <w:szCs w:val="14"/>
              </w:rPr>
              <w:t xml:space="preserve">Time-Series Forecasting</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Proposed combined Prophet-LSTM architecture where Prophet handles trend/seasonality and LSTM captures non-linear residuals; validated on multiple time series datasets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The combined model achieves superior accuracy compared to standalone Prophet or LSTM. Prophet’s decomposition provides interpretable trend and seasonality components. The approach is computationally efficient for real-time applications.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General time series datasets; not specifically validated on personal finance or spending data. Limited evaluation of uncertainty quantification.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Provides an implementable architecture for Engine 1 that combines Prophet’s interpretability (important for the dashboard) with LSTM’s accuracy, aligning with the project’s need for both forecast accuracy and explainability.</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https://ieeexplore.ieee.org/document/10091270</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Ibrahim, M. Z., &amp; Al-Shammari, E. T. (2025)</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A Hybrid Approach to Time Series Forecasting: Integrating ARIMA and Prophet for Improved Accuracy</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Ain Shams Engineering Journal (Elsevier), Article in Press</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spacing w:line="240"/>
            </w:pPr>
            <w:r>
              <w:rPr>
                <w:rFonts w:ascii="Arial" w:cs="Arial" w:eastAsia="Arial" w:hAnsi="Arial"/>
                <w:b/>
                <w:bCs/>
                <w:sz w:val="14"/>
                <w:szCs w:val="14"/>
              </w:rPr>
              <w:t xml:space="preserve">Time-Series Forecasting</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Novel ARIMA-Prophet integration framework; comparative evaluation against standalone models using multiple accuracy metrics on financial datasets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The hybrid ARIMA-Prophet model achieves the lowest error rates across multiple financial datasets. Model fusion approaches consistently outperform single models. The framework is adaptable to different forecasting horizons and data characteristics.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Requires parameter tuning for optimal integration. Computational overhead increases with longer forecasting horizons. Not tested on personal finance data specifically.</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Provides a state-of-the-art hybrid framework that could enhance Engine 1’s forecasting accuracy beyond using Prophet alone, with practical implementation guidance.</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https://doi.org/10.1016/j.asej.2025.103428</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Zhu, X., Chu, Q., Song, X., Hu, P., &amp; Peng, I. L.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Explainable Prediction of Loan Default Based on Machine Learning Models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Data Science and Management, 6, 123–133</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FCE4D6" w:val="clear"/>
            <w:tcMar>
              <w:top w:type="dxa" w:w="60"/>
              <w:left w:type="dxa" w:w="80"/>
              <w:bottom w:type="dxa" w:w="60"/>
              <w:right w:type="dxa" w:w="80"/>
            </w:tcMar>
          </w:tcPr>
          <w:p>
            <w:pPr>
              <w:spacing w:line="240"/>
            </w:pPr>
            <w:r>
              <w:rPr>
                <w:rFonts w:ascii="Arial" w:cs="Arial" w:eastAsia="Arial" w:hAnsi="Arial"/>
                <w:b/>
                <w:bCs/>
                <w:sz w:val="14"/>
                <w:szCs w:val="14"/>
              </w:rPr>
              <w:t xml:space="preserve">Credit Risk Classification</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Comparative study of Random Forest, XGBoost, and LightGBM with SHAP-based explainability; evaluated on real lending club data</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XGBoost achieves the highest classification accuracy (AUC &gt; 0.85). SHAP analysis reveals that income-to-debt ratio, credit history length, and number of active accounts are the most influential features. Explainability does not significantly reduce model accuracy.</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Focuses on traditional loan default, not BNPL-specific risk. Does not incorporate future balance forecasting as input to the classifier.</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Directly informs Engine 2’s design: validates XGBoost/Random Forest as appropriate classifiers and demonstrates SHAP integration for explainability, mirroring the project’s XAI requirements.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https://doi.org/10.1016/j.dsm.2023.01.003</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Chang, A. H., et al.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Performance Evaluation of Hybrid Machine Learning Algorithms for Online Lending Credit Risk Prediction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Applied Artificial Intelligence, 38(1), 2358661 (Taylor &amp; Francis)</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FCE4D6" w:val="clear"/>
            <w:tcMar>
              <w:top w:type="dxa" w:w="60"/>
              <w:left w:type="dxa" w:w="80"/>
              <w:bottom w:type="dxa" w:w="60"/>
              <w:right w:type="dxa" w:w="80"/>
            </w:tcMar>
          </w:tcPr>
          <w:p>
            <w:pPr>
              <w:spacing w:line="240"/>
            </w:pPr>
            <w:r>
              <w:rPr>
                <w:rFonts w:ascii="Arial" w:cs="Arial" w:eastAsia="Arial" w:hAnsi="Arial"/>
                <w:b/>
                <w:bCs/>
                <w:sz w:val="14"/>
                <w:szCs w:val="14"/>
              </w:rPr>
              <w:t xml:space="preserve">Credit Risk Classification</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Hybrid CNN with logistic regression, gradient-boosting decision tree, and KNN; evaluated on P2P lending club data with cross-validation</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Hybrid models outperform standalone classifiers. Gradient Boosting Decision Tree achieves the best F1-score. Feature engineering (particularly ratio-based features) significantly improves classification performance in credit risk scenarios.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P2P lending context; does not model BNPL-specific features like instalment schedules or stacking patterns. No integration with forecasting systems.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Validates the use of Gradient Boosting classifiers for credit risk assessment, directly applicable to Engine 2. The feature engineering approach (ratio-based features) is transferable to BNPL risk scoring.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https://doi.org/10.1080/08839514.2024.2358661</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23</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Naik, K. S. (2021)</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Predicting Credit Risk for Unsecured Lending: A Machine Learning Approach</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arXiv preprint, arXiv:2110.02206</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Conference</w:t>
            </w:r>
          </w:p>
        </w:tc>
        <w:tc>
          <w:tcPr>
            <w:tcW w:type="dxa" w:w="1000"/>
            <w:tcBorders>
              <w:top w:val="single" w:color="999999" w:sz="1"/>
              <w:left w:val="single" w:color="999999" w:sz="1"/>
              <w:bottom w:val="single" w:color="999999" w:sz="1"/>
              <w:right w:val="single" w:color="999999" w:sz="1"/>
            </w:tcBorders>
            <w:shd w:fill="FCE4D6" w:val="clear"/>
            <w:tcMar>
              <w:top w:type="dxa" w:w="60"/>
              <w:left w:type="dxa" w:w="80"/>
              <w:bottom w:type="dxa" w:w="60"/>
              <w:right w:type="dxa" w:w="80"/>
            </w:tcMar>
          </w:tcPr>
          <w:p>
            <w:pPr>
              <w:spacing w:line="240"/>
            </w:pPr>
            <w:r>
              <w:rPr>
                <w:rFonts w:ascii="Arial" w:cs="Arial" w:eastAsia="Arial" w:hAnsi="Arial"/>
                <w:b/>
                <w:bCs/>
                <w:sz w:val="14"/>
                <w:szCs w:val="14"/>
              </w:rPr>
              <w:t xml:space="preserve">Credit Risk Classification</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Comparative evaluation of Logistic Regression, SVM, Decision Tree, Random Forest, XGBoost, and LightGBM on unsecured lending datasets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Random Forest and XGBoost consistently outperform traditional methods for unsecured credit risk prediction. Feature importance analysis shows that repayment history and debt-to-income ratio are the strongest predictors. Ensemble methods provide robust predictions even with class imbalance.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Does not address BNPL-specific risk factors. Uses static features without incorporating future cash flow projections. No explainability layer.</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Provides a benchmark for comparing ML classifiers in consumer credit contexts, directly applicable to Engine 2’s algorithm selection (Random Forest, Gradient Boosting).</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https://arxiv.org/abs/2110.02206</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24</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Sousa, M. R., Gama, J., &amp; Brandão, E. (2022)</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Machine Learning Predictivity Applied to Consumer Creditworthiness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Computational Economics, 59, 1523–1557 (Springer)</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FCE4D6" w:val="clear"/>
            <w:tcMar>
              <w:top w:type="dxa" w:w="60"/>
              <w:left w:type="dxa" w:w="80"/>
              <w:bottom w:type="dxa" w:w="60"/>
              <w:right w:type="dxa" w:w="80"/>
            </w:tcMar>
          </w:tcPr>
          <w:p>
            <w:pPr>
              <w:spacing w:line="240"/>
            </w:pPr>
            <w:r>
              <w:rPr>
                <w:rFonts w:ascii="Arial" w:cs="Arial" w:eastAsia="Arial" w:hAnsi="Arial"/>
                <w:b/>
                <w:bCs/>
                <w:sz w:val="14"/>
                <w:szCs w:val="14"/>
              </w:rPr>
              <w:t xml:space="preserve">Credit Risk Classification</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Comparative analysis of SVM, Decision Trees, Bagging, AdaBoost, and Random Forest on Brazilian bank loan database; benchmarked against Logistic Regression</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Random Forest and AdaBoost achieve the best predictive accuracy. Ensemble methods consistently outperform single classifiers. Consumer spending patterns are stronger predictors than static demographic features.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Brazilian banking context; different credit market structure from Malaysian BNPL environment. Does not incorporate time-series forecasting into credit assessment.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Validates Random Forest as the top-performing algorithm for consumer credit classification, supporting Engine 2’s algorithm choice. The finding that spending patterns are strong predictors aligns with the project’s use of transaction history.</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https://doi.org/10.1007/s10614-021-10126-z</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Rahmani, R., Parola, M., &amp; Cimino, M. G. C. A. (2025)</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Data-Driven Loan Default Prediction: A Machine Learning Approach for Enhancing Business Process Management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Systems (MDPI), 13(7), 581</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FCE4D6" w:val="clear"/>
            <w:tcMar>
              <w:top w:type="dxa" w:w="60"/>
              <w:left w:type="dxa" w:w="80"/>
              <w:bottom w:type="dxa" w:w="60"/>
              <w:right w:type="dxa" w:w="80"/>
            </w:tcMar>
          </w:tcPr>
          <w:p>
            <w:pPr>
              <w:spacing w:line="240"/>
            </w:pPr>
            <w:r>
              <w:rPr>
                <w:rFonts w:ascii="Arial" w:cs="Arial" w:eastAsia="Arial" w:hAnsi="Arial"/>
                <w:b/>
                <w:bCs/>
                <w:sz w:val="14"/>
                <w:szCs w:val="14"/>
              </w:rPr>
              <w:t xml:space="preserve">Credit Risk Classification</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Structured ML pipeline with XGBoost, Gradient Boosting, Random Forest, and LightGBM; SMOTE for class imbalance handling; hyperparameter tuning</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Gradient Boosting achieves the highest overall performance (accuracy = 0.89, F1 = 0.81). SMOTE significantly improves recall for minority class (defaulters). A structured ML pipeline with feature engineering, class balancing, and tuning is essential for robust credit risk prediction.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General lending data; not BNPL-specific. Does not integrate with real-time forecasting or provide consumer-facing risk scores.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Provides a complete, reproducible ML pipeline design that can be adapted for Engine 2. The use of SMOTE for class imbalance is particularly relevant for training the BNPL risk classifier with synthetic scenarios.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https://doi.org/10.3390/systems13070581</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26</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Osei-Bonsu, A., &amp; Mensah, F.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Explainable AI for Credit Risk Assessment: A Data-Driven Approach to Transparent Lending Decisions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 of Economics, Finance and Accounting Studies, 6(5), 01–12</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E2D9F3" w:val="clear"/>
            <w:tcMar>
              <w:top w:type="dxa" w:w="60"/>
              <w:left w:type="dxa" w:w="80"/>
              <w:bottom w:type="dxa" w:w="60"/>
              <w:right w:type="dxa" w:w="80"/>
            </w:tcMar>
          </w:tcPr>
          <w:p>
            <w:pPr>
              <w:spacing w:line="240"/>
            </w:pPr>
            <w:r>
              <w:rPr>
                <w:rFonts w:ascii="Arial" w:cs="Arial" w:eastAsia="Arial" w:hAnsi="Arial"/>
                <w:b/>
                <w:bCs/>
                <w:sz w:val="14"/>
                <w:szCs w:val="14"/>
              </w:rPr>
              <w:t xml:space="preserve">Explainable AI (XAI)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XAI framework integrating SHAP and LIME with Random Forest and Gradient Boosting on publicly available loan datasets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SHAP provides consistent global feature importance rankings. LIME offers intuitive local explanations for individual predictions. Combining SHAP + LIME produces complementary explanations that are both globally interpretable and locally actionable.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Focuses on lending institution perspective; does not address consumer-facing explainability for personal financial decisions.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Directly informs the XAI layer design for Engine 2. The SHAP + LIME combination approach is exactly what the project plans to implement for explaining risk scores to users in plain language.</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https://doi.org/10.32996/jefas.2024.6.5.1</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27</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Mujo, A., Nikolla, S., Hoxha, E., &amp; Pelivani, E. (2025)</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Explainable AI in Credit Scoring: Improving Transparency in Loan Decisions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 of Information Systems Engineering and Management, 10(3), Article 4437</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E2D9F3" w:val="clear"/>
            <w:tcMar>
              <w:top w:type="dxa" w:w="60"/>
              <w:left w:type="dxa" w:w="80"/>
              <w:bottom w:type="dxa" w:w="60"/>
              <w:right w:type="dxa" w:w="80"/>
            </w:tcMar>
          </w:tcPr>
          <w:p>
            <w:pPr>
              <w:spacing w:line="240"/>
            </w:pPr>
            <w:r>
              <w:rPr>
                <w:rFonts w:ascii="Arial" w:cs="Arial" w:eastAsia="Arial" w:hAnsi="Arial"/>
                <w:b/>
                <w:bCs/>
                <w:sz w:val="14"/>
                <w:szCs w:val="14"/>
              </w:rPr>
              <w:t xml:space="preserve">Explainable AI (XAI)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XAI-driven credit scoring framework combining SHAP and LIME with Random Forest, Gradient Boosting, and Neural Networks on real-world credit risk datasets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Post-hoc XAI techniques effectively identify key factors affecting credit decisions without significantly reducing predictive accuracy. SHAP values mapped to plain-language explanations improve user trust. XAI reduces bias and enhances fairness in automated credit decisions.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Lender-focused application; does not explore consumer-facing explainability in personal finance tools.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Validates the feasibility of mapping SHAP/LIME feature importances to plain-language explanations, which is a core requirement for the project’s risk checker screen that must communicate risk factors to students in understandable terms.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https://jisem-journal.com/index.php/journal/article/view/4437</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28</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Azzutti, A., et al. (2025)</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Model-Agnostic Explainable Artificial Intelligence Methods in Finance: A Systematic Review, Recent Developments, Limitations, Challenges and Future Directions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Artificial Intelligence Review, 58, Article 270 (Springer)</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E2D9F3" w:val="clear"/>
            <w:tcMar>
              <w:top w:type="dxa" w:w="60"/>
              <w:left w:type="dxa" w:w="80"/>
              <w:bottom w:type="dxa" w:w="60"/>
              <w:right w:type="dxa" w:w="80"/>
            </w:tcMar>
          </w:tcPr>
          <w:p>
            <w:pPr>
              <w:spacing w:line="240"/>
            </w:pPr>
            <w:r>
              <w:rPr>
                <w:rFonts w:ascii="Arial" w:cs="Arial" w:eastAsia="Arial" w:hAnsi="Arial"/>
                <w:b/>
                <w:bCs/>
                <w:sz w:val="14"/>
                <w:szCs w:val="14"/>
              </w:rPr>
              <w:t xml:space="preserve">Explainable AI (XAI)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Systematic literature review of 200+ studies on XAI methods in finance; PRISMA framework; categorization by application domain and technique</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SHAP and LIME are the most widely adopted model-agnostic XAI methods in finance. Key challenges include computational cost, explanation stability, and the gap between technical explanations and user comprehension. Future research should focus on consumer-facing XAI applications.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Review paper; does not implement or test new XAI approaches. Identifies gaps but does not fill them.</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Confirms that consumer-facing XAI in personal finance is an identified research gap, directly positioning the project as a novel contribution. Provides comprehensive background for the XAI literature review section.</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https://doi.org/10.1007/s10462-025-11215-9</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29</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Kamarudeen, M., &amp; Vijayalakshmi, K. (2023)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Machine Learning Based Financial Management Mobile Application to Enhance College Students’ Financial Literacy</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Proceedings of ICRES 2023 – International Conference on Research in Education and Science, pp. 1237–1253 (ISTES Organization)</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Conference</w:t>
            </w:r>
          </w:p>
        </w:tc>
        <w:tc>
          <w:tcPr>
            <w:tcW w:type="dxa" w:w="1000"/>
            <w:tcBorders>
              <w:top w:val="single" w:color="999999" w:sz="1"/>
              <w:left w:val="single" w:color="999999" w:sz="1"/>
              <w:bottom w:val="single" w:color="999999" w:sz="1"/>
              <w:right w:val="single" w:color="999999" w:sz="1"/>
            </w:tcBorders>
            <w:shd w:fill="D5F5E3" w:val="clear"/>
            <w:tcMar>
              <w:top w:type="dxa" w:w="60"/>
              <w:left w:type="dxa" w:w="80"/>
              <w:bottom w:type="dxa" w:w="60"/>
              <w:right w:type="dxa" w:w="80"/>
            </w:tcMar>
          </w:tcPr>
          <w:p>
            <w:pPr>
              <w:spacing w:line="240"/>
            </w:pPr>
            <w:r>
              <w:rPr>
                <w:rFonts w:ascii="Arial" w:cs="Arial" w:eastAsia="Arial" w:hAnsi="Arial"/>
                <w:b/>
                <w:bCs/>
                <w:sz w:val="14"/>
                <w:szCs w:val="14"/>
              </w:rPr>
              <w:t xml:space="preserve">Personal Finance Apps</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Design and development of a mobile app integrating ML-based expense categorization and budgeting recommendations; usability testing with college students</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ML-based categorization reduces manual effort by ~70%. Students who used the app showed improved budgeting behavior. Real-time feedback and visualization are critical for engagement. App-based financial interventions are more effective than classroom-based financial education.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Tracks historical expenses only; no predictive or forecasting capability. Does not address BNPL-specific risks or simulate future financial scenarios.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Validates the effectiveness of ML-powered financial apps for students. The project extends this concept by adding predictive forecasting (Engine 1) and BNPL risk classification (Engine 2), addressing the key limitation of being reactive-only.</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https://files.eric.ed.gov/fulltext/ED654467.pdf</w:t>
            </w:r>
          </w:p>
        </w:tc>
      </w:tr>
      <w:tr>
        <w:tc>
          <w:tcPr>
            <w:tcW w:type="dxa" w:w="3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30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Georgieva, D., Tsochev, G., &amp; Angelov, G. (2024)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bCs/>
                <w:sz w:val="14"/>
                <w:szCs w:val="14"/>
              </w:rPr>
              <w:t xml:space="preserve">Personal Finance Management Application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TEM Journal, 13(3), 2066–2075</w:t>
            </w:r>
          </w:p>
        </w:tc>
        <w:tc>
          <w:tcPr>
            <w:tcW w:type="dxa" w:w="45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Journal</w:t>
            </w:r>
          </w:p>
        </w:tc>
        <w:tc>
          <w:tcPr>
            <w:tcW w:type="dxa" w:w="1000"/>
            <w:tcBorders>
              <w:top w:val="single" w:color="999999" w:sz="1"/>
              <w:left w:val="single" w:color="999999" w:sz="1"/>
              <w:bottom w:val="single" w:color="999999" w:sz="1"/>
              <w:right w:val="single" w:color="999999" w:sz="1"/>
            </w:tcBorders>
            <w:shd w:fill="D5F5E3" w:val="clear"/>
            <w:tcMar>
              <w:top w:type="dxa" w:w="60"/>
              <w:left w:type="dxa" w:w="80"/>
              <w:bottom w:type="dxa" w:w="60"/>
              <w:right w:type="dxa" w:w="80"/>
            </w:tcMar>
          </w:tcPr>
          <w:p>
            <w:pPr>
              <w:spacing w:line="240"/>
            </w:pPr>
            <w:r>
              <w:rPr>
                <w:rFonts w:ascii="Arial" w:cs="Arial" w:eastAsia="Arial" w:hAnsi="Arial"/>
                <w:b/>
                <w:bCs/>
                <w:sz w:val="14"/>
                <w:szCs w:val="14"/>
              </w:rPr>
              <w:t xml:space="preserve">Personal Finance Apps</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Design and development of an Android-based personal finance management application with budget tracking, expense categorization, and financial status reporting; user testing and deployment</w:t>
            </w:r>
          </w:p>
        </w:tc>
        <w:tc>
          <w:tcPr>
            <w:tcW w:type="dxa" w:w="21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Mobile-first design increases adoption among younger users. Manual transaction entry with optional CSV/PDF import provides the best balance of accuracy and usability. Visual financial status reports significantly improve users’ financial awareness and budgeting behavior.</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Purely reactive (historical tracking only); no predictive modeling or AI-driven features. Does not handle BNPL instalments or multiple debt instruments. No risk assessment capability.</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4"/>
                <w:szCs w:val="14"/>
              </w:rPr>
              <w:t xml:space="preserve">Represents the current state-of-the-art in personal finance apps that the project aims to surpass. The identified limitations (no prediction, no BNPL handling, no risk assessment) are precisely the gaps the Gen-Z Financial Copilot fills.</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line="240"/>
            </w:pPr>
            <w:r>
              <w:rPr>
                <w:rFonts w:ascii="Arial" w:cs="Arial" w:eastAsia="Arial" w:hAnsi="Arial"/>
                <w:b w:val="false"/>
                <w:bCs w:val="false"/>
                <w:sz w:val="12"/>
                <w:szCs w:val="12"/>
              </w:rPr>
              <w:t xml:space="preserve">https://doi.org/10.18421/TEM133-34</w:t>
            </w:r>
          </w:p>
        </w:tc>
      </w:tr>
    </w:tbl>
    <w:p>
      <w:pPr>
        <w:sectPr>
          <w:pgSz w:w="16838" w:h="11906" w:orient="landscape"/>
          <w:pgMar w:top="720" w:right="720" w:bottom="720" w:left="720" w:header="708" w:footer="708" w:gutter="0"/>
          <w:pgNumType/>
          <w:docGrid w:linePitch="360"/>
        </w:sectPr>
      </w:pPr>
    </w:p>
    <w:p>
      <w:pPr>
        <w:pStyle w:val="Heading1"/>
      </w:pPr>
      <w:r>
        <w:t xml:space="preserve">2. Draft Problem Statement</w:t>
      </w:r>
    </w:p>
    <w:p>
      <w:pPr>
        <w:spacing w:after="200"/>
      </w:pPr>
      <w:r>
        <w:rPr>
          <w:rFonts w:ascii="Arial" w:cs="Arial" w:eastAsia="Arial" w:hAnsi="Arial"/>
          <w:sz w:val="24"/>
          <w:szCs w:val="24"/>
        </w:rPr>
        <w:t xml:space="preserve">Traditional personal finance applications act merely as reactive digital ledgers, logging historical spending rather than forecasting future cash flows. This lack of predictive insight poses a severe financial risk to university students who heavily rely on Buy Now, Pay Later (BNPL) services as an alternative to conventional credit. The Malaysian BNPL market has reached RM9.3 billion in spending, with Gen-Z students being among the heaviest adopters due to limited income and lack of access to traditional credit cards (Cornelli, Gambacorta &amp; Pancotto, 2023; Filotto et al., 2024).</w:t>
      </w:r>
    </w:p>
    <w:p>
      <w:pPr>
        <w:spacing w:after="200"/>
      </w:pPr>
      <w:r>
        <w:rPr>
          <w:rFonts w:ascii="Arial" w:cs="Arial" w:eastAsia="Arial" w:hAnsi="Arial"/>
          <w:sz w:val="24"/>
          <w:szCs w:val="24"/>
        </w:rPr>
        <w:t xml:space="preserve">Academic research reveals a critical “Knowledge-Action Gap” among Malaysian university students: despite self-reporting high financial literacy (M = 4.07 out of 5), the correlation between this knowledge and actual debt management behavior is very weak (r = 0.060). The dominant predictor of BNPL usage is Perceived Behavioral Control (Beta = 0.694), meaning students’ overconfidence in their repayment ability drives spending decisions far more than actual financial knowledge (Tan et al., 2026). This finding is corroborated by multiple studies showing that financial literacy alone is insufficient to drive responsible financial behavior among students (Cappelli, Banks &amp; Gardner, 2024; Surwanti et al., 2024), and that behavioral interventions through digital tools show more promise than knowledge-only approaches.</w:t>
      </w:r>
    </w:p>
    <w:p>
      <w:pPr>
        <w:spacing w:after="200"/>
      </w:pPr>
      <w:r>
        <w:rPr>
          <w:rFonts w:ascii="Arial" w:cs="Arial" w:eastAsia="Arial" w:hAnsi="Arial"/>
          <w:sz w:val="24"/>
          <w:szCs w:val="24"/>
        </w:rPr>
        <w:t xml:space="preserve">A profound gap exists between students’ theoretical financial awareness and their actual spending behavior. Driven by convenience and a false sense of financial security, they frequently engage in “instalment stacking” — committing to multiple overlapping micro-payments that seem manageable in isolation but cumulatively trigger severe future cash flow crises (Blue et al., 2023; Di Maggio, Williams &amp; Katz, 2022). BNPL providers further exacerbate this problem by framing debt as a neutral “payment method” rather than credit, depoliticizing its risks and reducing users’ risk perception (Cook et al., 2023; Relja, Ward &amp; Zhao, 2023).</w:t>
      </w:r>
    </w:p>
    <w:p>
      <w:pPr>
        <w:spacing w:after="200"/>
      </w:pPr>
      <w:r>
        <w:rPr>
          <w:rFonts w:ascii="Arial" w:cs="Arial" w:eastAsia="Arial" w:hAnsi="Arial"/>
          <w:sz w:val="24"/>
          <w:szCs w:val="24"/>
        </w:rPr>
        <w:t xml:space="preserve">Because current financial tools cannot simulate or stress-test the long-term impact of a new purchase against historical data, students are unable to visualize their future bank balances, trapping them in an accidental cycle of deficits, late fees, and unsustainable debt. While research in time-series forecasting has demonstrated the effectiveness of Prophet and ARIMA models for financial prediction (Ning, Kazemi &amp; Tahmasebi, 2022; Khan &amp; Ali, 2023), and machine learning classifiers such as Random Forest and Gradient Boosting have achieved high accuracy in credit risk assessment (Zhu et al., 2023; Rahmani, Parola &amp; Cimino, 2025), no existing system combines these capabilities into a unified, consumer-facing, BNPL-specific financial copilot that integrates predictive forecasting with risk classification and explainable AI.</w:t>
      </w:r>
    </w:p>
    <w:p>
      <w:pPr>
        <w:pStyle w:val="Heading2"/>
      </w:pPr>
      <w:r>
        <w:t xml:space="preserve">Core Problems Identified</w:t>
      </w:r>
    </w:p>
    <w:p>
      <w:pPr>
        <w:pStyle w:val="ListParagraph"/>
        <w:numPr>
          <w:ilvl w:val="0"/>
          <w:numId w:val="2"/>
        </w:numPr>
        <w:spacing w:after="100"/>
      </w:pPr>
      <w:r>
        <w:rPr>
          <w:rFonts w:ascii="Arial" w:cs="Arial" w:eastAsia="Arial" w:hAnsi="Arial"/>
          <w:sz w:val="24"/>
          <w:szCs w:val="24"/>
        </w:rPr>
        <w:t xml:space="preserve">Existing finance applications are reactive ledgers that lack predictive capabilities, making it difficult for students to visualize their future cash flow after committing to new debt (Georgieva, Tsochev &amp; Angelov, 2024; Kamarudeen &amp; Vijayalakshmi, 2023).</w:t>
      </w:r>
    </w:p>
    <w:p>
      <w:pPr>
        <w:pStyle w:val="ListParagraph"/>
        <w:numPr>
          <w:ilvl w:val="0"/>
          <w:numId w:val="2"/>
        </w:numPr>
        <w:spacing w:after="100"/>
      </w:pPr>
      <w:r>
        <w:rPr>
          <w:rFonts w:ascii="Arial" w:cs="Arial" w:eastAsia="Arial" w:hAnsi="Arial"/>
          <w:sz w:val="24"/>
          <w:szCs w:val="24"/>
        </w:rPr>
        <w:t xml:space="preserve">The “stacking” of multiple BNPL instalments creates invisible future cash flow crises because users cannot manually track how cascading payments will impact their bank balance weeks or months in advance (Blue et al., 2023; Kumar, Salo &amp; Bezawada, 2024).</w:t>
      </w:r>
    </w:p>
    <w:p>
      <w:pPr>
        <w:pStyle w:val="ListParagraph"/>
        <w:numPr>
          <w:ilvl w:val="0"/>
          <w:numId w:val="2"/>
        </w:numPr>
        <w:spacing w:after="100"/>
      </w:pPr>
      <w:r>
        <w:rPr>
          <w:rFonts w:ascii="Arial" w:cs="Arial" w:eastAsia="Arial" w:hAnsi="Arial"/>
          <w:sz w:val="24"/>
          <w:szCs w:val="24"/>
        </w:rPr>
        <w:t xml:space="preserve">Students cannot stress-test new purchases against future projected balances, as no consumer-facing tool integrates time-series forecasting with BNPL risk assessment.</w:t>
      </w:r>
    </w:p>
    <w:p>
      <w:pPr>
        <w:pStyle w:val="ListParagraph"/>
        <w:numPr>
          <w:ilvl w:val="0"/>
          <w:numId w:val="2"/>
        </w:numPr>
        <w:spacing w:after="200"/>
      </w:pPr>
      <w:r>
        <w:rPr>
          <w:rFonts w:ascii="Arial" w:cs="Arial" w:eastAsia="Arial" w:hAnsi="Arial"/>
          <w:sz w:val="24"/>
          <w:szCs w:val="24"/>
        </w:rPr>
        <w:t xml:space="preserve">There is no AI-driven system that combines financial health forecasting, BNPL risk classification, and explainable AI (XAI) in one platform designed specifically for university students (Azzutti et al., 2025; Mujo et al., 2025).</w:t>
      </w:r>
    </w:p>
    <w:p>
      <w:pPr>
        <w:pStyle w:val="Heading1"/>
      </w:pPr>
      <w:r>
        <w:t xml:space="preserve">3. Refined Research Objectives</w:t>
      </w:r>
    </w:p>
    <w:p>
      <w:pPr>
        <w:spacing w:after="200"/>
      </w:pPr>
      <w:r>
        <w:rPr>
          <w:rFonts w:ascii="Arial" w:cs="Arial" w:eastAsia="Arial" w:hAnsi="Arial"/>
          <w:sz w:val="24"/>
          <w:szCs w:val="24"/>
        </w:rPr>
        <w:t xml:space="preserve">Based on the literature review consolidation, the following research objectives have been refined to address the identified gaps:</w:t>
      </w:r>
    </w:p>
    <w:p>
      <w:pPr>
        <w:pStyle w:val="ListParagraph"/>
        <w:numPr>
          <w:ilvl w:val="0"/>
          <w:numId w:val="3"/>
        </w:numPr>
        <w:spacing w:after="140"/>
      </w:pPr>
      <w:r>
        <w:rPr>
          <w:rFonts w:ascii="Arial" w:cs="Arial" w:eastAsia="Arial" w:hAnsi="Arial"/>
          <w:sz w:val="24"/>
          <w:szCs w:val="24"/>
        </w:rPr>
        <w:t xml:space="preserve">To develop a Financial Health Predictor engine (Engine 1) that utilizes time-series forecasting models (Prophet as primary, ARIMA as fallback) to estimate and simulate a user’s bank balance for the next three rolling months based on historical spending habits, validated using MAE and RMSE metrics as established in the forecasting literature (Ning, Kazemi &amp; Tahmasebi, 2022; Arslan, 2022).</w:t>
      </w:r>
    </w:p>
    <w:p>
      <w:pPr>
        <w:pStyle w:val="ListParagraph"/>
        <w:numPr>
          <w:ilvl w:val="0"/>
          <w:numId w:val="3"/>
        </w:numPr>
        <w:spacing w:after="140"/>
      </w:pPr>
      <w:r>
        <w:rPr>
          <w:rFonts w:ascii="Arial" w:cs="Arial" w:eastAsia="Arial" w:hAnsi="Arial"/>
          <w:sz w:val="24"/>
          <w:szCs w:val="24"/>
        </w:rPr>
        <w:t xml:space="preserve">To implement an AI-Driven BNPL Risk Classifier (Engine 2) using ensemble machine learning methods (Random Forest, Gradient Boosting) that evaluates real-time, proposed purchase requests and dynamically calculates a risk score (0–100) to flag potential “debt traps” before the user commits to an instalment, using the forecasted future balance from Engine 1 as the evaluation context, validated using Accuracy, Precision, Recall, F1-Score, and ROC-AUC (Zhu et al., 2023; Rahmani, Parola &amp; Cimino, 2025).</w:t>
      </w:r>
    </w:p>
    <w:p>
      <w:pPr>
        <w:pStyle w:val="ListParagraph"/>
        <w:numPr>
          <w:ilvl w:val="0"/>
          <w:numId w:val="3"/>
        </w:numPr>
        <w:spacing w:after="140"/>
      </w:pPr>
      <w:r>
        <w:rPr>
          <w:rFonts w:ascii="Arial" w:cs="Arial" w:eastAsia="Arial" w:hAnsi="Arial"/>
          <w:sz w:val="24"/>
          <w:szCs w:val="24"/>
        </w:rPr>
        <w:t xml:space="preserve">To design and deploy an interactive, responsive web application dashboard that visualizes “Future Financial Health” metrics rather than just past expenses, integrating explainable AI (XAI) insights using SHAP and/or LIME to translate risk scores into plain-language explanations and proactive alerts, thereby bridging the gap between financial knowledge and responsible debt behavior among university students (Osei-Bonsu &amp; Mensah, 2024; Mujo et al., 2025).</w:t>
      </w:r>
    </w:p>
    <w:p>
      <w:pPr>
        <w:pStyle w:val="Heading1"/>
      </w:pPr>
      <w:r>
        <w:t xml:space="preserve">4. Research Question</w:t>
      </w:r>
    </w:p>
    <w:p>
      <w:pPr>
        <w:spacing w:after="200"/>
      </w:pPr>
      <w:r>
        <w:rPr>
          <w:rFonts w:ascii="Arial" w:cs="Arial" w:eastAsia="Arial" w:hAnsi="Arial"/>
          <w:i/>
          <w:iCs/>
          <w:sz w:val="24"/>
          <w:szCs w:val="24"/>
        </w:rPr>
        <w:t xml:space="preserve">To what extent can an AI-driven predictive system, combining time-series forecasting and risk classification, effectively prevent debt accumulation from overlapping BNPL instalments among university students?</w:t>
      </w:r>
    </w:p>
    <w:p>
      <w:pPr>
        <w:pStyle w:val="Heading1"/>
      </w:pPr>
      <w:r>
        <w:t xml:space="preserve">5. Identified Research Gaps from Literature Review</w:t>
      </w:r>
    </w:p>
    <w:p>
      <w:pPr>
        <w:spacing w:after="200"/>
      </w:pPr>
      <w:r>
        <w:rPr>
          <w:rFonts w:ascii="Arial" w:cs="Arial" w:eastAsia="Arial" w:hAnsi="Arial"/>
          <w:sz w:val="24"/>
          <w:szCs w:val="24"/>
        </w:rPr>
        <w:t xml:space="preserve">The following key research gaps have been identified through the systematic review of 30 papers across the relevant domains:</w:t>
      </w:r>
    </w:p>
    <w:p>
      <w:pPr>
        <w:pStyle w:val="Heading2"/>
      </w:pPr>
      <w:r>
        <w:t xml:space="preserve">Gap 1: No Predictive Consumer-Facing BNPL Tools</w:t>
      </w:r>
    </w:p>
    <w:p>
      <w:pPr>
        <w:spacing w:after="200"/>
      </w:pPr>
      <w:r>
        <w:rPr>
          <w:rFonts w:ascii="Arial" w:cs="Arial" w:eastAsia="Arial" w:hAnsi="Arial"/>
          <w:sz w:val="24"/>
          <w:szCs w:val="24"/>
        </w:rPr>
        <w:t xml:space="preserve">Existing BNPL research extensively documents consumer behavior, adoption patterns, and risks (Raj et al., 2024; Kumar et al., 2024; Osman et al., 2024). However, no study proposes or develops a consumer-facing predictive tool that allows users to simulate the financial impact of new BNPL commitments before purchase. All existing interventions are reactive (post-spending analysis) or policy-based (regulation), rather than proactive and technology-driven.</w:t>
      </w:r>
    </w:p>
    <w:p>
      <w:pPr>
        <w:pStyle w:val="Heading2"/>
      </w:pPr>
      <w:r>
        <w:t xml:space="preserve">Gap 2: Disconnection Between Forecasting Research and Personal Finance</w:t>
      </w:r>
    </w:p>
    <w:p>
      <w:pPr>
        <w:spacing w:after="200"/>
      </w:pPr>
      <w:r>
        <w:rPr>
          <w:rFonts w:ascii="Arial" w:cs="Arial" w:eastAsia="Arial" w:hAnsi="Arial"/>
          <w:sz w:val="24"/>
          <w:szCs w:val="24"/>
        </w:rPr>
        <w:t xml:space="preserve">Time-series forecasting research using Prophet and ARIMA has demonstrated strong performance for financial data (Ning et al., 2022; Khan &amp; Ali, 2023; Ibrahim &amp; Al-Shammari, 2025). However, these models have been applied primarily to macroeconomic indicators, stock prices, and enterprise cash flows. No study applies these techniques to individual personal finance forecasting for students, particularly for predicting the impact of multiple BNPL instalments on future bank balances.</w:t>
      </w:r>
    </w:p>
    <w:p>
      <w:pPr>
        <w:pStyle w:val="Heading2"/>
      </w:pPr>
      <w:r>
        <w:t xml:space="preserve">Gap 3: Credit Risk Models Not Adapted for BNPL Context</w:t>
      </w:r>
    </w:p>
    <w:p>
      <w:pPr>
        <w:spacing w:after="200"/>
      </w:pPr>
      <w:r>
        <w:rPr>
          <w:rFonts w:ascii="Arial" w:cs="Arial" w:eastAsia="Arial" w:hAnsi="Arial"/>
          <w:sz w:val="24"/>
          <w:szCs w:val="24"/>
        </w:rPr>
        <w:t xml:space="preserve">Machine learning credit risk classifiers have achieved high accuracy using Random Forest and Gradient Boosting (Zhu et al., 2023; Chang et al., 2024; Rahmani et al., 2025). However, these models are designed for institutional lending decisions, not for consumer-facing BNPL risk assessment. No existing classifier uses forecasted future balance as an input feature or evaluates BNPL-specific risk factors such as instalment stacking, overlapping due dates, and remaining balance buffer.</w:t>
      </w:r>
    </w:p>
    <w:p>
      <w:pPr>
        <w:pStyle w:val="Heading2"/>
      </w:pPr>
      <w:r>
        <w:t xml:space="preserve">Gap 4: XAI Not Applied to Consumer-Facing Financial Tools</w:t>
      </w:r>
    </w:p>
    <w:p>
      <w:pPr>
        <w:spacing w:after="200"/>
      </w:pPr>
      <w:r>
        <w:rPr>
          <w:rFonts w:ascii="Arial" w:cs="Arial" w:eastAsia="Arial" w:hAnsi="Arial"/>
          <w:sz w:val="24"/>
          <w:szCs w:val="24"/>
        </w:rPr>
        <w:t xml:space="preserve">Explainable AI (SHAP, LIME) has been extensively applied in institutional credit scoring (Osei-Bonsu &amp; Mensah, 2024; Mujo et al., 2025; Azzutti et al., 2025). However, the systematic review by Azzutti et al. (2025) explicitly identifies consumer-facing XAI in personal finance as an underexplored research direction. No existing tool translates SHAP/LIME feature importances into student-friendly, actionable financial advice.</w:t>
      </w:r>
    </w:p>
    <w:p>
      <w:pPr>
        <w:pStyle w:val="Heading2"/>
      </w:pPr>
      <w:r>
        <w:t xml:space="preserve">Gap 5: No Integration of Forecasting + Classification in Personal Finance</w:t>
      </w:r>
    </w:p>
    <w:p>
      <w:pPr>
        <w:spacing w:after="200"/>
      </w:pPr>
      <w:r>
        <w:rPr>
          <w:rFonts w:ascii="Arial" w:cs="Arial" w:eastAsia="Arial" w:hAnsi="Arial"/>
          <w:sz w:val="24"/>
          <w:szCs w:val="24"/>
        </w:rPr>
        <w:t xml:space="preserve">The most critical gap identified is the absence of a sequential AI architecture that combines time-series forecasting (Engine 1) with risk classification (Engine 2) in a personal finance context. While each technique exists independently in the literature, no system feeds forecasted future balances into a BNPL risk classifier to perform real-time, context-aware purchase stress-testing. This integration is the core technical novelty of the Gen-Z Financial Copilot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2026-06-19T07:39:15.517Z</dcterms:created>
  <dcterms:modified xsi:type="dcterms:W3CDTF">2026-06-19T07:39:15.518Z</dcterms:modified>
</cp:coreProperties>
</file>

<file path=docProps/custom.xml><?xml version="1.0" encoding="utf-8"?>
<Properties xmlns="http://schemas.openxmlformats.org/officeDocument/2006/custom-properties" xmlns:vt="http://schemas.openxmlformats.org/officeDocument/2006/docPropsVTypes"/>
</file>