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240"/>
        <w:jc w:val="center"/>
      </w:pPr>
      <w:r>
        <w:rPr>
          <w:rFonts w:ascii="Arial" w:hAnsi="Arial"/>
          <w:b/>
          <w:color w:val="1B365D"/>
          <w:sz w:val="36"/>
        </w:rPr>
        <w:t>المعركة المتنقلة: كيف ارتدت حروب الوكلاء إلى الداخل الإيراني؟</w:t>
      </w:r>
    </w:p>
    <w:p>
      <w:pPr>
        <w:bidi w:val="1"/>
        <w:spacing w:after="80"/>
        <w:jc w:val="center"/>
      </w:pPr>
      <w:r>
        <w:rPr>
          <w:rFonts w:ascii="Arial" w:hAnsi="Arial"/>
          <w:b/>
          <w:color w:val="444444"/>
          <w:sz w:val="26"/>
        </w:rPr>
        <w:t>بقلم: د. فرج وافي الخنفري القحطاني</w:t>
      </w:r>
    </w:p>
    <w:p>
      <w:pPr>
        <w:bidi w:val="1"/>
        <w:spacing w:after="480"/>
        <w:jc w:val="center"/>
      </w:pPr>
      <w:r>
        <w:rPr>
          <w:rFonts w:ascii="Arial" w:hAnsi="Arial"/>
          <w:i/>
          <w:color w:val="666666"/>
          <w:sz w:val="22"/>
        </w:rPr>
        <w:t>استشاري قيادي وخبير في علم النفس الجنائي</w:t>
      </w:r>
    </w:p>
    <w:p>
      <w:pPr>
        <w:bidi w:val="1"/>
        <w:spacing w:after="360"/>
        <w:jc w:val="center"/>
      </w:pPr>
      <w:r>
        <w:rPr>
          <w:color w:val="BBBBBB"/>
        </w:rPr>
        <w:t>―――――――――――――――――――――――――――――――――――</w:t>
      </w:r>
    </w:p>
    <w:p>
      <w:pPr>
        <w:bidi w:val="1"/>
        <w:spacing w:line="300" w:lineRule="auto" w:after="280"/>
        <w:jc w:val="right"/>
      </w:pPr>
      <w:r>
        <w:rPr>
          <w:rFonts w:ascii="Arial" w:hAnsi="Arial"/>
          <w:sz w:val="24"/>
        </w:rPr>
        <w:t>تؤكد المعطيات الاقتصادية والميدانية أن استراتيجية النظام الإيراني في تصدير نفوذه عبر شبكة الأذرع المسلحة—من الحشد الشعبي في العراق وحزب الله في لبنان إلى الجماعة الحوثية وما تبقى من ميليشيات الحرس الثوري—قد انعكست صدماتها مباشرة على العمق المحلي. لم تعد "المعركة المتنقلة" مجرد تكتيك عسكري ينفذه الحرس الثوري خارج الحدود، بل تحولت إلى استراتيجية استنزاف داخلي أمنية واقتصادية تتنقل بين المدن والأقاليم الإيرانية.</w:t>
      </w:r>
    </w:p>
    <w:p>
      <w:pPr>
        <w:bidi w:val="1"/>
        <w:spacing w:before="320" w:after="200"/>
        <w:jc w:val="right"/>
      </w:pPr>
      <w:r>
        <w:rPr>
          <w:rFonts w:ascii="Arial" w:hAnsi="Arial"/>
          <w:b/>
          <w:color w:val="1B365D"/>
          <w:sz w:val="28"/>
        </w:rPr>
        <w:t>أدلة وشواهد الانعكاس الميداني والاقتصادي</w:t>
      </w:r>
    </w:p>
    <w:p>
      <w:pPr>
        <w:bidi w:val="1"/>
        <w:spacing w:line="288" w:lineRule="auto" w:after="200"/>
        <w:ind w:right="288"/>
        <w:jc w:val="right"/>
      </w:pPr>
      <w:r>
        <w:rPr>
          <w:b/>
          <w:color w:val="1B365D"/>
        </w:rPr>
        <w:t xml:space="preserve">• </w:t>
      </w:r>
      <w:r>
        <w:rPr>
          <w:rFonts w:ascii="Arial" w:hAnsi="Arial"/>
          <w:b/>
          <w:sz w:val="24"/>
        </w:rPr>
        <w:t>استنزاف التمويل وتهاوي القوة الشرائية:</w:t>
      </w:r>
      <w:r>
        <w:rPr>
          <w:rFonts w:ascii="Arial" w:hAnsi="Arial"/>
          <w:sz w:val="24"/>
        </w:rPr>
        <w:t xml:space="preserve"> أدى تدفق مئات الملايين من الدولارات سنوياً لإعادة ترميم هيكلية حزب الله، وتمويل فصائل الحشد الشعبي، وإمداد الحوثيين بالعتاد والصواريخ، إلى شح شديد في السيولة الأجنبية. هذا النزيف المالي تسبب في تهاوي سعر صرف التومان وارتفاع التضخم إلى مستويات قياسية، مما جعل المواطن الإيراني يتكفل بكلفة حروب الوكلاء من قوته اليومي.</w:t>
      </w:r>
    </w:p>
    <w:p>
      <w:pPr>
        <w:bidi w:val="1"/>
        <w:spacing w:line="288" w:lineRule="auto" w:after="200"/>
        <w:ind w:right="288"/>
        <w:jc w:val="right"/>
      </w:pPr>
      <w:r>
        <w:rPr>
          <w:b/>
          <w:color w:val="1B365D"/>
        </w:rPr>
        <w:t xml:space="preserve">• </w:t>
      </w:r>
      <w:r>
        <w:rPr>
          <w:rFonts w:ascii="Arial" w:hAnsi="Arial"/>
          <w:b/>
          <w:sz w:val="24"/>
        </w:rPr>
        <w:t>عقيدة القمع المتنقل واستنساب التكتيكات:</w:t>
      </w:r>
      <w:r>
        <w:rPr>
          <w:rFonts w:ascii="Arial" w:hAnsi="Arial"/>
          <w:sz w:val="24"/>
        </w:rPr>
        <w:t xml:space="preserve"> نقل الحرس الثوري خبرات حروب العصابات والتكتيكات الأمنية التي استخدمها لترسيخ نفوذ أذرعه الإقليمية إلى الأحياء السكنية والمدن؛ إذ تعتمد قوات "البسيج" وحدات التدخل السريع والدراجات النارية لمواجهة الاحتجاجات الميدانية، ما حول مواجهة الشارع إلى معارك كر وفر متنقلة تجابه السخط الشعبي دون تقديم حلول جذرية.</w:t>
      </w:r>
    </w:p>
    <w:p>
      <w:pPr>
        <w:bidi w:val="1"/>
        <w:spacing w:line="288" w:lineRule="auto" w:after="200"/>
        <w:ind w:right="288"/>
        <w:jc w:val="right"/>
      </w:pPr>
      <w:r>
        <w:rPr>
          <w:b/>
          <w:color w:val="1B365D"/>
        </w:rPr>
        <w:t xml:space="preserve">• </w:t>
      </w:r>
      <w:r>
        <w:rPr>
          <w:rFonts w:ascii="Arial" w:hAnsi="Arial"/>
          <w:b/>
          <w:sz w:val="24"/>
        </w:rPr>
        <w:t>اتساع رقعة الاضطراب الجغرافي:</w:t>
      </w:r>
      <w:r>
        <w:rPr>
          <w:rFonts w:ascii="Arial" w:hAnsi="Arial"/>
          <w:sz w:val="24"/>
        </w:rPr>
        <w:t xml:space="preserve"> لم تعد الاحتجاجات تنحصر في طهران، بل امتدت بأسلوب الفسيفساء إلى أقاليم الهامش والتنوع العرقي (كردستان، سيستان وبلوشستان، وخوزستان). هذا التشتت اللامركزي يُلزم المنظومة الأمنية بالانتقال والتنقل المستمر بين المحافظات، ما يربك قدراتها اللوجستية والتكتيكية.</w:t>
      </w:r>
    </w:p>
    <w:p>
      <w:pPr>
        <w:bidi w:val="1"/>
        <w:spacing w:line="288" w:lineRule="auto" w:after="200"/>
        <w:ind w:right="288"/>
        <w:jc w:val="right"/>
      </w:pPr>
      <w:r>
        <w:rPr>
          <w:b/>
          <w:color w:val="1B365D"/>
        </w:rPr>
        <w:t xml:space="preserve">• </w:t>
      </w:r>
      <w:r>
        <w:rPr>
          <w:rFonts w:ascii="Arial" w:hAnsi="Arial"/>
          <w:b/>
          <w:sz w:val="24"/>
        </w:rPr>
        <w:t>تهالك البنية التحتية وضغط العقوبات:</w:t>
      </w:r>
      <w:r>
        <w:rPr>
          <w:rFonts w:ascii="Arial" w:hAnsi="Arial"/>
          <w:sz w:val="24"/>
        </w:rPr>
        <w:t xml:space="preserve"> أدى الإصرار على دعم المنظومات التسليحية للوكلاء في المنطقة إلى فرض عقوبات دولية مشددة، رافقها إهمال قطاعات الطاقة والصناعة والنفط المحلية، مما أسفر عن إضرابات عمالية وحوادث تشغيلية متكررة باتت تشكل بؤر استنزاف داخلية لا تتوقف.</w:t>
      </w:r>
    </w:p>
    <w:p>
      <w:pPr>
        <w:bidi w:val="1"/>
        <w:spacing w:before="360" w:after="200"/>
        <w:jc w:val="right"/>
      </w:pPr>
      <w:r>
        <w:rPr>
          <w:rFonts w:ascii="Arial" w:hAnsi="Arial"/>
          <w:b/>
          <w:color w:val="1B365D"/>
          <w:sz w:val="28"/>
        </w:rPr>
        <w:t>ميزان الكلفة: بين دعم الأذرع وتحديات الداخل</w:t>
      </w:r>
    </w:p>
    <w:p>
      <w:pPr>
        <w:bidi w:val="1"/>
        <w:spacing w:line="300" w:lineRule="auto" w:after="240"/>
        <w:jc w:val="right"/>
      </w:pPr>
      <w:r>
        <w:rPr>
          <w:rFonts w:ascii="Arial" w:hAnsi="Arial"/>
          <w:sz w:val="24"/>
        </w:rPr>
        <w:t>تتجلى الفجوة الهيكلية عند مقارنة أهداف التمدد الخارجي بآثاره المباشرة على الجبهة الداخلية؛ فبينما يذهب التدفق المالي بالعملة الصعبة والسلاح لإعادة بناء منظومة حزب الله وتأمين الميليشيات كالحشد والحوثيين لتحقيق نفوذ إقليمي، ينعكس ذلك محلياً بشح في السيولة وتدهور في القوة الشرائية للمواطنين. وفي الوقت الذي تُدار فيه الجبهات الخارجية عبر حروب المسيرات والوكلاء، يُطبق الحرس الثوري تكتيكات أمنية متنقلة وقمعية للسيطرة على الأحياء والمدن. هذه المعادلة أسفرت عن نتيجة حتمية: نفوذ إقليمي مهدد بالعزلة الدولية وضغوط الاستنزاف، مقابل تآكل الحاضنة الشعبية وتعدد بؤر الغضب الميداني داخل إيران.</w:t>
      </w:r>
    </w:p>
    <w:p>
      <w:pPr>
        <w:bidi w:val="1"/>
        <w:spacing w:line="300" w:lineRule="auto" w:after="480"/>
        <w:jc w:val="right"/>
      </w:pPr>
      <w:r>
        <w:rPr>
          <w:rFonts w:ascii="Arial" w:hAnsi="Arial"/>
          <w:sz w:val="24"/>
        </w:rPr>
        <w:t>إن تقديم الطموحات الإقليمية واستدامة تمويل الأذرع على حساب الاستقرار الداخلي حول المدن الإيرانية إلى ساحات مفتوحة لمعارك أمنية واقتصادية متجددة، وأثبت أن كلفة الميليشيات الممتدة في المنطقة لم تعد معزولة عن الاحتقان السائد في الداخل.</w:t>
      </w:r>
    </w:p>
    <w:p>
      <w:pPr>
        <w:bidi w:val="1"/>
        <w:spacing w:after="240"/>
        <w:jc w:val="center"/>
      </w:pPr>
      <w:r>
        <w:rPr>
          <w:color w:val="BBBBBB"/>
        </w:rPr>
        <w:t>―――――――――――――――――――――――――――――――――――</w:t>
      </w:r>
    </w:p>
    <w:p>
      <w:pPr>
        <w:bidi w:val="1"/>
        <w:spacing w:after="80"/>
        <w:jc w:val="right"/>
      </w:pPr>
      <w:r>
        <w:rPr>
          <w:b/>
          <w:sz w:val="22"/>
        </w:rPr>
        <w:t xml:space="preserve">للتواصل وإبداء الرأي: </w:t>
      </w:r>
      <w:r>
        <w:rPr>
          <w:color w:val="1B365D"/>
          <w:sz w:val="22"/>
        </w:rPr>
        <w:t>Faraj.w.m@gmail.com</w:t>
      </w:r>
    </w:p>
    <w:p>
      <w:pPr>
        <w:bidi w:val="1"/>
        <w:spacing w:after="0"/>
        <w:jc w:val="right"/>
      </w:pPr>
      <w:r>
        <w:rPr>
          <w:b/>
          <w:color w:val="1B365D"/>
          <w:sz w:val="24"/>
        </w:rPr>
        <w:t>#د_فرج_الخنفري</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