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Himalaya Crest Realty (Pvt.) Ltd. - Services and Fees</w:t>
      </w:r>
    </w:p>
    <w:p>
      <w:pPr>
        <w:pStyle w:val="ListBullet"/>
      </w:pPr>
      <w:r>
        <w:rPr>
          <w:b w:val="0"/>
          <w:i w:val="0"/>
        </w:rPr>
        <w:t>Document title: Services and Fees</w:t>
      </w:r>
    </w:p>
    <w:p>
      <w:pPr>
        <w:pStyle w:val="ListBullet"/>
      </w:pPr>
      <w:r>
        <w:rPr>
          <w:b w:val="0"/>
          <w:i w:val="0"/>
        </w:rPr>
        <w:t>Document code: HCR-DOC-03</w:t>
      </w:r>
    </w:p>
    <w:p>
      <w:pPr>
        <w:pStyle w:val="ListBullet"/>
      </w:pPr>
      <w:r>
        <w:rPr>
          <w:b w:val="0"/>
          <w:i w:val="0"/>
        </w:rPr>
        <w:t>Version: 4.0</w:t>
      </w:r>
    </w:p>
    <w:p>
      <w:pPr>
        <w:pStyle w:val="ListBullet"/>
      </w:pPr>
      <w:r>
        <w:rPr>
          <w:b w:val="0"/>
          <w:i w:val="0"/>
        </w:rPr>
        <w:t>Effective date: 1 June 2026</w:t>
      </w:r>
    </w:p>
    <w:p>
      <w:pPr>
        <w:pStyle w:val="ListBullet"/>
      </w:pPr>
      <w:r>
        <w:rPr>
          <w:b w:val="0"/>
          <w:i w:val="0"/>
        </w:rPr>
        <w:t>Owner department: Finance</w:t>
      </w:r>
    </w:p>
    <w:p>
      <w:r>
        <w:rPr>
          <w:b w:val="0"/>
          <w:i w:val="0"/>
        </w:rPr>
        <w:t>Fictional company created for software testing.</w:t>
      </w:r>
    </w:p>
    <w:p>
      <w:pPr>
        <w:pStyle w:val="Heading2"/>
      </w:pPr>
      <w:r>
        <w:rPr>
          <w:b w:val="0"/>
          <w:i w:val="0"/>
        </w:rPr>
        <w:t>1. About this document</w:t>
      </w:r>
    </w:p>
    <w:p>
      <w:r>
        <w:rPr>
          <w:b w:val="0"/>
          <w:i w:val="0"/>
        </w:rPr>
        <w:t>This document explains every service offered by Himalaya Crest Realty (HCR), what each service includes, what it costs and how the charges are worked out. It is written for buyers, sellers, landlords, tenants and investors who want to know the full cost of a transaction before they commit to it. Property details are in the Property Listings document, and the rules on booking, cancellation, refunds and transfers are in the Policies and Terms document.</w:t>
      </w:r>
    </w:p>
    <w:p>
      <w:r>
        <w:rPr>
          <w:b w:val="0"/>
          <w:i w:val="0"/>
        </w:rPr>
        <w:t>All fees in this document are in Pakistani rupees and are written in full digits, for example PKR 18,500,000, which is the same as PKR 1.85 crore (one crore is 10,000,000 and one lakh is 100,000). The fee schedule described here took effect on 1 March 2025 unless a different date is stated beside a particular item. Percentages are applied to the full property price or to the rent, as explained in each section.</w:t>
      </w:r>
    </w:p>
    <w:p>
      <w:r>
        <w:rPr>
          <w:b w:val="0"/>
          <w:i w:val="0"/>
        </w:rPr>
        <w:t>HCR believes a client should never be surprised by a bill. For that reason every fee below is stated as a fixed amount or a fixed percentage, every minimum is stated, and every worked example can be checked with a calculator. If a number in a quotation differs from a number in this document, the client should ask the consultant to explain the difference in writing before signing anything.</w:t>
      </w:r>
    </w:p>
    <w:p>
      <w:pPr>
        <w:pStyle w:val="Heading2"/>
      </w:pPr>
      <w:r>
        <w:rPr>
          <w:b w:val="0"/>
          <w:i w:val="0"/>
        </w:rPr>
        <w:t>2. Services at a glance</w:t>
      </w:r>
    </w:p>
    <w:p>
      <w:r>
        <w:rPr>
          <w:b w:val="0"/>
          <w:i w:val="0"/>
        </w:rPr>
        <w:t>HCR provides seven services. Each has a code that appears on booking forms, invoices and receipts.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Code</w:t>
            </w:r>
          </w:p>
        </w:tc>
        <w:tc>
          <w:tcPr>
            <w:tcW w:type="dxa" w:w="2160"/>
          </w:tcPr>
          <w:p>
            <w:r>
              <w:rPr>
                <w:b/>
                <w:i w:val="0"/>
              </w:rPr>
              <w:t>Service</w:t>
            </w:r>
          </w:p>
        </w:tc>
        <w:tc>
          <w:tcPr>
            <w:tcW w:type="dxa" w:w="2160"/>
          </w:tcPr>
          <w:p>
            <w:r>
              <w:rPr>
                <w:b/>
                <w:i w:val="0"/>
              </w:rPr>
              <w:t>Best suited to</w:t>
            </w:r>
          </w:p>
        </w:tc>
        <w:tc>
          <w:tcPr>
            <w:tcW w:type="dxa" w:w="2160"/>
          </w:tcPr>
          <w:p>
            <w:r>
              <w:rPr>
                <w:b/>
                <w:i w:val="0"/>
              </w:rPr>
              <w:t>First point of contact</w:t>
            </w:r>
          </w:p>
        </w:tc>
      </w:tr>
      <w:tr>
        <w:tc>
          <w:tcPr>
            <w:tcW w:type="dxa" w:w="2160"/>
          </w:tcPr>
          <w:p>
            <w:r>
              <w:rPr>
                <w:b w:val="0"/>
                <w:i w:val="0"/>
              </w:rPr>
              <w:t>SVC-BUY</w:t>
            </w:r>
          </w:p>
        </w:tc>
        <w:tc>
          <w:tcPr>
            <w:tcW w:type="dxa" w:w="2160"/>
          </w:tcPr>
          <w:p>
            <w:r>
              <w:rPr>
                <w:b w:val="0"/>
                <w:i w:val="0"/>
              </w:rPr>
              <w:t>Buying</w:t>
            </w:r>
          </w:p>
        </w:tc>
        <w:tc>
          <w:tcPr>
            <w:tcW w:type="dxa" w:w="2160"/>
          </w:tcPr>
          <w:p>
            <w:r>
              <w:rPr>
                <w:b w:val="0"/>
                <w:i w:val="0"/>
              </w:rPr>
              <w:t>Anyone purchasing a home, plot or commercial unit</w:t>
            </w:r>
          </w:p>
        </w:tc>
        <w:tc>
          <w:tcPr>
            <w:tcW w:type="dxa" w:w="2160"/>
          </w:tcPr>
          <w:p>
            <w:r>
              <w:rPr>
                <w:b w:val="0"/>
                <w:i w:val="0"/>
              </w:rPr>
              <w:t>The branch consultant</w:t>
            </w:r>
          </w:p>
        </w:tc>
      </w:tr>
      <w:tr>
        <w:tc>
          <w:tcPr>
            <w:tcW w:type="dxa" w:w="2160"/>
          </w:tcPr>
          <w:p>
            <w:r>
              <w:rPr>
                <w:b w:val="0"/>
                <w:i w:val="0"/>
              </w:rPr>
              <w:t>SVC-SELL</w:t>
            </w:r>
          </w:p>
        </w:tc>
        <w:tc>
          <w:tcPr>
            <w:tcW w:type="dxa" w:w="2160"/>
          </w:tcPr>
          <w:p>
            <w:r>
              <w:rPr>
                <w:b w:val="0"/>
                <w:i w:val="0"/>
              </w:rPr>
              <w:t>Selling</w:t>
            </w:r>
          </w:p>
        </w:tc>
        <w:tc>
          <w:tcPr>
            <w:tcW w:type="dxa" w:w="2160"/>
          </w:tcPr>
          <w:p>
            <w:r>
              <w:rPr>
                <w:b w:val="0"/>
                <w:i w:val="0"/>
              </w:rPr>
              <w:t>Owners who want to sell a property</w:t>
            </w:r>
          </w:p>
        </w:tc>
        <w:tc>
          <w:tcPr>
            <w:tcW w:type="dxa" w:w="2160"/>
          </w:tcPr>
          <w:p>
            <w:r>
              <w:rPr>
                <w:b w:val="0"/>
                <w:i w:val="0"/>
              </w:rPr>
              <w:t>The branch consultant</w:t>
            </w:r>
          </w:p>
        </w:tc>
      </w:tr>
      <w:tr>
        <w:tc>
          <w:tcPr>
            <w:tcW w:type="dxa" w:w="2160"/>
          </w:tcPr>
          <w:p>
            <w:r>
              <w:rPr>
                <w:b w:val="0"/>
                <w:i w:val="0"/>
              </w:rPr>
              <w:t>SVC-RENT</w:t>
            </w:r>
          </w:p>
        </w:tc>
        <w:tc>
          <w:tcPr>
            <w:tcW w:type="dxa" w:w="2160"/>
          </w:tcPr>
          <w:p>
            <w:r>
              <w:rPr>
                <w:b w:val="0"/>
                <w:i w:val="0"/>
              </w:rPr>
              <w:t>Rental</w:t>
            </w:r>
          </w:p>
        </w:tc>
        <w:tc>
          <w:tcPr>
            <w:tcW w:type="dxa" w:w="2160"/>
          </w:tcPr>
          <w:p>
            <w:r>
              <w:rPr>
                <w:b w:val="0"/>
                <w:i w:val="0"/>
              </w:rPr>
              <w:t>Landlords and tenants of homes and commercial space</w:t>
            </w:r>
          </w:p>
        </w:tc>
        <w:tc>
          <w:tcPr>
            <w:tcW w:type="dxa" w:w="2160"/>
          </w:tcPr>
          <w:p>
            <w:r>
              <w:rPr>
                <w:b w:val="0"/>
                <w:i w:val="0"/>
              </w:rPr>
              <w:t>rentals@himalayacrest.example</w:t>
            </w:r>
          </w:p>
        </w:tc>
      </w:tr>
      <w:tr>
        <w:tc>
          <w:tcPr>
            <w:tcW w:type="dxa" w:w="2160"/>
          </w:tcPr>
          <w:p>
            <w:r>
              <w:rPr>
                <w:b w:val="0"/>
                <w:i w:val="0"/>
              </w:rPr>
              <w:t>SVC-PM</w:t>
            </w:r>
          </w:p>
        </w:tc>
        <w:tc>
          <w:tcPr>
            <w:tcW w:type="dxa" w:w="2160"/>
          </w:tcPr>
          <w:p>
            <w:r>
              <w:rPr>
                <w:b w:val="0"/>
                <w:i w:val="0"/>
              </w:rPr>
              <w:t>Property management</w:t>
            </w:r>
          </w:p>
        </w:tc>
        <w:tc>
          <w:tcPr>
            <w:tcW w:type="dxa" w:w="2160"/>
          </w:tcPr>
          <w:p>
            <w:r>
              <w:rPr>
                <w:b w:val="0"/>
                <w:i w:val="0"/>
              </w:rPr>
              <w:t>Owners who want day-to-day care of a let property</w:t>
            </w:r>
          </w:p>
        </w:tc>
        <w:tc>
          <w:tcPr>
            <w:tcW w:type="dxa" w:w="2160"/>
          </w:tcPr>
          <w:p>
            <w:r>
              <w:rPr>
                <w:b w:val="0"/>
                <w:i w:val="0"/>
              </w:rPr>
              <w:t>Mehwish Tanveer</w:t>
            </w:r>
          </w:p>
        </w:tc>
      </w:tr>
      <w:tr>
        <w:tc>
          <w:tcPr>
            <w:tcW w:type="dxa" w:w="2160"/>
          </w:tcPr>
          <w:p>
            <w:r>
              <w:rPr>
                <w:b w:val="0"/>
                <w:i w:val="0"/>
              </w:rPr>
              <w:t>SVC-VAL</w:t>
            </w:r>
          </w:p>
        </w:tc>
        <w:tc>
          <w:tcPr>
            <w:tcW w:type="dxa" w:w="2160"/>
          </w:tcPr>
          <w:p>
            <w:r>
              <w:rPr>
                <w:b w:val="0"/>
                <w:i w:val="0"/>
              </w:rPr>
              <w:t>Valuation</w:t>
            </w:r>
          </w:p>
        </w:tc>
        <w:tc>
          <w:tcPr>
            <w:tcW w:type="dxa" w:w="2160"/>
          </w:tcPr>
          <w:p>
            <w:r>
              <w:rPr>
                <w:b w:val="0"/>
                <w:i w:val="0"/>
              </w:rPr>
              <w:t>Buyers, sellers and owners who need a written value</w:t>
            </w:r>
          </w:p>
        </w:tc>
        <w:tc>
          <w:tcPr>
            <w:tcW w:type="dxa" w:w="2160"/>
          </w:tcPr>
          <w:p>
            <w:r>
              <w:rPr>
                <w:b w:val="0"/>
                <w:i w:val="0"/>
              </w:rPr>
              <w:t>Kamran Yousaf</w:t>
            </w:r>
          </w:p>
        </w:tc>
      </w:tr>
      <w:tr>
        <w:tc>
          <w:tcPr>
            <w:tcW w:type="dxa" w:w="2160"/>
          </w:tcPr>
          <w:p>
            <w:r>
              <w:rPr>
                <w:b w:val="0"/>
                <w:i w:val="0"/>
              </w:rPr>
              <w:t>SVC-DOC</w:t>
            </w:r>
          </w:p>
        </w:tc>
        <w:tc>
          <w:tcPr>
            <w:tcW w:type="dxa" w:w="2160"/>
          </w:tcPr>
          <w:p>
            <w:r>
              <w:rPr>
                <w:b w:val="0"/>
                <w:i w:val="0"/>
              </w:rPr>
              <w:t>Documentation support</w:t>
            </w:r>
          </w:p>
        </w:tc>
        <w:tc>
          <w:tcPr>
            <w:tcW w:type="dxa" w:w="2160"/>
          </w:tcPr>
          <w:p>
            <w:r>
              <w:rPr>
                <w:b w:val="0"/>
                <w:i w:val="0"/>
              </w:rPr>
              <w:t>Parties who need agreements and transfer papers prepared</w:t>
            </w:r>
          </w:p>
        </w:tc>
        <w:tc>
          <w:tcPr>
            <w:tcW w:type="dxa" w:w="2160"/>
          </w:tcPr>
          <w:p>
            <w:r>
              <w:rPr>
                <w:b w:val="0"/>
                <w:i w:val="0"/>
              </w:rPr>
              <w:t>Ayesha Nawaz</w:t>
            </w:r>
          </w:p>
        </w:tc>
      </w:tr>
      <w:tr>
        <w:tc>
          <w:tcPr>
            <w:tcW w:type="dxa" w:w="2160"/>
          </w:tcPr>
          <w:p>
            <w:r>
              <w:rPr>
                <w:b w:val="0"/>
                <w:i w:val="0"/>
              </w:rPr>
              <w:t>SVC-INV</w:t>
            </w:r>
          </w:p>
        </w:tc>
        <w:tc>
          <w:tcPr>
            <w:tcW w:type="dxa" w:w="2160"/>
          </w:tcPr>
          <w:p>
            <w:r>
              <w:rPr>
                <w:b w:val="0"/>
                <w:i w:val="0"/>
              </w:rPr>
              <w:t>Investment advisory</w:t>
            </w:r>
          </w:p>
        </w:tc>
        <w:tc>
          <w:tcPr>
            <w:tcW w:type="dxa" w:w="2160"/>
          </w:tcPr>
          <w:p>
            <w:r>
              <w:rPr>
                <w:b w:val="0"/>
                <w:i w:val="0"/>
              </w:rPr>
              <w:t>Investors reviewing or building a property portfolio</w:t>
            </w:r>
          </w:p>
        </w:tc>
        <w:tc>
          <w:tcPr>
            <w:tcW w:type="dxa" w:w="2160"/>
          </w:tcPr>
          <w:p>
            <w:r>
              <w:rPr>
                <w:b w:val="0"/>
                <w:i w:val="0"/>
              </w:rPr>
              <w:t>Rabia Chaudhry</w:t>
            </w:r>
          </w:p>
        </w:tc>
      </w:tr>
    </w:tbl>
    <w:p>
      <w:r>
        <w:rPr>
          <w:b w:val="0"/>
          <w:i w:val="0"/>
        </w:rPr>
        <w:t>Services can be combined. A seller may order a valuation first, then use selling and documentation support. An investor may start with an advisory session, buy through the buying service and later hand the finished property to the management team. Each service is charged separately according to the tables in this document.</w:t>
      </w:r>
    </w:p>
    <w:p>
      <w:pPr>
        <w:pStyle w:val="Heading2"/>
      </w:pPr>
      <w:r>
        <w:rPr>
          <w:b w:val="0"/>
          <w:i w:val="0"/>
        </w:rPr>
        <w:t>3. Buying (SVC-BUY)</w:t>
      </w:r>
    </w:p>
    <w:p>
      <w:pPr>
        <w:pStyle w:val="Heading3"/>
      </w:pPr>
      <w:r>
        <w:rPr>
          <w:b w:val="0"/>
          <w:i w:val="0"/>
        </w:rPr>
        <w:t>3.1 What the service includes</w:t>
      </w:r>
    </w:p>
    <w:p>
      <w:r>
        <w:rPr>
          <w:b w:val="0"/>
          <w:i w:val="0"/>
        </w:rPr>
        <w:t>The buying service covers the whole journey from first search to booking. A consultant listens to the client's needs, shortlists suitable properties, arranges viewings, explains the written payment schedule, helps with price negotiation and supports the client through the booking. The consultant remains the named contact for the client throughout.</w:t>
      </w:r>
    </w:p>
    <w:p>
      <w:r>
        <w:rPr>
          <w:b w:val="0"/>
          <w:i w:val="0"/>
        </w:rPr>
        <w:t>Viewings are arranged through the branch that handles the property. A viewing may be cancelled free of charge by giving at least 24 hours notice to the branch that arranged it.</w:t>
      </w:r>
    </w:p>
    <w:p>
      <w:pPr>
        <w:pStyle w:val="Heading3"/>
      </w:pPr>
      <w:r>
        <w:rPr>
          <w:b w:val="0"/>
          <w:i w:val="0"/>
        </w:rPr>
        <w:t>3.2 Buying commission</w:t>
      </w:r>
    </w:p>
    <w:p>
      <w:r>
        <w:rPr>
          <w:b w:val="0"/>
          <w:i w:val="0"/>
        </w:rPr>
        <w:t>Commission is one flat percentage of the full property price. The percentage is chosen by the slab in which the price falls; it is not applied slice by slice. A property priced at PKR 25,000,001, for instance, is charged the Slab 3 percentage on the whole price.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Slab</w:t>
            </w:r>
          </w:p>
        </w:tc>
        <w:tc>
          <w:tcPr>
            <w:tcW w:type="dxa" w:w="2880"/>
          </w:tcPr>
          <w:p>
            <w:r>
              <w:rPr>
                <w:b/>
                <w:i w:val="0"/>
              </w:rPr>
              <w:t>Price range</w:t>
            </w:r>
          </w:p>
        </w:tc>
        <w:tc>
          <w:tcPr>
            <w:tcW w:type="dxa" w:w="2880"/>
          </w:tcPr>
          <w:p>
            <w:r>
              <w:rPr>
                <w:b/>
                <w:i w:val="0"/>
              </w:rPr>
              <w:t>Buying commission</w:t>
            </w:r>
          </w:p>
        </w:tc>
      </w:tr>
      <w:tr>
        <w:tc>
          <w:tcPr>
            <w:tcW w:type="dxa" w:w="2880"/>
          </w:tcPr>
          <w:p>
            <w:r>
              <w:rPr>
                <w:b w:val="0"/>
                <w:i w:val="0"/>
              </w:rPr>
              <w:t>Slab 1</w:t>
            </w:r>
          </w:p>
        </w:tc>
        <w:tc>
          <w:tcPr>
            <w:tcW w:type="dxa" w:w="2880"/>
          </w:tcPr>
          <w:p>
            <w:r>
              <w:rPr>
                <w:b w:val="0"/>
                <w:i w:val="0"/>
              </w:rPr>
              <w:t>Up to PKR 10,000,000</w:t>
            </w:r>
          </w:p>
        </w:tc>
        <w:tc>
          <w:tcPr>
            <w:tcW w:type="dxa" w:w="2880"/>
          </w:tcPr>
          <w:p>
            <w:r>
              <w:rPr>
                <w:b w:val="0"/>
                <w:i w:val="0"/>
              </w:rPr>
              <w:t>2.0%</w:t>
            </w:r>
          </w:p>
        </w:tc>
      </w:tr>
      <w:tr>
        <w:tc>
          <w:tcPr>
            <w:tcW w:type="dxa" w:w="2880"/>
          </w:tcPr>
          <w:p>
            <w:r>
              <w:rPr>
                <w:b w:val="0"/>
                <w:i w:val="0"/>
              </w:rPr>
              <w:t>Slab 2</w:t>
            </w:r>
          </w:p>
        </w:tc>
        <w:tc>
          <w:tcPr>
            <w:tcW w:type="dxa" w:w="2880"/>
          </w:tcPr>
          <w:p>
            <w:r>
              <w:rPr>
                <w:b w:val="0"/>
                <w:i w:val="0"/>
              </w:rPr>
              <w:t>PKR 10,000,001 to PKR 25,000,000</w:t>
            </w:r>
          </w:p>
        </w:tc>
        <w:tc>
          <w:tcPr>
            <w:tcW w:type="dxa" w:w="2880"/>
          </w:tcPr>
          <w:p>
            <w:r>
              <w:rPr>
                <w:b w:val="0"/>
                <w:i w:val="0"/>
              </w:rPr>
              <w:t>1.75%</w:t>
            </w:r>
          </w:p>
        </w:tc>
      </w:tr>
      <w:tr>
        <w:tc>
          <w:tcPr>
            <w:tcW w:type="dxa" w:w="2880"/>
          </w:tcPr>
          <w:p>
            <w:r>
              <w:rPr>
                <w:b w:val="0"/>
                <w:i w:val="0"/>
              </w:rPr>
              <w:t>Slab 3</w:t>
            </w:r>
          </w:p>
        </w:tc>
        <w:tc>
          <w:tcPr>
            <w:tcW w:type="dxa" w:w="2880"/>
          </w:tcPr>
          <w:p>
            <w:r>
              <w:rPr>
                <w:b w:val="0"/>
                <w:i w:val="0"/>
              </w:rPr>
              <w:t>Above PKR 25,000,000</w:t>
            </w:r>
          </w:p>
        </w:tc>
        <w:tc>
          <w:tcPr>
            <w:tcW w:type="dxa" w:w="2880"/>
          </w:tcPr>
          <w:p>
            <w:r>
              <w:rPr>
                <w:b w:val="0"/>
                <w:i w:val="0"/>
              </w:rPr>
              <w:t>1.5%</w:t>
            </w:r>
          </w:p>
        </w:tc>
      </w:tr>
    </w:tbl>
    <w:p>
      <w:r>
        <w:rPr>
          <w:b w:val="0"/>
          <w:i w:val="0"/>
        </w:rPr>
        <w:t>The minimum buying commission is PKR 150,000. If the percentage amount comes to less than this, the minimum is charged instead. In practice the minimum matters only for lower-priced properties in Slab 1, where 2.0% of the price would fall below PKR 150,000.</w:t>
      </w:r>
    </w:p>
    <w:p>
      <w:pPr>
        <w:pStyle w:val="Heading3"/>
      </w:pPr>
      <w:r>
        <w:rPr>
          <w:b w:val="0"/>
          <w:i w:val="0"/>
        </w:rPr>
        <w:t>3.3 Admin fee</w:t>
      </w:r>
    </w:p>
    <w:p>
      <w:r>
        <w:rPr>
          <w:b w:val="0"/>
          <w:i w:val="0"/>
        </w:rPr>
        <w:t>A single admin fee of PKR 7,500 is charged per transaction on buying and selling. It covers file opening, receipt preparation and record keeping, and it is charged once however many visits or viewings the transaction takes.</w:t>
      </w:r>
    </w:p>
    <w:p>
      <w:pPr>
        <w:pStyle w:val="Heading3"/>
      </w:pPr>
      <w:r>
        <w:rPr>
          <w:b w:val="0"/>
          <w:i w:val="0"/>
        </w:rPr>
        <w:t>3.4 Worked buying examples</w:t>
      </w:r>
    </w:p>
    <w:p>
      <w:pPr>
        <w:pStyle w:val="ListBullet"/>
      </w:pPr>
      <w:r>
        <w:rPr>
          <w:b w:val="0"/>
          <w:i w:val="0"/>
        </w:rPr>
      </w:r>
      <w:r>
        <w:rPr>
          <w:b/>
          <w:i w:val="0"/>
        </w:rPr>
        <w:t>HCR-ISB-0101 (Crest View Residency Block A, Two-Bed Apartment A).</w:t>
      </w:r>
      <w:r>
        <w:rPr>
          <w:b w:val="0"/>
          <w:i w:val="0"/>
        </w:rPr>
        <w:t xml:space="preserve"> The price of PKR 18,500,000 falls in Slab 2. Commission is PKR 18,500,000 x 1.75% = PKR 323,750. Adding the admin fee of PKR 7,500 gives PKR 331,250.</w:t>
      </w:r>
    </w:p>
    <w:p>
      <w:pPr>
        <w:pStyle w:val="ListBullet"/>
      </w:pPr>
      <w:r>
        <w:rPr>
          <w:b w:val="0"/>
          <w:i w:val="0"/>
        </w:rPr>
      </w:r>
      <w:r>
        <w:rPr>
          <w:b/>
          <w:i w:val="0"/>
        </w:rPr>
        <w:t>HCR-ATD-0303 (Pine Ridge Plots, Plot P-12).</w:t>
      </w:r>
      <w:r>
        <w:rPr>
          <w:b w:val="0"/>
          <w:i w:val="0"/>
        </w:rPr>
        <w:t xml:space="preserve"> The price of PKR 9,500,000 falls in Slab 1. Commission is PKR 9,500,000 x 2.0% = PKR 190,000, which is above the PKR 150,000 minimum, so PKR 190,000 is charged.</w:t>
      </w:r>
    </w:p>
    <w:p>
      <w:pPr>
        <w:pStyle w:val="ListBullet"/>
      </w:pPr>
      <w:r>
        <w:rPr>
          <w:b w:val="0"/>
          <w:i w:val="0"/>
        </w:rPr>
      </w:r>
      <w:r>
        <w:rPr>
          <w:b/>
          <w:i w:val="0"/>
        </w:rPr>
        <w:t>HCR-LHR-0402 (Lotus Gardens, Three-Bed Apartment).</w:t>
      </w:r>
      <w:r>
        <w:rPr>
          <w:b w:val="0"/>
          <w:i w:val="0"/>
        </w:rPr>
        <w:t xml:space="preserve"> The price of PKR 33,500,000 falls in Slab 3. Commission is PKR 33,500,000 x 1.5% = PKR 502,500.</w:t>
      </w:r>
    </w:p>
    <w:p>
      <w:pPr>
        <w:pStyle w:val="ListBullet"/>
      </w:pPr>
      <w:r>
        <w:rPr>
          <w:b w:val="0"/>
          <w:i w:val="0"/>
        </w:rPr>
      </w:r>
      <w:r>
        <w:rPr>
          <w:b/>
          <w:i w:val="0"/>
        </w:rPr>
        <w:t>HCR-RWP-0201 (Saffron Heights, One-Bed Apartment).</w:t>
      </w:r>
      <w:r>
        <w:rPr>
          <w:b w:val="0"/>
          <w:i w:val="0"/>
        </w:rPr>
        <w:t xml:space="preserve"> The price of PKR 8,400,000 falls in Slab 1. Commission is PKR 8,400,000 x 2.0% = PKR 168,000, above the minimum.</w:t>
      </w:r>
    </w:p>
    <w:p>
      <w:pPr>
        <w:pStyle w:val="ListBullet"/>
      </w:pPr>
      <w:r>
        <w:rPr>
          <w:b w:val="0"/>
          <w:i w:val="0"/>
        </w:rPr>
      </w:r>
      <w:r>
        <w:rPr>
          <w:b/>
          <w:i w:val="0"/>
        </w:rPr>
        <w:t>HCR-ISB-0104 (Crest View Residency Block B, Three-Bed Apartment B).</w:t>
      </w:r>
      <w:r>
        <w:rPr>
          <w:b w:val="0"/>
          <w:i w:val="0"/>
        </w:rPr>
        <w:t xml:space="preserve"> The price of PKR 27,500,000 falls in Slab 3. Commission is PKR 27,500,000 x 1.5% = PKR 412,500. With the admin fee the total is PKR 420,000.</w:t>
      </w:r>
    </w:p>
    <w:p>
      <w:pPr>
        <w:pStyle w:val="ListBullet"/>
      </w:pPr>
      <w:r>
        <w:rPr>
          <w:b w:val="0"/>
          <w:i w:val="0"/>
        </w:rPr>
      </w:r>
      <w:r>
        <w:rPr>
          <w:b/>
          <w:i w:val="0"/>
        </w:rPr>
        <w:t>A property priced at PKR 6,000,000.</w:t>
      </w:r>
      <w:r>
        <w:rPr>
          <w:b w:val="0"/>
          <w:i w:val="0"/>
        </w:rPr>
        <w:t xml:space="preserve"> At 2.0% the commission would be PKR 120,000, which is below the minimum, so PKR 150,000 is charged.</w:t>
      </w:r>
    </w:p>
    <w:p>
      <w:pPr>
        <w:pStyle w:val="Heading2"/>
      </w:pPr>
      <w:r>
        <w:rPr>
          <w:b w:val="0"/>
          <w:i w:val="0"/>
        </w:rPr>
        <w:t>4. Selling (SVC-SELL)</w:t>
      </w:r>
    </w:p>
    <w:p>
      <w:pPr>
        <w:pStyle w:val="Heading3"/>
      </w:pPr>
      <w:r>
        <w:rPr>
          <w:b w:val="0"/>
          <w:i w:val="0"/>
        </w:rPr>
        <w:t>4.1 What the service includes</w:t>
      </w:r>
    </w:p>
    <w:p>
      <w:r>
        <w:rPr>
          <w:b w:val="0"/>
          <w:i w:val="0"/>
        </w:rPr>
        <w:t>The selling service covers listing, marketing, viewings and negotiation. The consultant prepares the listing, photographs and describes the property, shares it with buyers on the company's books, accompanies viewings and presents offers to the owner. The owner decides whether to accept any offer.</w:t>
      </w:r>
    </w:p>
    <w:p>
      <w:pPr>
        <w:pStyle w:val="Heading3"/>
      </w:pPr>
      <w:r>
        <w:rPr>
          <w:b w:val="0"/>
          <w:i w:val="0"/>
        </w:rPr>
        <w:t>4.2 Listing agreement</w:t>
      </w:r>
    </w:p>
    <w:p>
      <w:r>
        <w:rPr>
          <w:b w:val="0"/>
          <w:i w:val="0"/>
        </w:rPr>
        <w:t>Every sale is handled under a written listing agreement. The agreement runs for 90 days and can be renewed. An owner who wishes to cancel the agreement must give 7 days written notice.</w:t>
      </w:r>
    </w:p>
    <w:p>
      <w:pPr>
        <w:pStyle w:val="Heading3"/>
      </w:pPr>
      <w:r>
        <w:rPr>
          <w:b w:val="0"/>
          <w:i w:val="0"/>
        </w:rPr>
        <w:t>4.3 Selling commission</w:t>
      </w:r>
    </w:p>
    <w:p>
      <w:r>
        <w:rPr>
          <w:b w:val="0"/>
          <w:i w:val="0"/>
        </w:rPr>
        <w:t>As with buying, selling commission is one flat percentage of the full sale price, chosen by slab.</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Slab</w:t>
            </w:r>
          </w:p>
        </w:tc>
        <w:tc>
          <w:tcPr>
            <w:tcW w:type="dxa" w:w="2880"/>
          </w:tcPr>
          <w:p>
            <w:r>
              <w:rPr>
                <w:b/>
                <w:i w:val="0"/>
              </w:rPr>
              <w:t>Price range</w:t>
            </w:r>
          </w:p>
        </w:tc>
        <w:tc>
          <w:tcPr>
            <w:tcW w:type="dxa" w:w="2880"/>
          </w:tcPr>
          <w:p>
            <w:r>
              <w:rPr>
                <w:b/>
                <w:i w:val="0"/>
              </w:rPr>
              <w:t>Selling commission</w:t>
            </w:r>
          </w:p>
        </w:tc>
      </w:tr>
      <w:tr>
        <w:tc>
          <w:tcPr>
            <w:tcW w:type="dxa" w:w="2880"/>
          </w:tcPr>
          <w:p>
            <w:r>
              <w:rPr>
                <w:b w:val="0"/>
                <w:i w:val="0"/>
              </w:rPr>
              <w:t>Slab 1</w:t>
            </w:r>
          </w:p>
        </w:tc>
        <w:tc>
          <w:tcPr>
            <w:tcW w:type="dxa" w:w="2880"/>
          </w:tcPr>
          <w:p>
            <w:r>
              <w:rPr>
                <w:b w:val="0"/>
                <w:i w:val="0"/>
              </w:rPr>
              <w:t>Up to PKR 10,000,000</w:t>
            </w:r>
          </w:p>
        </w:tc>
        <w:tc>
          <w:tcPr>
            <w:tcW w:type="dxa" w:w="2880"/>
          </w:tcPr>
          <w:p>
            <w:r>
              <w:rPr>
                <w:b w:val="0"/>
                <w:i w:val="0"/>
              </w:rPr>
              <w:t>2.5%</w:t>
            </w:r>
          </w:p>
        </w:tc>
      </w:tr>
      <w:tr>
        <w:tc>
          <w:tcPr>
            <w:tcW w:type="dxa" w:w="2880"/>
          </w:tcPr>
          <w:p>
            <w:r>
              <w:rPr>
                <w:b w:val="0"/>
                <w:i w:val="0"/>
              </w:rPr>
              <w:t>Slab 2</w:t>
            </w:r>
          </w:p>
        </w:tc>
        <w:tc>
          <w:tcPr>
            <w:tcW w:type="dxa" w:w="2880"/>
          </w:tcPr>
          <w:p>
            <w:r>
              <w:rPr>
                <w:b w:val="0"/>
                <w:i w:val="0"/>
              </w:rPr>
              <w:t>PKR 10,000,001 to PKR 25,000,000</w:t>
            </w:r>
          </w:p>
        </w:tc>
        <w:tc>
          <w:tcPr>
            <w:tcW w:type="dxa" w:w="2880"/>
          </w:tcPr>
          <w:p>
            <w:r>
              <w:rPr>
                <w:b w:val="0"/>
                <w:i w:val="0"/>
              </w:rPr>
              <w:t>2.25%</w:t>
            </w:r>
          </w:p>
        </w:tc>
      </w:tr>
      <w:tr>
        <w:tc>
          <w:tcPr>
            <w:tcW w:type="dxa" w:w="2880"/>
          </w:tcPr>
          <w:p>
            <w:r>
              <w:rPr>
                <w:b w:val="0"/>
                <w:i w:val="0"/>
              </w:rPr>
              <w:t>Slab 3</w:t>
            </w:r>
          </w:p>
        </w:tc>
        <w:tc>
          <w:tcPr>
            <w:tcW w:type="dxa" w:w="2880"/>
          </w:tcPr>
          <w:p>
            <w:r>
              <w:rPr>
                <w:b w:val="0"/>
                <w:i w:val="0"/>
              </w:rPr>
              <w:t>Above PKR 25,000,000</w:t>
            </w:r>
          </w:p>
        </w:tc>
        <w:tc>
          <w:tcPr>
            <w:tcW w:type="dxa" w:w="2880"/>
          </w:tcPr>
          <w:p>
            <w:r>
              <w:rPr>
                <w:b w:val="0"/>
                <w:i w:val="0"/>
              </w:rPr>
              <w:t>2.0%</w:t>
            </w:r>
          </w:p>
        </w:tc>
      </w:tr>
    </w:tbl>
    <w:p>
      <w:r>
        <w:rPr>
          <w:b w:val="0"/>
          <w:i w:val="0"/>
        </w:rPr>
        <w:t>The minimum selling commission is PKR 200,000. If the percentage amount is lower, the minimum applies. The admin fee of PKR 7,500 per transaction is charged on a sale as well.</w:t>
      </w:r>
    </w:p>
    <w:p>
      <w:pPr>
        <w:pStyle w:val="Heading3"/>
      </w:pPr>
      <w:r>
        <w:rPr>
          <w:b w:val="0"/>
          <w:i w:val="0"/>
        </w:rPr>
        <w:t>4.4 Worked selling examples</w:t>
      </w:r>
    </w:p>
    <w:p>
      <w:pPr>
        <w:pStyle w:val="ListBullet"/>
      </w:pPr>
      <w:r>
        <w:rPr>
          <w:b w:val="0"/>
          <w:i w:val="0"/>
        </w:rPr>
      </w:r>
      <w:r>
        <w:rPr>
          <w:b/>
          <w:i w:val="0"/>
        </w:rPr>
        <w:t>A property sold for PKR 12,000,000.</w:t>
      </w:r>
      <w:r>
        <w:rPr>
          <w:b w:val="0"/>
          <w:i w:val="0"/>
        </w:rPr>
        <w:t xml:space="preserve"> This falls in Slab 2. Commission is PKR 12,000,000 x 2.25% = PKR 270,000. With the admin fee the total is PKR 277,500.</w:t>
      </w:r>
    </w:p>
    <w:p>
      <w:pPr>
        <w:pStyle w:val="ListBullet"/>
      </w:pPr>
      <w:r>
        <w:rPr>
          <w:b w:val="0"/>
          <w:i w:val="0"/>
        </w:rPr>
      </w:r>
      <w:r>
        <w:rPr>
          <w:b/>
          <w:i w:val="0"/>
        </w:rPr>
        <w:t>A property sold for PKR 6,000,000.</w:t>
      </w:r>
      <w:r>
        <w:rPr>
          <w:b w:val="0"/>
          <w:i w:val="0"/>
        </w:rPr>
        <w:t xml:space="preserve"> At 2.5% the commission would be PKR 150,000, which is below the PKR 200,000 minimum, so PKR 200,000 applies.</w:t>
      </w:r>
    </w:p>
    <w:p>
      <w:pPr>
        <w:pStyle w:val="ListBullet"/>
      </w:pPr>
      <w:r>
        <w:rPr>
          <w:b w:val="0"/>
          <w:i w:val="0"/>
        </w:rPr>
      </w:r>
      <w:r>
        <w:rPr>
          <w:b/>
          <w:i w:val="0"/>
        </w:rPr>
        <w:t>A property sold for PKR 9,000,000.</w:t>
      </w:r>
      <w:r>
        <w:rPr>
          <w:b w:val="0"/>
          <w:i w:val="0"/>
        </w:rPr>
        <w:t xml:space="preserve"> At 2.5% the commission is PKR 225,000, which is above the minimum, so PKR 225,000 is charged.</w:t>
      </w:r>
    </w:p>
    <w:p>
      <w:pPr>
        <w:pStyle w:val="ListBullet"/>
      </w:pPr>
      <w:r>
        <w:rPr>
          <w:b w:val="0"/>
          <w:i w:val="0"/>
        </w:rPr>
      </w:r>
      <w:r>
        <w:rPr>
          <w:b/>
          <w:i w:val="0"/>
        </w:rPr>
        <w:t>A property sold for PKR 40,000,000.</w:t>
      </w:r>
      <w:r>
        <w:rPr>
          <w:b w:val="0"/>
          <w:i w:val="0"/>
        </w:rPr>
        <w:t xml:space="preserve"> This falls in Slab 3. Commission is PKR 40,000,000 x 2.0% = PKR 800,000.</w:t>
      </w:r>
    </w:p>
    <w:p>
      <w:pPr>
        <w:pStyle w:val="Heading2"/>
      </w:pPr>
      <w:r>
        <w:rPr>
          <w:b w:val="0"/>
          <w:i w:val="0"/>
        </w:rPr>
        <w:t>5. Rental (SVC-RENT)</w:t>
      </w:r>
    </w:p>
    <w:p>
      <w:pPr>
        <w:pStyle w:val="Heading3"/>
      </w:pPr>
      <w:r>
        <w:rPr>
          <w:b w:val="0"/>
          <w:i w:val="0"/>
        </w:rPr>
        <w:t>5.1 What the service includes</w:t>
      </w:r>
    </w:p>
    <w:p>
      <w:r>
        <w:rPr>
          <w:b w:val="0"/>
          <w:i w:val="0"/>
        </w:rPr>
        <w:t>The rental service matches landlords with tenants for homes and commercial space. The consultant advertises the let, shows the unit, checks that both sides understand the terms and prepares the tenancy paperwork. Rental enquiries go to rentals@himalayacrest.example or to the Rentals and Management line in Islamabad on +92 51 5550 1005.</w:t>
      </w:r>
    </w:p>
    <w:p>
      <w:pPr>
        <w:pStyle w:val="Heading3"/>
      </w:pPr>
      <w:r>
        <w:rPr>
          <w:b w:val="0"/>
          <w:i w:val="0"/>
        </w:rPr>
        <w:t>5.2 Rental commission</w:t>
      </w:r>
    </w:p>
    <w:p>
      <w:r>
        <w:rPr>
          <w:b w:val="0"/>
          <w:i w:val="0"/>
        </w:rPr>
        <w:t>The commission is shared equally between the two sides.</w:t>
      </w:r>
    </w:p>
    <w:p>
      <w:pPr>
        <w:pStyle w:val="ListBullet"/>
      </w:pPr>
      <w:r>
        <w:rPr>
          <w:b w:val="0"/>
          <w:i w:val="0"/>
        </w:rPr>
        <w:t>The landlord pays 50% of one month's rent.</w:t>
      </w:r>
    </w:p>
    <w:p>
      <w:pPr>
        <w:pStyle w:val="ListBullet"/>
      </w:pPr>
      <w:r>
        <w:rPr>
          <w:b w:val="0"/>
          <w:i w:val="0"/>
        </w:rPr>
        <w:t>The tenant pays 50% of one month's rent.</w:t>
      </w:r>
    </w:p>
    <w:p>
      <w:pPr>
        <w:pStyle w:val="ListBullet"/>
      </w:pPr>
      <w:r>
        <w:rPr>
          <w:b w:val="0"/>
          <w:i w:val="0"/>
        </w:rPr>
        <w:t>The minimum for each side is PKR 10,000.</w:t>
      </w:r>
    </w:p>
    <w:p>
      <w:r>
        <w:rPr>
          <w:b w:val="0"/>
          <w:i w:val="0"/>
        </w:rPr>
        <w:t>Together, the two sides therefore pay a total of one month's rent, unless the minimum applies.</w:t>
      </w:r>
    </w:p>
    <w:p>
      <w:pPr>
        <w:pStyle w:val="Heading3"/>
      </w:pPr>
      <w:r>
        <w:rPr>
          <w:b w:val="0"/>
          <w:i w:val="0"/>
        </w:rPr>
        <w:t>5.3 Worked rental examples</w:t>
      </w:r>
    </w:p>
    <w:p>
      <w:pPr>
        <w:pStyle w:val="ListBullet"/>
      </w:pPr>
      <w:r>
        <w:rPr>
          <w:b w:val="0"/>
          <w:i w:val="0"/>
        </w:rPr>
      </w:r>
      <w:r>
        <w:rPr>
          <w:b/>
          <w:i w:val="0"/>
        </w:rPr>
        <w:t>Monthly rent of PKR 80,000.</w:t>
      </w:r>
      <w:r>
        <w:rPr>
          <w:b w:val="0"/>
          <w:i w:val="0"/>
        </w:rPr>
        <w:t xml:space="preserve"> Each side pays 50% of PKR 80,000 = PKR 40,000.</w:t>
      </w:r>
    </w:p>
    <w:p>
      <w:pPr>
        <w:pStyle w:val="ListBullet"/>
      </w:pPr>
      <w:r>
        <w:rPr>
          <w:b w:val="0"/>
          <w:i w:val="0"/>
        </w:rPr>
      </w:r>
      <w:r>
        <w:rPr>
          <w:b/>
          <w:i w:val="0"/>
        </w:rPr>
        <w:t>Monthly rent of PKR 60,000.</w:t>
      </w:r>
      <w:r>
        <w:rPr>
          <w:b w:val="0"/>
          <w:i w:val="0"/>
        </w:rPr>
        <w:t xml:space="preserve"> Each side pays PKR 30,000.</w:t>
      </w:r>
    </w:p>
    <w:p>
      <w:pPr>
        <w:pStyle w:val="ListBullet"/>
      </w:pPr>
      <w:r>
        <w:rPr>
          <w:b w:val="0"/>
          <w:i w:val="0"/>
        </w:rPr>
      </w:r>
      <w:r>
        <w:rPr>
          <w:b/>
          <w:i w:val="0"/>
        </w:rPr>
        <w:t>Monthly rent of PKR 15,000.</w:t>
      </w:r>
      <w:r>
        <w:rPr>
          <w:b w:val="0"/>
          <w:i w:val="0"/>
        </w:rPr>
        <w:t xml:space="preserve"> Half of the rent is PKR 7,500, which is below the minimum, so each side pays PKR 10,000.</w:t>
      </w:r>
    </w:p>
    <w:p>
      <w:pPr>
        <w:pStyle w:val="ListBullet"/>
      </w:pPr>
      <w:r>
        <w:rPr>
          <w:b w:val="0"/>
          <w:i w:val="0"/>
        </w:rPr>
      </w:r>
      <w:r>
        <w:rPr>
          <w:b/>
          <w:i w:val="0"/>
        </w:rPr>
        <w:t>Monthly rent of PKR 20,000.</w:t>
      </w:r>
      <w:r>
        <w:rPr>
          <w:b w:val="0"/>
          <w:i w:val="0"/>
        </w:rPr>
        <w:t xml:space="preserve"> Half of the rent is exactly PKR 10,000, so each side pays PKR 10,000.</w:t>
      </w:r>
    </w:p>
    <w:p>
      <w:pPr>
        <w:pStyle w:val="Heading3"/>
      </w:pPr>
      <w:r>
        <w:rPr>
          <w:b w:val="0"/>
          <w:i w:val="0"/>
        </w:rPr>
        <w:t>5.4 Deposit and notice terms in brief</w:t>
      </w:r>
    </w:p>
    <w:p>
      <w:r>
        <w:rPr>
          <w:b w:val="0"/>
          <w:i w:val="0"/>
        </w:rPr>
        <w:t>The security deposit on a let is 2 months of rent. It is returned within 14 days after the unit is handed back. A tenant who wishes to leave must give 30 days notice, and a landlord who wishes to end a tenancy must give 60 days notice. Tenants are responsible for minor repairs of up to PKR 10,000 per item. These terms are set out in full in the Policies and Terms document.</w:t>
      </w:r>
    </w:p>
    <w:p>
      <w:pPr>
        <w:pStyle w:val="Heading2"/>
      </w:pPr>
      <w:r>
        <w:rPr>
          <w:b w:val="0"/>
          <w:i w:val="0"/>
        </w:rPr>
        <w:t>6. Property management (SVC-PM)</w:t>
      </w:r>
    </w:p>
    <w:p>
      <w:pPr>
        <w:pStyle w:val="Heading3"/>
      </w:pPr>
      <w:r>
        <w:rPr>
          <w:b w:val="0"/>
          <w:i w:val="0"/>
        </w:rPr>
        <w:t>6.1 What the service includes</w:t>
      </w:r>
    </w:p>
    <w:p>
      <w:r>
        <w:rPr>
          <w:b w:val="0"/>
          <w:i w:val="0"/>
        </w:rPr>
        <w:t>Property management is for owners who prefer not to deal with tenants day to day. The team collects the rent, coordinates upkeep and repairs with approved contractors, and sends the owner regular reports. The service was launched on 1 April 2021 and currently looks after 214 properties. The Property Management Lead is Mehwish Tanveer (mehwish.tanveer@himalayacrest.example, +92 51 5550 1016).</w:t>
      </w:r>
    </w:p>
    <w:p>
      <w:pPr>
        <w:pStyle w:val="Heading3"/>
      </w:pPr>
      <w:r>
        <w:rPr>
          <w:b w:val="0"/>
          <w:i w:val="0"/>
        </w:rPr>
        <w:t>6.2 Management fee</w:t>
      </w:r>
    </w:p>
    <w:p>
      <w:pPr>
        <w:pStyle w:val="ListBullet"/>
      </w:pPr>
      <w:r>
        <w:rPr>
          <w:b w:val="0"/>
          <w:i w:val="0"/>
        </w:rPr>
        <w:t>The management fee is 8% of the monthly rent collected.</w:t>
      </w:r>
    </w:p>
    <w:p>
      <w:pPr>
        <w:pStyle w:val="ListBullet"/>
      </w:pPr>
      <w:r>
        <w:rPr>
          <w:b w:val="0"/>
          <w:i w:val="0"/>
        </w:rPr>
        <w:t>The minimum fee is PKR 6,000 per month.</w:t>
      </w:r>
    </w:p>
    <w:p>
      <w:r>
        <w:rPr>
          <w:b w:val="0"/>
          <w:i w:val="0"/>
        </w:rPr>
        <w:t>The percentage and the minimum meet at a monthly rent of PKR 75,000, where 8% equals exactly PKR 6,000. Below that rent the minimum applies; above it, the percentage applies.</w:t>
      </w:r>
    </w:p>
    <w:p>
      <w:pPr>
        <w:pStyle w:val="Heading3"/>
      </w:pPr>
      <w:r>
        <w:rPr>
          <w:b w:val="0"/>
          <w:i w:val="0"/>
        </w:rPr>
        <w:t>6.3 Worked management examples</w:t>
      </w:r>
    </w:p>
    <w:p>
      <w:pPr>
        <w:pStyle w:val="ListBullet"/>
      </w:pPr>
      <w:r>
        <w:rPr>
          <w:b w:val="0"/>
          <w:i w:val="0"/>
        </w:rPr>
      </w:r>
      <w:r>
        <w:rPr>
          <w:b/>
          <w:i w:val="0"/>
        </w:rPr>
        <w:t>Rent of PKR 150,000 per month.</w:t>
      </w:r>
      <w:r>
        <w:rPr>
          <w:b w:val="0"/>
          <w:i w:val="0"/>
        </w:rPr>
        <w:t xml:space="preserve"> 8% = PKR 12,000 per month.</w:t>
      </w:r>
    </w:p>
    <w:p>
      <w:pPr>
        <w:pStyle w:val="ListBullet"/>
      </w:pPr>
      <w:r>
        <w:rPr>
          <w:b w:val="0"/>
          <w:i w:val="0"/>
        </w:rPr>
      </w:r>
      <w:r>
        <w:rPr>
          <w:b/>
          <w:i w:val="0"/>
        </w:rPr>
        <w:t>Rent of PKR 120,000 per month.</w:t>
      </w:r>
      <w:r>
        <w:rPr>
          <w:b w:val="0"/>
          <w:i w:val="0"/>
        </w:rPr>
        <w:t xml:space="preserve"> 8% = PKR 9,600 per month, or PKR 115,200 over twelve months of rent collected.</w:t>
      </w:r>
    </w:p>
    <w:p>
      <w:pPr>
        <w:pStyle w:val="ListBullet"/>
      </w:pPr>
      <w:r>
        <w:rPr>
          <w:b w:val="0"/>
          <w:i w:val="0"/>
        </w:rPr>
      </w:r>
      <w:r>
        <w:rPr>
          <w:b/>
          <w:i w:val="0"/>
        </w:rPr>
        <w:t>Rent of PKR 60,000 per month.</w:t>
      </w:r>
      <w:r>
        <w:rPr>
          <w:b w:val="0"/>
          <w:i w:val="0"/>
        </w:rPr>
        <w:t xml:space="preserve"> 8% would be PKR 4,800, which is below the minimum, so PKR 6,000 is charged.</w:t>
      </w:r>
    </w:p>
    <w:p>
      <w:pPr>
        <w:pStyle w:val="ListBullet"/>
      </w:pPr>
      <w:r>
        <w:rPr>
          <w:b w:val="0"/>
          <w:i w:val="0"/>
        </w:rPr>
      </w:r>
      <w:r>
        <w:rPr>
          <w:b/>
          <w:i w:val="0"/>
        </w:rPr>
        <w:t>Rent of PKR 75,000 per month.</w:t>
      </w:r>
      <w:r>
        <w:rPr>
          <w:b w:val="0"/>
          <w:i w:val="0"/>
        </w:rPr>
        <w:t xml:space="preserve"> 8% = PKR 6,000, the same as the minimum.</w:t>
      </w:r>
    </w:p>
    <w:p>
      <w:pPr>
        <w:pStyle w:val="Heading3"/>
      </w:pPr>
      <w:r>
        <w:rPr>
          <w:b w:val="0"/>
          <w:i w:val="0"/>
        </w:rPr>
        <w:t>6.4 Ending a management agreement</w:t>
      </w:r>
    </w:p>
    <w:p>
      <w:r>
        <w:rPr>
          <w:b w:val="0"/>
          <w:i w:val="0"/>
        </w:rPr>
        <w:t>Either side may end a management agreement by giving 45 days notice. Notice should be sent to rentals@himalayacrest.example.</w:t>
      </w:r>
    </w:p>
    <w:p>
      <w:pPr>
        <w:pStyle w:val="Heading2"/>
      </w:pPr>
      <w:r>
        <w:rPr>
          <w:b w:val="0"/>
          <w:i w:val="0"/>
        </w:rPr>
        <w:t>7. Valuation (SVC-VAL)</w:t>
      </w:r>
    </w:p>
    <w:p>
      <w:pPr>
        <w:pStyle w:val="Heading3"/>
      </w:pPr>
      <w:r>
        <w:rPr>
          <w:b w:val="0"/>
          <w:i w:val="0"/>
        </w:rPr>
        <w:t>7.1 What the service includes</w:t>
      </w:r>
    </w:p>
    <w:p>
      <w:r>
        <w:rPr>
          <w:b w:val="0"/>
          <w:i w:val="0"/>
        </w:rPr>
        <w:t>The valuation department produces written market valuation reports. It was established on 15 August 2020 and operates under valuation practice licence HCR-VAL-2020-0035. To date it has completed 2,410 valuations. Every report is signed by the Head of Valuation, Kamran Yousaf, and the department works separately from the sales teams so that a value is never influenced by a commission. Requests go to valuation@himalayacrest.example or to the Valuation line in Islamabad on +92 51 5550 1004.</w:t>
      </w:r>
    </w:p>
    <w:p>
      <w:pPr>
        <w:pStyle w:val="Heading3"/>
      </w:pPr>
      <w:r>
        <w:rPr>
          <w:b w:val="0"/>
          <w:i w:val="0"/>
        </w:rPr>
        <w:t>7.2 Valuation fee tiers</w:t>
      </w:r>
    </w:p>
    <w:p>
      <w:r>
        <w:rPr>
          <w:b w:val="0"/>
          <w:i w:val="0"/>
        </w:rPr>
        <w:t>The fee depends on the value of the property.</w:t>
      </w:r>
    </w:p>
    <w:tbl>
      <w:tblPr>
        <w:tblStyle w:val="TableGrid"/>
        <w:tblW w:type="auto" w:w="0"/>
        <w:tblLook w:firstColumn="1" w:firstRow="1" w:lastColumn="0" w:lastRow="0" w:noHBand="0" w:noVBand="1" w:val="04A0"/>
      </w:tblPr>
      <w:tblGrid>
        <w:gridCol w:w="4320"/>
        <w:gridCol w:w="4320"/>
      </w:tblGrid>
      <w:tr>
        <w:tc>
          <w:tcPr>
            <w:tcW w:type="dxa" w:w="4320"/>
          </w:tcPr>
          <w:p>
            <w:r>
              <w:rPr>
                <w:b/>
                <w:i w:val="0"/>
              </w:rPr>
              <w:t>Property value</w:t>
            </w:r>
          </w:p>
        </w:tc>
        <w:tc>
          <w:tcPr>
            <w:tcW w:type="dxa" w:w="4320"/>
          </w:tcPr>
          <w:p>
            <w:r>
              <w:rPr>
                <w:b/>
                <w:i w:val="0"/>
              </w:rPr>
              <w:t>Fee</w:t>
            </w:r>
          </w:p>
        </w:tc>
      </w:tr>
      <w:tr>
        <w:tc>
          <w:tcPr>
            <w:tcW w:type="dxa" w:w="4320"/>
          </w:tcPr>
          <w:p>
            <w:r>
              <w:rPr>
                <w:b w:val="0"/>
                <w:i w:val="0"/>
              </w:rPr>
              <w:t>Up to PKR 10,000,000</w:t>
            </w:r>
          </w:p>
        </w:tc>
        <w:tc>
          <w:tcPr>
            <w:tcW w:type="dxa" w:w="4320"/>
          </w:tcPr>
          <w:p>
            <w:r>
              <w:rPr>
                <w:b w:val="0"/>
                <w:i w:val="0"/>
              </w:rPr>
              <w:t>PKR 15,000</w:t>
            </w:r>
          </w:p>
        </w:tc>
      </w:tr>
      <w:tr>
        <w:tc>
          <w:tcPr>
            <w:tcW w:type="dxa" w:w="4320"/>
          </w:tcPr>
          <w:p>
            <w:r>
              <w:rPr>
                <w:b w:val="0"/>
                <w:i w:val="0"/>
              </w:rPr>
              <w:t>PKR 10,000,001 to PKR 25,000,000</w:t>
            </w:r>
          </w:p>
        </w:tc>
        <w:tc>
          <w:tcPr>
            <w:tcW w:type="dxa" w:w="4320"/>
          </w:tcPr>
          <w:p>
            <w:r>
              <w:rPr>
                <w:b w:val="0"/>
                <w:i w:val="0"/>
              </w:rPr>
              <w:t>PKR 25,000</w:t>
            </w:r>
          </w:p>
        </w:tc>
      </w:tr>
      <w:tr>
        <w:tc>
          <w:tcPr>
            <w:tcW w:type="dxa" w:w="4320"/>
          </w:tcPr>
          <w:p>
            <w:r>
              <w:rPr>
                <w:b w:val="0"/>
                <w:i w:val="0"/>
              </w:rPr>
              <w:t>Above PKR 25,000,000</w:t>
            </w:r>
          </w:p>
        </w:tc>
        <w:tc>
          <w:tcPr>
            <w:tcW w:type="dxa" w:w="4320"/>
          </w:tcPr>
          <w:p>
            <w:r>
              <w:rPr>
                <w:b w:val="0"/>
                <w:i w:val="0"/>
              </w:rPr>
              <w:t>PKR 40,000</w:t>
            </w:r>
          </w:p>
        </w:tc>
      </w:tr>
    </w:tbl>
    <w:p>
      <w:r>
        <w:rPr>
          <w:b w:val="0"/>
          <w:i w:val="0"/>
        </w:rPr>
        <w:t>Valuations of commercial property add PKR 10,000 to the tier fee.</w:t>
      </w:r>
    </w:p>
    <w:p>
      <w:pPr>
        <w:pStyle w:val="Heading3"/>
      </w:pPr>
      <w:r>
        <w:rPr>
          <w:b w:val="0"/>
          <w:i w:val="0"/>
        </w:rPr>
        <w:t>7.3 Worked valuation examples</w:t>
      </w:r>
    </w:p>
    <w:p>
      <w:pPr>
        <w:pStyle w:val="ListBullet"/>
      </w:pPr>
      <w:r>
        <w:rPr>
          <w:b w:val="0"/>
          <w:i w:val="0"/>
        </w:rPr>
      </w:r>
      <w:r>
        <w:rPr>
          <w:b/>
          <w:i w:val="0"/>
        </w:rPr>
        <w:t>A home valued at PKR 18,500,000.</w:t>
      </w:r>
      <w:r>
        <w:rPr>
          <w:b w:val="0"/>
          <w:i w:val="0"/>
        </w:rPr>
        <w:t xml:space="preserve"> The tier fee is PKR 25,000.</w:t>
      </w:r>
    </w:p>
    <w:p>
      <w:pPr>
        <w:pStyle w:val="ListBullet"/>
      </w:pPr>
      <w:r>
        <w:rPr>
          <w:b w:val="0"/>
          <w:i w:val="0"/>
        </w:rPr>
      </w:r>
      <w:r>
        <w:rPr>
          <w:b/>
          <w:i w:val="0"/>
        </w:rPr>
        <w:t>A home valued at PKR 8,400,000.</w:t>
      </w:r>
      <w:r>
        <w:rPr>
          <w:b w:val="0"/>
          <w:i w:val="0"/>
        </w:rPr>
        <w:t xml:space="preserve"> The tier fee is PKR 15,000.</w:t>
      </w:r>
    </w:p>
    <w:p>
      <w:pPr>
        <w:pStyle w:val="ListBullet"/>
      </w:pPr>
      <w:r>
        <w:rPr>
          <w:b w:val="0"/>
          <w:i w:val="0"/>
        </w:rPr>
      </w:r>
      <w:r>
        <w:rPr>
          <w:b/>
          <w:i w:val="0"/>
        </w:rPr>
        <w:t>A shop valued at PKR 16,000,000.</w:t>
      </w:r>
      <w:r>
        <w:rPr>
          <w:b w:val="0"/>
          <w:i w:val="0"/>
        </w:rPr>
        <w:t xml:space="preserve"> The tier fee is PKR 25,000, plus the PKR 10,000 commercial addition, so PKR 35,000.</w:t>
      </w:r>
    </w:p>
    <w:p>
      <w:pPr>
        <w:pStyle w:val="ListBullet"/>
      </w:pPr>
      <w:r>
        <w:rPr>
          <w:b w:val="0"/>
          <w:i w:val="0"/>
        </w:rPr>
      </w:r>
      <w:r>
        <w:rPr>
          <w:b/>
          <w:i w:val="0"/>
        </w:rPr>
        <w:t>An office floor valued at PKR 47,500,000.</w:t>
      </w:r>
      <w:r>
        <w:rPr>
          <w:b w:val="0"/>
          <w:i w:val="0"/>
        </w:rPr>
        <w:t xml:space="preserve"> The tier fee is PKR 40,000, plus PKR 10,000, so PKR 50,000.</w:t>
      </w:r>
    </w:p>
    <w:p>
      <w:pPr>
        <w:pStyle w:val="Heading2"/>
      </w:pPr>
      <w:r>
        <w:rPr>
          <w:b w:val="0"/>
          <w:i w:val="0"/>
        </w:rPr>
        <w:t>8. Documentation support (SVC-DOC)</w:t>
      </w:r>
    </w:p>
    <w:p>
      <w:pPr>
        <w:pStyle w:val="Heading3"/>
      </w:pPr>
      <w:r>
        <w:rPr>
          <w:b w:val="0"/>
          <w:i w:val="0"/>
        </w:rPr>
        <w:t>8.1 What the service includes</w:t>
      </w:r>
    </w:p>
    <w:p>
      <w:r>
        <w:rPr>
          <w:b w:val="0"/>
          <w:i w:val="0"/>
        </w:rPr>
        <w:t>Documentation support covers the preparation and checking of agreements and transfer papers. The team led by Ayesha Nawaz (ayesha.nawaz@himalayacrest.example, +92 51 5550 1013) prepares the iqrarnama between buyer and seller, checks the registry paperwork, confirms that the fard shows the correct owner, helps with the intiqal application and prepares a mukhtarnama where an owner appoints someone to act for them. The team will not forward a booking until the client has received the written payment schedule.</w:t>
      </w:r>
    </w:p>
    <w:p>
      <w:pPr>
        <w:pStyle w:val="Heading3"/>
      </w:pPr>
      <w:r>
        <w:rPr>
          <w:b w:val="0"/>
          <w:i w:val="0"/>
        </w:rPr>
        <w:t>8.2 Fee</w:t>
      </w:r>
    </w:p>
    <w:p>
      <w:r>
        <w:rPr>
          <w:b w:val="0"/>
          <w:i w:val="0"/>
        </w:rPr>
        <w:t>The documentation support fee is PKR 35,000 per transaction. It is charged once for a transaction, regardless of the number of papers prepared.</w:t>
      </w:r>
    </w:p>
    <w:p>
      <w:pPr>
        <w:pStyle w:val="Heading2"/>
      </w:pPr>
      <w:r>
        <w:rPr>
          <w:b w:val="0"/>
          <w:i w:val="0"/>
        </w:rPr>
        <w:t>9. Investment advisory (SVC-INV)</w:t>
      </w:r>
    </w:p>
    <w:p>
      <w:pPr>
        <w:pStyle w:val="Heading3"/>
      </w:pPr>
      <w:r>
        <w:rPr>
          <w:b w:val="0"/>
          <w:i w:val="0"/>
        </w:rPr>
        <w:t>9.1 What the service includes</w:t>
      </w:r>
    </w:p>
    <w:p>
      <w:r>
        <w:rPr>
          <w:b w:val="0"/>
          <w:i w:val="0"/>
        </w:rPr>
        <w:t>The investment advisory department was established on 2 January 2025 and is led from Lahore by Investment Advisor Rabia Chaudhry (rabia.chaudhry@himalayacrest.example, +92 42 5550 4011). Advisors meet clients to discuss goals, timelines and the mix of property types that might suit them. The service is offered as one-to-one consultations and as a written portfolio review.</w:t>
      </w:r>
    </w:p>
    <w:p>
      <w:pPr>
        <w:pStyle w:val="Heading3"/>
      </w:pPr>
      <w:r>
        <w:rPr>
          <w:b w:val="0"/>
          <w:i w:val="0"/>
        </w:rPr>
        <w:t>9.2 Fees</w:t>
      </w:r>
    </w:p>
    <w:tbl>
      <w:tblPr>
        <w:tblStyle w:val="TableGrid"/>
        <w:tblW w:type="auto" w:w="0"/>
        <w:tblLook w:firstColumn="1" w:firstRow="1" w:lastColumn="0" w:lastRow="0" w:noHBand="0" w:noVBand="1" w:val="04A0"/>
      </w:tblPr>
      <w:tblGrid>
        <w:gridCol w:w="4320"/>
        <w:gridCol w:w="4320"/>
      </w:tblGrid>
      <w:tr>
        <w:tc>
          <w:tcPr>
            <w:tcW w:type="dxa" w:w="4320"/>
          </w:tcPr>
          <w:p>
            <w:r>
              <w:rPr>
                <w:b/>
                <w:i w:val="0"/>
              </w:rPr>
              <w:t>Item</w:t>
            </w:r>
          </w:p>
        </w:tc>
        <w:tc>
          <w:tcPr>
            <w:tcW w:type="dxa" w:w="4320"/>
          </w:tcPr>
          <w:p>
            <w:r>
              <w:rPr>
                <w:b/>
                <w:i w:val="0"/>
              </w:rPr>
              <w:t>Fee</w:t>
            </w:r>
          </w:p>
        </w:tc>
      </w:tr>
      <w:tr>
        <w:tc>
          <w:tcPr>
            <w:tcW w:type="dxa" w:w="4320"/>
          </w:tcPr>
          <w:p>
            <w:r>
              <w:rPr>
                <w:b w:val="0"/>
                <w:i w:val="0"/>
              </w:rPr>
              <w:t>Consultation</w:t>
            </w:r>
          </w:p>
        </w:tc>
        <w:tc>
          <w:tcPr>
            <w:tcW w:type="dxa" w:w="4320"/>
          </w:tcPr>
          <w:p>
            <w:r>
              <w:rPr>
                <w:b w:val="0"/>
                <w:i w:val="0"/>
              </w:rPr>
              <w:t>PKR 20,000 per 60-minute session</w:t>
            </w:r>
          </w:p>
        </w:tc>
      </w:tr>
      <w:tr>
        <w:tc>
          <w:tcPr>
            <w:tcW w:type="dxa" w:w="4320"/>
          </w:tcPr>
          <w:p>
            <w:r>
              <w:rPr>
                <w:b w:val="0"/>
                <w:i w:val="0"/>
              </w:rPr>
              <w:t>Written portfolio review</w:t>
            </w:r>
          </w:p>
        </w:tc>
        <w:tc>
          <w:tcPr>
            <w:tcW w:type="dxa" w:w="4320"/>
          </w:tcPr>
          <w:p>
            <w:r>
              <w:rPr>
                <w:b w:val="0"/>
                <w:i w:val="0"/>
              </w:rPr>
              <w:t>PKR 60,000</w:t>
            </w:r>
          </w:p>
        </w:tc>
      </w:tr>
    </w:tbl>
    <w:p>
      <w:pPr>
        <w:pStyle w:val="Heading3"/>
      </w:pPr>
      <w:r>
        <w:rPr>
          <w:b w:val="0"/>
          <w:i w:val="0"/>
        </w:rPr>
        <w:t>9.3 Worked advisory example</w:t>
      </w:r>
    </w:p>
    <w:p>
      <w:r>
        <w:rPr>
          <w:b w:val="0"/>
          <w:i w:val="0"/>
        </w:rPr>
        <w:t>An investor who books two consultation sessions and one written portfolio review pays 2 x PKR 20,000 = PKR 40,000 for the sessions, plus PKR 60,000 for the review, so PKR 100,000 in total.</w:t>
      </w:r>
    </w:p>
    <w:p>
      <w:pPr>
        <w:pStyle w:val="Heading2"/>
      </w:pPr>
      <w:r>
        <w:rPr>
          <w:b w:val="0"/>
          <w:i w:val="0"/>
        </w:rPr>
        <w:t>10. Consolidated fee summary</w:t>
      </w:r>
    </w:p>
    <w:p>
      <w:r>
        <w:rPr>
          <w:b w:val="0"/>
          <w:i w:val="0"/>
        </w:rPr>
        <w:t>The table below brings together the fixed fees of every service.</w:t>
      </w:r>
    </w:p>
    <w:tbl>
      <w:tblPr>
        <w:tblStyle w:val="TableGrid"/>
        <w:tblW w:type="auto" w:w="0"/>
        <w:tblLook w:firstColumn="1" w:firstRow="1" w:lastColumn="0" w:lastRow="0" w:noHBand="0" w:noVBand="1" w:val="04A0"/>
      </w:tblPr>
      <w:tblGrid>
        <w:gridCol w:w="4320"/>
        <w:gridCol w:w="4320"/>
      </w:tblGrid>
      <w:tr>
        <w:tc>
          <w:tcPr>
            <w:tcW w:type="dxa" w:w="4320"/>
          </w:tcPr>
          <w:p>
            <w:r>
              <w:rPr>
                <w:b/>
                <w:i w:val="0"/>
              </w:rPr>
              <w:t>Item</w:t>
            </w:r>
          </w:p>
        </w:tc>
        <w:tc>
          <w:tcPr>
            <w:tcW w:type="dxa" w:w="4320"/>
          </w:tcPr>
          <w:p>
            <w:r>
              <w:rPr>
                <w:b/>
                <w:i w:val="0"/>
              </w:rPr>
              <w:t>Fee</w:t>
            </w:r>
          </w:p>
        </w:tc>
      </w:tr>
      <w:tr>
        <w:tc>
          <w:tcPr>
            <w:tcW w:type="dxa" w:w="4320"/>
          </w:tcPr>
          <w:p>
            <w:r>
              <w:rPr>
                <w:b w:val="0"/>
                <w:i w:val="0"/>
              </w:rPr>
              <w:t>Admin fee (buying and selling)</w:t>
            </w:r>
          </w:p>
        </w:tc>
        <w:tc>
          <w:tcPr>
            <w:tcW w:type="dxa" w:w="4320"/>
          </w:tcPr>
          <w:p>
            <w:r>
              <w:rPr>
                <w:b w:val="0"/>
                <w:i w:val="0"/>
              </w:rPr>
              <w:t>PKR 7,500 per transaction</w:t>
            </w:r>
          </w:p>
        </w:tc>
      </w:tr>
      <w:tr>
        <w:tc>
          <w:tcPr>
            <w:tcW w:type="dxa" w:w="4320"/>
          </w:tcPr>
          <w:p>
            <w:r>
              <w:rPr>
                <w:b w:val="0"/>
                <w:i w:val="0"/>
              </w:rPr>
              <w:t>Documentation support (SVC-DOC)</w:t>
            </w:r>
          </w:p>
        </w:tc>
        <w:tc>
          <w:tcPr>
            <w:tcW w:type="dxa" w:w="4320"/>
          </w:tcPr>
          <w:p>
            <w:r>
              <w:rPr>
                <w:b w:val="0"/>
                <w:i w:val="0"/>
              </w:rPr>
              <w:t>PKR 35,000 per transaction</w:t>
            </w:r>
          </w:p>
        </w:tc>
      </w:tr>
      <w:tr>
        <w:tc>
          <w:tcPr>
            <w:tcW w:type="dxa" w:w="4320"/>
          </w:tcPr>
          <w:p>
            <w:r>
              <w:rPr>
                <w:b w:val="0"/>
                <w:i w:val="0"/>
              </w:rPr>
              <w:t>Minimum buying commission</w:t>
            </w:r>
          </w:p>
        </w:tc>
        <w:tc>
          <w:tcPr>
            <w:tcW w:type="dxa" w:w="4320"/>
          </w:tcPr>
          <w:p>
            <w:r>
              <w:rPr>
                <w:b w:val="0"/>
                <w:i w:val="0"/>
              </w:rPr>
              <w:t>PKR 150,000</w:t>
            </w:r>
          </w:p>
        </w:tc>
      </w:tr>
      <w:tr>
        <w:tc>
          <w:tcPr>
            <w:tcW w:type="dxa" w:w="4320"/>
          </w:tcPr>
          <w:p>
            <w:r>
              <w:rPr>
                <w:b w:val="0"/>
                <w:i w:val="0"/>
              </w:rPr>
              <w:t>Minimum selling commission</w:t>
            </w:r>
          </w:p>
        </w:tc>
        <w:tc>
          <w:tcPr>
            <w:tcW w:type="dxa" w:w="4320"/>
          </w:tcPr>
          <w:p>
            <w:r>
              <w:rPr>
                <w:b w:val="0"/>
                <w:i w:val="0"/>
              </w:rPr>
              <w:t>PKR 200,000</w:t>
            </w:r>
          </w:p>
        </w:tc>
      </w:tr>
      <w:tr>
        <w:tc>
          <w:tcPr>
            <w:tcW w:type="dxa" w:w="4320"/>
          </w:tcPr>
          <w:p>
            <w:r>
              <w:rPr>
                <w:b w:val="0"/>
                <w:i w:val="0"/>
              </w:rPr>
              <w:t>Rental commission, each side</w:t>
            </w:r>
          </w:p>
        </w:tc>
        <w:tc>
          <w:tcPr>
            <w:tcW w:type="dxa" w:w="4320"/>
          </w:tcPr>
          <w:p>
            <w:r>
              <w:rPr>
                <w:b w:val="0"/>
                <w:i w:val="0"/>
              </w:rPr>
              <w:t>50% of one month's rent, minimum PKR 10,000</w:t>
            </w:r>
          </w:p>
        </w:tc>
      </w:tr>
      <w:tr>
        <w:tc>
          <w:tcPr>
            <w:tcW w:type="dxa" w:w="4320"/>
          </w:tcPr>
          <w:p>
            <w:r>
              <w:rPr>
                <w:b w:val="0"/>
                <w:i w:val="0"/>
              </w:rPr>
              <w:t>Property management fee (SVC-PM)</w:t>
            </w:r>
          </w:p>
        </w:tc>
        <w:tc>
          <w:tcPr>
            <w:tcW w:type="dxa" w:w="4320"/>
          </w:tcPr>
          <w:p>
            <w:r>
              <w:rPr>
                <w:b w:val="0"/>
                <w:i w:val="0"/>
              </w:rPr>
              <w:t>8% of monthly rent collected, minimum PKR 6,000 per month</w:t>
            </w:r>
          </w:p>
        </w:tc>
      </w:tr>
      <w:tr>
        <w:tc>
          <w:tcPr>
            <w:tcW w:type="dxa" w:w="4320"/>
          </w:tcPr>
          <w:p>
            <w:r>
              <w:rPr>
                <w:b w:val="0"/>
                <w:i w:val="0"/>
              </w:rPr>
              <w:t>Advisory consultation (SVC-INV)</w:t>
            </w:r>
          </w:p>
        </w:tc>
        <w:tc>
          <w:tcPr>
            <w:tcW w:type="dxa" w:w="4320"/>
          </w:tcPr>
          <w:p>
            <w:r>
              <w:rPr>
                <w:b w:val="0"/>
                <w:i w:val="0"/>
              </w:rPr>
              <w:t>PKR 20,000 per 60-minute session</w:t>
            </w:r>
          </w:p>
        </w:tc>
      </w:tr>
      <w:tr>
        <w:tc>
          <w:tcPr>
            <w:tcW w:type="dxa" w:w="4320"/>
          </w:tcPr>
          <w:p>
            <w:r>
              <w:rPr>
                <w:b w:val="0"/>
                <w:i w:val="0"/>
              </w:rPr>
              <w:t>Written portfolio review (SVC-INV)</w:t>
            </w:r>
          </w:p>
        </w:tc>
        <w:tc>
          <w:tcPr>
            <w:tcW w:type="dxa" w:w="4320"/>
          </w:tcPr>
          <w:p>
            <w:r>
              <w:rPr>
                <w:b w:val="0"/>
                <w:i w:val="0"/>
              </w:rPr>
              <w:t>PKR 60,000</w:t>
            </w:r>
          </w:p>
        </w:tc>
      </w:tr>
    </w:tbl>
    <w:p>
      <w:pPr>
        <w:pStyle w:val="Heading2"/>
      </w:pPr>
      <w:r>
        <w:rPr>
          <w:b w:val="0"/>
          <w:i w:val="0"/>
        </w:rPr>
        <w:t>11. Discounts</w:t>
      </w:r>
    </w:p>
    <w:p>
      <w:r>
        <w:rPr>
          <w:b w:val="0"/>
          <w:i w:val="0"/>
        </w:rPr>
        <w:t>HCR offers two discounts on its commission.</w:t>
      </w:r>
    </w:p>
    <w:p>
      <w:pPr>
        <w:pStyle w:val="Heading3"/>
      </w:pPr>
      <w:r>
        <w:rPr>
          <w:b w:val="0"/>
          <w:i w:val="0"/>
        </w:rPr>
        <w:t>11.1 Referral discount</w:t>
      </w:r>
    </w:p>
    <w:p>
      <w:r>
        <w:rPr>
          <w:b w:val="0"/>
          <w:i w:val="0"/>
        </w:rPr>
        <w:t>A client who is introduced to HCR by an existing client receives 10% off the company commission, up to a maximum discount of PKR 75,000.</w:t>
      </w:r>
    </w:p>
    <w:p>
      <w:pPr>
        <w:pStyle w:val="Heading3"/>
      </w:pPr>
      <w:r>
        <w:rPr>
          <w:b w:val="0"/>
          <w:i w:val="0"/>
        </w:rPr>
        <w:t>11.2 Early-bird discount</w:t>
      </w:r>
    </w:p>
    <w:p>
      <w:r>
        <w:rPr>
          <w:b w:val="0"/>
          <w:i w:val="0"/>
        </w:rPr>
        <w:t>A buyer who pays the booking token within 7 days of the first viewing receives 20% off the buying commission.</w:t>
      </w:r>
    </w:p>
    <w:p>
      <w:pPr>
        <w:pStyle w:val="Heading3"/>
      </w:pPr>
      <w:r>
        <w:rPr>
          <w:b w:val="0"/>
          <w:i w:val="0"/>
        </w:rPr>
        <w:t>11.3 Rules that apply to both</w:t>
      </w:r>
    </w:p>
    <w:p>
      <w:pPr>
        <w:pStyle w:val="ListBullet"/>
      </w:pPr>
      <w:r>
        <w:rPr>
          <w:b w:val="0"/>
          <w:i w:val="0"/>
        </w:rPr>
        <w:t>The referral discount and the early-bird discount cannot be combined. If a client qualifies for both, the larger discount applies.</w:t>
      </w:r>
    </w:p>
    <w:p>
      <w:pPr>
        <w:pStyle w:val="ListBullet"/>
      </w:pPr>
      <w:r>
        <w:rPr>
          <w:b w:val="0"/>
          <w:i w:val="0"/>
        </w:rPr>
        <w:t>Discounts do not apply to valuation, documentation, advisory or admin fees.</w:t>
      </w:r>
    </w:p>
    <w:p>
      <w:pPr>
        <w:pStyle w:val="Heading3"/>
      </w:pPr>
      <w:r>
        <w:rPr>
          <w:b w:val="0"/>
          <w:i w:val="0"/>
        </w:rPr>
        <w:t>11.4 Worked discount examples</w:t>
      </w:r>
    </w:p>
    <w:p>
      <w:pPr>
        <w:pStyle w:val="ListBullet"/>
      </w:pPr>
      <w:r>
        <w:rPr>
          <w:b w:val="0"/>
          <w:i w:val="0"/>
        </w:rPr>
      </w:r>
      <w:r>
        <w:rPr>
          <w:b/>
          <w:i w:val="0"/>
        </w:rPr>
        <w:t>Early-bird on HCR-RWP-0202 (Saffron Heights, Two-Bed Apartment).</w:t>
      </w:r>
      <w:r>
        <w:rPr>
          <w:b w:val="0"/>
          <w:i w:val="0"/>
        </w:rPr>
        <w:t xml:space="preserve"> Commission is PKR 14,750,000 x 1.75% = PKR 258,125. The discount is 20% of that, PKR 51,625, so the commission after discount is PKR 206,500.</w:t>
      </w:r>
    </w:p>
    <w:p>
      <w:pPr>
        <w:pStyle w:val="ListBullet"/>
      </w:pPr>
      <w:r>
        <w:rPr>
          <w:b w:val="0"/>
          <w:i w:val="0"/>
        </w:rPr>
      </w:r>
      <w:r>
        <w:rPr>
          <w:b/>
          <w:i w:val="0"/>
        </w:rPr>
        <w:t>Referral on HCR-ISB-0107 (Ridge House).</w:t>
      </w:r>
      <w:r>
        <w:rPr>
          <w:b w:val="0"/>
          <w:i w:val="0"/>
        </w:rPr>
        <w:t xml:space="preserve"> Commission is PKR 62,000,000 x 1.5% = PKR 930,000. Ten percent would be PKR 93,000, but the cap is PKR 75,000, so the discount is PKR 75,000 and the commission after discount is PKR 855,000.</w:t>
      </w:r>
    </w:p>
    <w:p>
      <w:pPr>
        <w:pStyle w:val="ListBullet"/>
      </w:pPr>
      <w:r>
        <w:rPr>
          <w:b w:val="0"/>
          <w:i w:val="0"/>
        </w:rPr>
      </w:r>
      <w:r>
        <w:rPr>
          <w:b/>
          <w:i w:val="0"/>
        </w:rPr>
        <w:t>Referral on HCR-ATD-0303 (Plot P-12).</w:t>
      </w:r>
      <w:r>
        <w:rPr>
          <w:b w:val="0"/>
          <w:i w:val="0"/>
        </w:rPr>
        <w:t xml:space="preserve"> Commission is PKR 190,000. Ten percent is PKR 19,000, which is below the cap, so the commission after discount is PKR 171,000.</w:t>
      </w:r>
    </w:p>
    <w:p>
      <w:pPr>
        <w:pStyle w:val="ListBullet"/>
      </w:pPr>
      <w:r>
        <w:rPr>
          <w:b w:val="0"/>
          <w:i w:val="0"/>
        </w:rPr>
      </w:r>
      <w:r>
        <w:rPr>
          <w:b/>
          <w:i w:val="0"/>
        </w:rPr>
        <w:t>A buyer who qualifies for both, on HCR-ISB-0101.</w:t>
      </w:r>
      <w:r>
        <w:rPr>
          <w:b w:val="0"/>
          <w:i w:val="0"/>
        </w:rPr>
        <w:t xml:space="preserve"> Commission is PKR 323,750. The early-bird discount is 20% = PKR 64,750 and the referral discount would be 10% = PKR 32,375. The larger discount, PKR 64,750, applies, so the commission after discount is PKR 259,000.</w:t>
      </w:r>
    </w:p>
    <w:p>
      <w:pPr>
        <w:pStyle w:val="Heading2"/>
      </w:pPr>
      <w:r>
        <w:rPr>
          <w:b w:val="0"/>
          <w:i w:val="0"/>
        </w:rPr>
        <w:t>12. Payment plans</w:t>
      </w:r>
    </w:p>
    <w:p>
      <w:r>
        <w:rPr>
          <w:b w:val="0"/>
          <w:i w:val="0"/>
        </w:rPr>
        <w:t>Properties sold by HCR are offered under one of four payment plans, coded PP-A to PP-D. The plan for each property is shown in the Property Listings document.</w:t>
      </w:r>
    </w:p>
    <w:p>
      <w:pPr>
        <w:pStyle w:val="Heading3"/>
      </w:pPr>
      <w:r>
        <w:rPr>
          <w:b w:val="0"/>
          <w:i w:val="0"/>
        </w:rPr>
        <w:t>12.1 Plan terms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Plan</w:t>
            </w:r>
          </w:p>
        </w:tc>
        <w:tc>
          <w:tcPr>
            <w:tcW w:type="dxa" w:w="1440"/>
          </w:tcPr>
          <w:p>
            <w:r>
              <w:rPr>
                <w:b/>
                <w:i w:val="0"/>
              </w:rPr>
              <w:t>Down payment</w:t>
            </w:r>
          </w:p>
        </w:tc>
        <w:tc>
          <w:tcPr>
            <w:tcW w:type="dxa" w:w="1440"/>
          </w:tcPr>
          <w:p>
            <w:r>
              <w:rPr>
                <w:b/>
                <w:i w:val="0"/>
              </w:rPr>
              <w:t>Instalments</w:t>
            </w:r>
          </w:p>
        </w:tc>
        <w:tc>
          <w:tcPr>
            <w:tcW w:type="dxa" w:w="1440"/>
          </w:tcPr>
          <w:p>
            <w:r>
              <w:rPr>
                <w:b/>
                <w:i w:val="0"/>
              </w:rPr>
              <w:t>Duration</w:t>
            </w:r>
          </w:p>
        </w:tc>
        <w:tc>
          <w:tcPr>
            <w:tcW w:type="dxa" w:w="1440"/>
          </w:tcPr>
          <w:p>
            <w:r>
              <w:rPr>
                <w:b/>
                <w:i w:val="0"/>
              </w:rPr>
              <w:t>Frequency</w:t>
            </w:r>
          </w:p>
        </w:tc>
        <w:tc>
          <w:tcPr>
            <w:tcW w:type="dxa" w:w="1440"/>
          </w:tcPr>
          <w:p>
            <w:r>
              <w:rPr>
                <w:b/>
                <w:i w:val="0"/>
              </w:rPr>
              <w:t>Surcharge</w:t>
            </w:r>
          </w:p>
        </w:tc>
      </w:tr>
      <w:tr>
        <w:tc>
          <w:tcPr>
            <w:tcW w:type="dxa" w:w="1440"/>
          </w:tcPr>
          <w:p>
            <w:r>
              <w:rPr>
                <w:b w:val="0"/>
                <w:i w:val="0"/>
              </w:rPr>
              <w:t>PP-A</w:t>
            </w:r>
          </w:p>
        </w:tc>
        <w:tc>
          <w:tcPr>
            <w:tcW w:type="dxa" w:w="1440"/>
          </w:tcPr>
          <w:p>
            <w:r>
              <w:rPr>
                <w:b w:val="0"/>
                <w:i w:val="0"/>
              </w:rPr>
              <w:t>40%</w:t>
            </w:r>
          </w:p>
        </w:tc>
        <w:tc>
          <w:tcPr>
            <w:tcW w:type="dxa" w:w="1440"/>
          </w:tcPr>
          <w:p>
            <w:r>
              <w:rPr>
                <w:b w:val="0"/>
                <w:i w:val="0"/>
              </w:rPr>
              <w:t>4</w:t>
            </w:r>
          </w:p>
        </w:tc>
        <w:tc>
          <w:tcPr>
            <w:tcW w:type="dxa" w:w="1440"/>
          </w:tcPr>
          <w:p>
            <w:r>
              <w:rPr>
                <w:b w:val="0"/>
                <w:i w:val="0"/>
              </w:rPr>
              <w:t>12 months</w:t>
            </w:r>
          </w:p>
        </w:tc>
        <w:tc>
          <w:tcPr>
            <w:tcW w:type="dxa" w:w="1440"/>
          </w:tcPr>
          <w:p>
            <w:r>
              <w:rPr>
                <w:b w:val="0"/>
                <w:i w:val="0"/>
              </w:rPr>
              <w:t>Quarterly</w:t>
            </w:r>
          </w:p>
        </w:tc>
        <w:tc>
          <w:tcPr>
            <w:tcW w:type="dxa" w:w="1440"/>
          </w:tcPr>
          <w:p>
            <w:r>
              <w:rPr>
                <w:b w:val="0"/>
                <w:i w:val="0"/>
              </w:rPr>
              <w:t>0%</w:t>
            </w:r>
          </w:p>
        </w:tc>
      </w:tr>
      <w:tr>
        <w:tc>
          <w:tcPr>
            <w:tcW w:type="dxa" w:w="1440"/>
          </w:tcPr>
          <w:p>
            <w:r>
              <w:rPr>
                <w:b w:val="0"/>
                <w:i w:val="0"/>
              </w:rPr>
              <w:t>PP-B</w:t>
            </w:r>
          </w:p>
        </w:tc>
        <w:tc>
          <w:tcPr>
            <w:tcW w:type="dxa" w:w="1440"/>
          </w:tcPr>
          <w:p>
            <w:r>
              <w:rPr>
                <w:b w:val="0"/>
                <w:i w:val="0"/>
              </w:rPr>
              <w:t>30%</w:t>
            </w:r>
          </w:p>
        </w:tc>
        <w:tc>
          <w:tcPr>
            <w:tcW w:type="dxa" w:w="1440"/>
          </w:tcPr>
          <w:p>
            <w:r>
              <w:rPr>
                <w:b w:val="0"/>
                <w:i w:val="0"/>
              </w:rPr>
              <w:t>8</w:t>
            </w:r>
          </w:p>
        </w:tc>
        <w:tc>
          <w:tcPr>
            <w:tcW w:type="dxa" w:w="1440"/>
          </w:tcPr>
          <w:p>
            <w:r>
              <w:rPr>
                <w:b w:val="0"/>
                <w:i w:val="0"/>
              </w:rPr>
              <w:t>24 months</w:t>
            </w:r>
          </w:p>
        </w:tc>
        <w:tc>
          <w:tcPr>
            <w:tcW w:type="dxa" w:w="1440"/>
          </w:tcPr>
          <w:p>
            <w:r>
              <w:rPr>
                <w:b w:val="0"/>
                <w:i w:val="0"/>
              </w:rPr>
              <w:t>Quarterly</w:t>
            </w:r>
          </w:p>
        </w:tc>
        <w:tc>
          <w:tcPr>
            <w:tcW w:type="dxa" w:w="1440"/>
          </w:tcPr>
          <w:p>
            <w:r>
              <w:rPr>
                <w:b w:val="0"/>
                <w:i w:val="0"/>
              </w:rPr>
              <w:t>4%</w:t>
            </w:r>
          </w:p>
        </w:tc>
      </w:tr>
      <w:tr>
        <w:tc>
          <w:tcPr>
            <w:tcW w:type="dxa" w:w="1440"/>
          </w:tcPr>
          <w:p>
            <w:r>
              <w:rPr>
                <w:b w:val="0"/>
                <w:i w:val="0"/>
              </w:rPr>
              <w:t>PP-C</w:t>
            </w:r>
          </w:p>
        </w:tc>
        <w:tc>
          <w:tcPr>
            <w:tcW w:type="dxa" w:w="1440"/>
          </w:tcPr>
          <w:p>
            <w:r>
              <w:rPr>
                <w:b w:val="0"/>
                <w:i w:val="0"/>
              </w:rPr>
              <w:t>20%</w:t>
            </w:r>
          </w:p>
        </w:tc>
        <w:tc>
          <w:tcPr>
            <w:tcW w:type="dxa" w:w="1440"/>
          </w:tcPr>
          <w:p>
            <w:r>
              <w:rPr>
                <w:b w:val="0"/>
                <w:i w:val="0"/>
              </w:rPr>
              <w:t>24</w:t>
            </w:r>
          </w:p>
        </w:tc>
        <w:tc>
          <w:tcPr>
            <w:tcW w:type="dxa" w:w="1440"/>
          </w:tcPr>
          <w:p>
            <w:r>
              <w:rPr>
                <w:b w:val="0"/>
                <w:i w:val="0"/>
              </w:rPr>
              <w:t>24 months</w:t>
            </w:r>
          </w:p>
        </w:tc>
        <w:tc>
          <w:tcPr>
            <w:tcW w:type="dxa" w:w="1440"/>
          </w:tcPr>
          <w:p>
            <w:r>
              <w:rPr>
                <w:b w:val="0"/>
                <w:i w:val="0"/>
              </w:rPr>
              <w:t>Monthly</w:t>
            </w:r>
          </w:p>
        </w:tc>
        <w:tc>
          <w:tcPr>
            <w:tcW w:type="dxa" w:w="1440"/>
          </w:tcPr>
          <w:p>
            <w:r>
              <w:rPr>
                <w:b w:val="0"/>
                <w:i w:val="0"/>
              </w:rPr>
              <w:t>6%</w:t>
            </w:r>
          </w:p>
        </w:tc>
      </w:tr>
      <w:tr>
        <w:tc>
          <w:tcPr>
            <w:tcW w:type="dxa" w:w="1440"/>
          </w:tcPr>
          <w:p>
            <w:r>
              <w:rPr>
                <w:b w:val="0"/>
                <w:i w:val="0"/>
              </w:rPr>
              <w:t>PP-D</w:t>
            </w:r>
          </w:p>
        </w:tc>
        <w:tc>
          <w:tcPr>
            <w:tcW w:type="dxa" w:w="1440"/>
          </w:tcPr>
          <w:p>
            <w:r>
              <w:rPr>
                <w:b w:val="0"/>
                <w:i w:val="0"/>
              </w:rPr>
              <w:t>25%</w:t>
            </w:r>
          </w:p>
        </w:tc>
        <w:tc>
          <w:tcPr>
            <w:tcW w:type="dxa" w:w="1440"/>
          </w:tcPr>
          <w:p>
            <w:r>
              <w:rPr>
                <w:b w:val="0"/>
                <w:i w:val="0"/>
              </w:rPr>
              <w:t>36</w:t>
            </w:r>
          </w:p>
        </w:tc>
        <w:tc>
          <w:tcPr>
            <w:tcW w:type="dxa" w:w="1440"/>
          </w:tcPr>
          <w:p>
            <w:r>
              <w:rPr>
                <w:b w:val="0"/>
                <w:i w:val="0"/>
              </w:rPr>
              <w:t>36 months</w:t>
            </w:r>
          </w:p>
        </w:tc>
        <w:tc>
          <w:tcPr>
            <w:tcW w:type="dxa" w:w="1440"/>
          </w:tcPr>
          <w:p>
            <w:r>
              <w:rPr>
                <w:b w:val="0"/>
                <w:i w:val="0"/>
              </w:rPr>
              <w:t>Monthly</w:t>
            </w:r>
          </w:p>
        </w:tc>
        <w:tc>
          <w:tcPr>
            <w:tcW w:type="dxa" w:w="1440"/>
          </w:tcPr>
          <w:p>
            <w:r>
              <w:rPr>
                <w:b w:val="0"/>
                <w:i w:val="0"/>
              </w:rPr>
              <w:t>9%</w:t>
            </w:r>
          </w:p>
        </w:tc>
      </w:tr>
    </w:tbl>
    <w:p>
      <w:pPr>
        <w:pStyle w:val="Heading3"/>
      </w:pPr>
      <w:r>
        <w:rPr>
          <w:b w:val="0"/>
          <w:i w:val="0"/>
        </w:rPr>
        <w:t>12.2 How the plans work</w:t>
      </w:r>
    </w:p>
    <w:p>
      <w:r>
        <w:rPr>
          <w:b w:val="0"/>
          <w:i w:val="0"/>
        </w:rPr>
        <w:t>The surcharge is a percentage of the property price and is added to the total payable. The down payment is a percentage of the price, not of the price plus surcharge. The booking token, which is 2% of the price, is counted toward the down payment, so the buyer pays the remaining part of the down payment after the token. The balance, which is the rest of the price plus the surcharge, is paid in the stated number of instalments.</w:t>
      </w:r>
    </w:p>
    <w:p>
      <w:r>
        <w:rPr>
          <w:b w:val="0"/>
          <w:i w:val="0"/>
        </w:rPr>
        <w:t>To see how much more a longer plan costs, consider a property priced at PKR 10,000,000: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Plan</w:t>
            </w:r>
          </w:p>
        </w:tc>
        <w:tc>
          <w:tcPr>
            <w:tcW w:type="dxa" w:w="2880"/>
          </w:tcPr>
          <w:p>
            <w:r>
              <w:rPr>
                <w:b/>
                <w:i w:val="0"/>
              </w:rPr>
              <w:t>Surcharge</w:t>
            </w:r>
          </w:p>
        </w:tc>
        <w:tc>
          <w:tcPr>
            <w:tcW w:type="dxa" w:w="2880"/>
          </w:tcPr>
          <w:p>
            <w:r>
              <w:rPr>
                <w:b/>
                <w:i w:val="0"/>
              </w:rPr>
              <w:t>Total payable</w:t>
            </w:r>
          </w:p>
        </w:tc>
      </w:tr>
      <w:tr>
        <w:tc>
          <w:tcPr>
            <w:tcW w:type="dxa" w:w="2880"/>
          </w:tcPr>
          <w:p>
            <w:r>
              <w:rPr>
                <w:b w:val="0"/>
                <w:i w:val="0"/>
              </w:rPr>
              <w:t>PP-A</w:t>
            </w:r>
          </w:p>
        </w:tc>
        <w:tc>
          <w:tcPr>
            <w:tcW w:type="dxa" w:w="2880"/>
          </w:tcPr>
          <w:p>
            <w:r>
              <w:rPr>
                <w:b w:val="0"/>
                <w:i w:val="0"/>
              </w:rPr>
              <w:t>PKR 0</w:t>
            </w:r>
          </w:p>
        </w:tc>
        <w:tc>
          <w:tcPr>
            <w:tcW w:type="dxa" w:w="2880"/>
          </w:tcPr>
          <w:p>
            <w:r>
              <w:rPr>
                <w:b w:val="0"/>
                <w:i w:val="0"/>
              </w:rPr>
              <w:t>PKR 10,000,000</w:t>
            </w:r>
          </w:p>
        </w:tc>
      </w:tr>
      <w:tr>
        <w:tc>
          <w:tcPr>
            <w:tcW w:type="dxa" w:w="2880"/>
          </w:tcPr>
          <w:p>
            <w:r>
              <w:rPr>
                <w:b w:val="0"/>
                <w:i w:val="0"/>
              </w:rPr>
              <w:t>PP-B</w:t>
            </w:r>
          </w:p>
        </w:tc>
        <w:tc>
          <w:tcPr>
            <w:tcW w:type="dxa" w:w="2880"/>
          </w:tcPr>
          <w:p>
            <w:r>
              <w:rPr>
                <w:b w:val="0"/>
                <w:i w:val="0"/>
              </w:rPr>
              <w:t>PKR 400,000</w:t>
            </w:r>
          </w:p>
        </w:tc>
        <w:tc>
          <w:tcPr>
            <w:tcW w:type="dxa" w:w="2880"/>
          </w:tcPr>
          <w:p>
            <w:r>
              <w:rPr>
                <w:b w:val="0"/>
                <w:i w:val="0"/>
              </w:rPr>
              <w:t>PKR 10,400,000</w:t>
            </w:r>
          </w:p>
        </w:tc>
      </w:tr>
      <w:tr>
        <w:tc>
          <w:tcPr>
            <w:tcW w:type="dxa" w:w="2880"/>
          </w:tcPr>
          <w:p>
            <w:r>
              <w:rPr>
                <w:b w:val="0"/>
                <w:i w:val="0"/>
              </w:rPr>
              <w:t>PP-C</w:t>
            </w:r>
          </w:p>
        </w:tc>
        <w:tc>
          <w:tcPr>
            <w:tcW w:type="dxa" w:w="2880"/>
          </w:tcPr>
          <w:p>
            <w:r>
              <w:rPr>
                <w:b w:val="0"/>
                <w:i w:val="0"/>
              </w:rPr>
              <w:t>PKR 600,000</w:t>
            </w:r>
          </w:p>
        </w:tc>
        <w:tc>
          <w:tcPr>
            <w:tcW w:type="dxa" w:w="2880"/>
          </w:tcPr>
          <w:p>
            <w:r>
              <w:rPr>
                <w:b w:val="0"/>
                <w:i w:val="0"/>
              </w:rPr>
              <w:t>PKR 10,600,000</w:t>
            </w:r>
          </w:p>
        </w:tc>
      </w:tr>
      <w:tr>
        <w:tc>
          <w:tcPr>
            <w:tcW w:type="dxa" w:w="2880"/>
          </w:tcPr>
          <w:p>
            <w:r>
              <w:rPr>
                <w:b w:val="0"/>
                <w:i w:val="0"/>
              </w:rPr>
              <w:t>PP-D</w:t>
            </w:r>
          </w:p>
        </w:tc>
        <w:tc>
          <w:tcPr>
            <w:tcW w:type="dxa" w:w="2880"/>
          </w:tcPr>
          <w:p>
            <w:r>
              <w:rPr>
                <w:b w:val="0"/>
                <w:i w:val="0"/>
              </w:rPr>
              <w:t>PKR 900,000</w:t>
            </w:r>
          </w:p>
        </w:tc>
        <w:tc>
          <w:tcPr>
            <w:tcW w:type="dxa" w:w="2880"/>
          </w:tcPr>
          <w:p>
            <w:r>
              <w:rPr>
                <w:b w:val="0"/>
                <w:i w:val="0"/>
              </w:rPr>
              <w:t>PKR 10,900,000</w:t>
            </w:r>
          </w:p>
        </w:tc>
      </w:tr>
    </w:tbl>
    <w:p>
      <w:pPr>
        <w:pStyle w:val="Heading3"/>
      </w:pPr>
      <w:r>
        <w:rPr>
          <w:b w:val="0"/>
          <w:i w:val="0"/>
        </w:rPr>
        <w:t>12.3 Worked plan examples</w:t>
      </w:r>
    </w:p>
    <w:p>
      <w:r>
        <w:rPr>
          <w:b w:val="0"/>
          <w:i w:val="0"/>
        </w:rPr>
      </w:r>
      <w:r>
        <w:rPr>
          <w:b/>
          <w:i w:val="0"/>
        </w:rPr>
        <w:t>PP-A: HCR-ISB-0108 (Hilltop Enclave, Plot H-21), price PKR 21,000,000.</w:t>
      </w:r>
      <w:r>
        <w:rPr>
          <w:b w:val="0"/>
          <w:i w:val="0"/>
        </w:rPr>
      </w:r>
    </w:p>
    <w:p>
      <w:pPr>
        <w:pStyle w:val="ListBullet"/>
      </w:pPr>
      <w:r>
        <w:rPr>
          <w:b w:val="0"/>
          <w:i w:val="0"/>
        </w:rPr>
        <w:t>Surcharge is 0%, so the total is PKR 21,000,000.</w:t>
      </w:r>
    </w:p>
    <w:p>
      <w:pPr>
        <w:pStyle w:val="ListBullet"/>
      </w:pPr>
      <w:r>
        <w:rPr>
          <w:b w:val="0"/>
          <w:i w:val="0"/>
        </w:rPr>
        <w:t>Down payment is 40% = PKR 8,400,000. The token of PKR 420,000 is included, so PKR 7,980,000 is further due.</w:t>
      </w:r>
    </w:p>
    <w:p>
      <w:pPr>
        <w:pStyle w:val="ListBullet"/>
      </w:pPr>
      <w:r>
        <w:rPr>
          <w:b w:val="0"/>
          <w:i w:val="0"/>
        </w:rPr>
        <w:t>The remaining 60% is PKR 12,600,000, paid over 4 quarterly instalments of PKR 3,150,000 each when divided equally.</w:t>
      </w:r>
    </w:p>
    <w:p>
      <w:r>
        <w:rPr>
          <w:b w:val="0"/>
          <w:i w:val="0"/>
        </w:rPr>
      </w:r>
      <w:r>
        <w:rPr>
          <w:b/>
          <w:i w:val="0"/>
        </w:rPr>
        <w:t>PP-B: HCR-ISB-0101 (Crest View Residency Block A, Two-Bed Apartment A), price PKR 18,500,000.</w:t>
      </w:r>
      <w:r>
        <w:rPr>
          <w:b w:val="0"/>
          <w:i w:val="0"/>
        </w:rPr>
      </w:r>
    </w:p>
    <w:p>
      <w:pPr>
        <w:pStyle w:val="ListBullet"/>
      </w:pPr>
      <w:r>
        <w:rPr>
          <w:b w:val="0"/>
          <w:i w:val="0"/>
        </w:rPr>
        <w:t>Surcharge is 4% = PKR 740,000, so the total payable is PKR 19,240,000.</w:t>
      </w:r>
    </w:p>
    <w:p>
      <w:pPr>
        <w:pStyle w:val="ListBullet"/>
      </w:pPr>
      <w:r>
        <w:rPr>
          <w:b w:val="0"/>
          <w:i w:val="0"/>
        </w:rPr>
        <w:t>Down payment is 30% of the price = PKR 5,550,000. The token of PKR 370,000 is included, so PKR 5,180,000 is further due.</w:t>
      </w:r>
    </w:p>
    <w:p>
      <w:pPr>
        <w:pStyle w:val="ListBullet"/>
      </w:pPr>
      <w:r>
        <w:rPr>
          <w:b w:val="0"/>
          <w:i w:val="0"/>
        </w:rPr>
        <w:t>The remaining 70% of the price plus the surcharge is PKR 12,950,000 + PKR 740,000 = PKR 13,690,000, paid over 8 quarterly instalments. Divided equally, each is PKR 1,711,250.</w:t>
      </w:r>
    </w:p>
    <w:p>
      <w:r>
        <w:rPr>
          <w:b w:val="0"/>
          <w:i w:val="0"/>
        </w:rPr>
      </w:r>
      <w:r>
        <w:rPr>
          <w:b/>
          <w:i w:val="0"/>
        </w:rPr>
        <w:t>PP-C: HCR-RWP-0201 (Saffron Heights, One-Bed Apartment), price PKR 8,400,000.</w:t>
      </w:r>
      <w:r>
        <w:rPr>
          <w:b w:val="0"/>
          <w:i w:val="0"/>
        </w:rPr>
      </w:r>
    </w:p>
    <w:p>
      <w:pPr>
        <w:pStyle w:val="ListBullet"/>
      </w:pPr>
      <w:r>
        <w:rPr>
          <w:b w:val="0"/>
          <w:i w:val="0"/>
        </w:rPr>
        <w:t>Surcharge is 6% = PKR 504,000, so the total payable is PKR 8,904,000.</w:t>
      </w:r>
    </w:p>
    <w:p>
      <w:pPr>
        <w:pStyle w:val="ListBullet"/>
      </w:pPr>
      <w:r>
        <w:rPr>
          <w:b w:val="0"/>
          <w:i w:val="0"/>
        </w:rPr>
        <w:t>Down payment is 20% = PKR 1,680,000. The token of PKR 168,000 is included, so PKR 1,512,000 is further due.</w:t>
      </w:r>
    </w:p>
    <w:p>
      <w:pPr>
        <w:pStyle w:val="ListBullet"/>
      </w:pPr>
      <w:r>
        <w:rPr>
          <w:b w:val="0"/>
          <w:i w:val="0"/>
        </w:rPr>
        <w:t>The remaining 80% of the price plus the surcharge is PKR 6,720,000 + PKR 504,000 = PKR 7,224,000, paid over 24 monthly instalments. Divided equally, each is PKR 301,000.</w:t>
      </w:r>
    </w:p>
    <w:p>
      <w:r>
        <w:rPr>
          <w:b w:val="0"/>
          <w:i w:val="0"/>
        </w:rPr>
      </w:r>
      <w:r>
        <w:rPr>
          <w:b/>
          <w:i w:val="0"/>
        </w:rPr>
        <w:t>PP-D: HCR-ATD-0302 (Pine Ridge Villas, Villa Type 2), price PKR 72,000,000 (used here as an illustration only, because the villa is currently reserved).</w:t>
      </w:r>
      <w:r>
        <w:rPr>
          <w:b w:val="0"/>
          <w:i w:val="0"/>
        </w:rPr>
      </w:r>
    </w:p>
    <w:p>
      <w:pPr>
        <w:pStyle w:val="ListBullet"/>
      </w:pPr>
      <w:r>
        <w:rPr>
          <w:b w:val="0"/>
          <w:i w:val="0"/>
        </w:rPr>
        <w:t>Surcharge is 9% = PKR 6,480,000, so the total payable is PKR 78,480,000.</w:t>
      </w:r>
    </w:p>
    <w:p>
      <w:pPr>
        <w:pStyle w:val="ListBullet"/>
      </w:pPr>
      <w:r>
        <w:rPr>
          <w:b w:val="0"/>
          <w:i w:val="0"/>
        </w:rPr>
        <w:t>Down payment is 25% = PKR 18,000,000. The token of PKR 1,440,000 is included, so PKR 16,560,000 is further due.</w:t>
      </w:r>
    </w:p>
    <w:p>
      <w:pPr>
        <w:pStyle w:val="ListBullet"/>
      </w:pPr>
      <w:r>
        <w:rPr>
          <w:b w:val="0"/>
          <w:i w:val="0"/>
        </w:rPr>
        <w:t>The remaining 75% of the price plus the surcharge is PKR 54,000,000 + PKR 6,480,000 = PKR 60,480,000, paid over 36 monthly instalments. Divided equally, each is PKR 1,680,000.</w:t>
      </w:r>
    </w:p>
    <w:p>
      <w:pPr>
        <w:pStyle w:val="Heading3"/>
      </w:pPr>
      <w:r>
        <w:rPr>
          <w:b w:val="0"/>
          <w:i w:val="0"/>
        </w:rPr>
        <w:t>12.4 Late payments</w:t>
      </w:r>
    </w:p>
    <w:p>
      <w:r>
        <w:rPr>
          <w:b w:val="0"/>
          <w:i w:val="0"/>
        </w:rPr>
        <w:t>An instalment that is not paid on its due date has a grace period of 10 days. After that a late-payment penalty of 0.1% of the overdue instalment is charged for each day, capped at 5% of that instalment. On an overdue instalment of PKR 1,000,000 the penalty is PKR 1,000 per day, and the cap of PKR 50,000 is reached on day 50 of the penalty. The full rules are in the Policies and Terms document.</w:t>
      </w:r>
    </w:p>
    <w:p>
      <w:pPr>
        <w:pStyle w:val="Heading2"/>
      </w:pPr>
      <w:r>
        <w:rPr>
          <w:b w:val="0"/>
          <w:i w:val="0"/>
        </w:rPr>
        <w:t>13. Putting the costs together</w:t>
      </w:r>
    </w:p>
    <w:p>
      <w:pPr>
        <w:pStyle w:val="Heading3"/>
      </w:pPr>
      <w:r>
        <w:rPr>
          <w:b w:val="0"/>
          <w:i w:val="0"/>
        </w:rPr>
        <w:t>13.1 A buyer's total company charges</w:t>
      </w:r>
    </w:p>
    <w:p>
      <w:r>
        <w:rPr>
          <w:b w:val="0"/>
          <w:i w:val="0"/>
        </w:rPr>
        <w:t>A client buys HCR-ISB-0101 for PKR 18,500,000 on plan PP-B and also orders documentation support.</w:t>
      </w:r>
    </w:p>
    <w:tbl>
      <w:tblPr>
        <w:tblStyle w:val="TableGrid"/>
        <w:tblW w:type="auto" w:w="0"/>
        <w:tblLook w:firstColumn="1" w:firstRow="1" w:lastColumn="0" w:lastRow="0" w:noHBand="0" w:noVBand="1" w:val="04A0"/>
      </w:tblPr>
      <w:tblGrid>
        <w:gridCol w:w="4320"/>
        <w:gridCol w:w="4320"/>
      </w:tblGrid>
      <w:tr>
        <w:tc>
          <w:tcPr>
            <w:tcW w:type="dxa" w:w="4320"/>
          </w:tcPr>
          <w:p>
            <w:r>
              <w:rPr>
                <w:b/>
                <w:i w:val="0"/>
              </w:rPr>
              <w:t>Item</w:t>
            </w:r>
          </w:p>
        </w:tc>
        <w:tc>
          <w:tcPr>
            <w:tcW w:type="dxa" w:w="4320"/>
          </w:tcPr>
          <w:p>
            <w:r>
              <w:rPr>
                <w:b/>
                <w:i w:val="0"/>
              </w:rPr>
              <w:t>Amount</w:t>
            </w:r>
          </w:p>
        </w:tc>
      </w:tr>
      <w:tr>
        <w:tc>
          <w:tcPr>
            <w:tcW w:type="dxa" w:w="4320"/>
          </w:tcPr>
          <w:p>
            <w:r>
              <w:rPr>
                <w:b w:val="0"/>
                <w:i w:val="0"/>
              </w:rPr>
              <w:t>Buying commission (1.75% of PKR 18,500,000)</w:t>
            </w:r>
          </w:p>
        </w:tc>
        <w:tc>
          <w:tcPr>
            <w:tcW w:type="dxa" w:w="4320"/>
          </w:tcPr>
          <w:p>
            <w:r>
              <w:rPr>
                <w:b w:val="0"/>
                <w:i w:val="0"/>
              </w:rPr>
              <w:t>PKR 323,750</w:t>
            </w:r>
          </w:p>
        </w:tc>
      </w:tr>
      <w:tr>
        <w:tc>
          <w:tcPr>
            <w:tcW w:type="dxa" w:w="4320"/>
          </w:tcPr>
          <w:p>
            <w:r>
              <w:rPr>
                <w:b w:val="0"/>
                <w:i w:val="0"/>
              </w:rPr>
              <w:t>Admin fee</w:t>
            </w:r>
          </w:p>
        </w:tc>
        <w:tc>
          <w:tcPr>
            <w:tcW w:type="dxa" w:w="4320"/>
          </w:tcPr>
          <w:p>
            <w:r>
              <w:rPr>
                <w:b w:val="0"/>
                <w:i w:val="0"/>
              </w:rPr>
              <w:t>PKR 7,500</w:t>
            </w:r>
          </w:p>
        </w:tc>
      </w:tr>
      <w:tr>
        <w:tc>
          <w:tcPr>
            <w:tcW w:type="dxa" w:w="4320"/>
          </w:tcPr>
          <w:p>
            <w:r>
              <w:rPr>
                <w:b w:val="0"/>
                <w:i w:val="0"/>
              </w:rPr>
              <w:t>Documentation support</w:t>
            </w:r>
          </w:p>
        </w:tc>
        <w:tc>
          <w:tcPr>
            <w:tcW w:type="dxa" w:w="4320"/>
          </w:tcPr>
          <w:p>
            <w:r>
              <w:rPr>
                <w:b w:val="0"/>
                <w:i w:val="0"/>
              </w:rPr>
              <w:t>PKR 35,000</w:t>
            </w:r>
          </w:p>
        </w:tc>
      </w:tr>
      <w:tr>
        <w:tc>
          <w:tcPr>
            <w:tcW w:type="dxa" w:w="4320"/>
          </w:tcPr>
          <w:p>
            <w:r>
              <w:rPr>
                <w:b w:val="0"/>
                <w:i w:val="0"/>
              </w:rPr>
              <w:t>Total company fees</w:t>
            </w:r>
          </w:p>
        </w:tc>
        <w:tc>
          <w:tcPr>
            <w:tcW w:type="dxa" w:w="4320"/>
          </w:tcPr>
          <w:p>
            <w:r>
              <w:rPr>
                <w:b w:val="0"/>
                <w:i w:val="0"/>
              </w:rPr>
              <w:t>PKR 366,250</w:t>
            </w:r>
          </w:p>
        </w:tc>
      </w:tr>
    </w:tbl>
    <w:p>
      <w:r>
        <w:rPr>
          <w:b w:val="0"/>
          <w:i w:val="0"/>
        </w:rPr>
        <w:t>The payment plan surcharge of PKR 740,000 is separate and forms part of the amount paid for the property, giving a property total of PKR 19,240,000.</w:t>
      </w:r>
    </w:p>
    <w:p>
      <w:r>
        <w:rPr>
          <w:b w:val="0"/>
          <w:i w:val="0"/>
        </w:rPr>
        <w:t>If the same client pays the token within 7 days of the first viewing, the early-bird discount reduces the commission to PKR 259,000, and the total company fees become PKR 259,000 + PKR 7,500 + PKR 35,000 = PKR 301,500. The saving is PKR 64,750.</w:t>
      </w:r>
    </w:p>
    <w:p>
      <w:pPr>
        <w:pStyle w:val="Heading3"/>
      </w:pPr>
      <w:r>
        <w:rPr>
          <w:b w:val="0"/>
          <w:i w:val="0"/>
        </w:rPr>
        <w:t>13.2 A seller's total company charges</w:t>
      </w:r>
    </w:p>
    <w:p>
      <w:r>
        <w:rPr>
          <w:b w:val="0"/>
          <w:i w:val="0"/>
        </w:rPr>
        <w:t>An owner sells a property for PKR 12,000,000 and uses documentation support.</w:t>
      </w:r>
    </w:p>
    <w:tbl>
      <w:tblPr>
        <w:tblStyle w:val="TableGrid"/>
        <w:tblW w:type="auto" w:w="0"/>
        <w:tblLook w:firstColumn="1" w:firstRow="1" w:lastColumn="0" w:lastRow="0" w:noHBand="0" w:noVBand="1" w:val="04A0"/>
      </w:tblPr>
      <w:tblGrid>
        <w:gridCol w:w="4320"/>
        <w:gridCol w:w="4320"/>
      </w:tblGrid>
      <w:tr>
        <w:tc>
          <w:tcPr>
            <w:tcW w:type="dxa" w:w="4320"/>
          </w:tcPr>
          <w:p>
            <w:r>
              <w:rPr>
                <w:b/>
                <w:i w:val="0"/>
              </w:rPr>
              <w:t>Item</w:t>
            </w:r>
          </w:p>
        </w:tc>
        <w:tc>
          <w:tcPr>
            <w:tcW w:type="dxa" w:w="4320"/>
          </w:tcPr>
          <w:p>
            <w:r>
              <w:rPr>
                <w:b/>
                <w:i w:val="0"/>
              </w:rPr>
              <w:t>Amount</w:t>
            </w:r>
          </w:p>
        </w:tc>
      </w:tr>
      <w:tr>
        <w:tc>
          <w:tcPr>
            <w:tcW w:type="dxa" w:w="4320"/>
          </w:tcPr>
          <w:p>
            <w:r>
              <w:rPr>
                <w:b w:val="0"/>
                <w:i w:val="0"/>
              </w:rPr>
              <w:t>Selling commission (2.25% of PKR 12,000,000)</w:t>
            </w:r>
          </w:p>
        </w:tc>
        <w:tc>
          <w:tcPr>
            <w:tcW w:type="dxa" w:w="4320"/>
          </w:tcPr>
          <w:p>
            <w:r>
              <w:rPr>
                <w:b w:val="0"/>
                <w:i w:val="0"/>
              </w:rPr>
              <w:t>PKR 270,000</w:t>
            </w:r>
          </w:p>
        </w:tc>
      </w:tr>
      <w:tr>
        <w:tc>
          <w:tcPr>
            <w:tcW w:type="dxa" w:w="4320"/>
          </w:tcPr>
          <w:p>
            <w:r>
              <w:rPr>
                <w:b w:val="0"/>
                <w:i w:val="0"/>
              </w:rPr>
              <w:t>Admin fee</w:t>
            </w:r>
          </w:p>
        </w:tc>
        <w:tc>
          <w:tcPr>
            <w:tcW w:type="dxa" w:w="4320"/>
          </w:tcPr>
          <w:p>
            <w:r>
              <w:rPr>
                <w:b w:val="0"/>
                <w:i w:val="0"/>
              </w:rPr>
              <w:t>PKR 7,500</w:t>
            </w:r>
          </w:p>
        </w:tc>
      </w:tr>
      <w:tr>
        <w:tc>
          <w:tcPr>
            <w:tcW w:type="dxa" w:w="4320"/>
          </w:tcPr>
          <w:p>
            <w:r>
              <w:rPr>
                <w:b w:val="0"/>
                <w:i w:val="0"/>
              </w:rPr>
              <w:t>Documentation support</w:t>
            </w:r>
          </w:p>
        </w:tc>
        <w:tc>
          <w:tcPr>
            <w:tcW w:type="dxa" w:w="4320"/>
          </w:tcPr>
          <w:p>
            <w:r>
              <w:rPr>
                <w:b w:val="0"/>
                <w:i w:val="0"/>
              </w:rPr>
              <w:t>PKR 35,000</w:t>
            </w:r>
          </w:p>
        </w:tc>
      </w:tr>
      <w:tr>
        <w:tc>
          <w:tcPr>
            <w:tcW w:type="dxa" w:w="4320"/>
          </w:tcPr>
          <w:p>
            <w:r>
              <w:rPr>
                <w:b w:val="0"/>
                <w:i w:val="0"/>
              </w:rPr>
              <w:t>Total company fees</w:t>
            </w:r>
          </w:p>
        </w:tc>
        <w:tc>
          <w:tcPr>
            <w:tcW w:type="dxa" w:w="4320"/>
          </w:tcPr>
          <w:p>
            <w:r>
              <w:rPr>
                <w:b w:val="0"/>
                <w:i w:val="0"/>
              </w:rPr>
              <w:t>PKR 312,500</w:t>
            </w:r>
          </w:p>
        </w:tc>
      </w:tr>
    </w:tbl>
    <w:p>
      <w:r>
        <w:rPr>
          <w:b w:val="0"/>
          <w:i w:val="0"/>
        </w:rPr>
        <w:t>An owner who first orders a valuation of the PKR 12,000,000 property would add the Slab 2 valuation fee of PKR 25,000.</w:t>
      </w:r>
    </w:p>
    <w:p>
      <w:pPr>
        <w:pStyle w:val="Heading3"/>
      </w:pPr>
      <w:r>
        <w:rPr>
          <w:b w:val="0"/>
          <w:i w:val="0"/>
        </w:rPr>
        <w:t>13.3 A landlord's yearly cost</w:t>
      </w:r>
    </w:p>
    <w:p>
      <w:r>
        <w:rPr>
          <w:b w:val="0"/>
          <w:i w:val="0"/>
        </w:rPr>
        <w:t>A landlord lets a flat at PKR 80,000 per month. The let commission is PKR 40,000, paid once. If the landlord also uses property management, the fee is 8% of PKR 80,000 = PKR 6,400 per month, which is above the PKR 6,000 minimum.</w:t>
      </w:r>
    </w:p>
    <w:p>
      <w:pPr>
        <w:pStyle w:val="Heading2"/>
      </w:pPr>
      <w:r>
        <w:rPr>
          <w:b w:val="0"/>
          <w:i w:val="0"/>
        </w:rPr>
        <w:t>14. What the fees do not include</w:t>
      </w:r>
    </w:p>
    <w:p>
      <w:pPr>
        <w:pStyle w:val="ListBullet"/>
      </w:pPr>
      <w:r>
        <w:rPr>
          <w:b w:val="0"/>
          <w:i w:val="0"/>
        </w:rPr>
      </w:r>
      <w:r>
        <w:rPr>
          <w:b/>
          <w:i w:val="0"/>
        </w:rPr>
        <w:t>Government charges.</w:t>
      </w:r>
      <w:r>
        <w:rPr>
          <w:b w:val="0"/>
          <w:i w:val="0"/>
        </w:rPr>
        <w:t xml:space="preserve"> Government charges connected with a sale, purchase, transfer or tenancy are payable by the client and are not included in company fees. No government rates are stated in any company document.</w:t>
      </w:r>
    </w:p>
    <w:p>
      <w:pPr>
        <w:pStyle w:val="ListBullet"/>
      </w:pPr>
      <w:r>
        <w:rPr>
          <w:b w:val="0"/>
          <w:i w:val="0"/>
        </w:rPr>
      </w:r>
      <w:r>
        <w:rPr>
          <w:b/>
          <w:i w:val="0"/>
        </w:rPr>
        <w:t>Fees of independent professionals.</w:t>
      </w:r>
      <w:r>
        <w:rPr>
          <w:b w:val="0"/>
          <w:i w:val="0"/>
        </w:rPr>
        <w:t xml:space="preserve"> If a client chooses to use an independent legal reviewer, surveyor, title checker or contractor, including those who work with HCR as partners, their fees are separate and are agreed directly with the client.</w:t>
      </w:r>
    </w:p>
    <w:p>
      <w:pPr>
        <w:pStyle w:val="ListBullet"/>
      </w:pPr>
      <w:r>
        <w:rPr>
          <w:b w:val="0"/>
          <w:i w:val="0"/>
        </w:rPr>
      </w:r>
      <w:r>
        <w:rPr>
          <w:b/>
          <w:i w:val="0"/>
        </w:rPr>
        <w:t>Discounts on excluded fees.</w:t>
      </w:r>
      <w:r>
        <w:rPr>
          <w:b w:val="0"/>
          <w:i w:val="0"/>
        </w:rPr>
        <w:t xml:space="preserve"> Valuation, documentation, advisory and admin fees are not reduced by the referral or early-bird discounts.</w:t>
      </w:r>
    </w:p>
    <w:p>
      <w:pPr>
        <w:pStyle w:val="ListBullet"/>
      </w:pPr>
      <w:r>
        <w:rPr>
          <w:b w:val="0"/>
          <w:i w:val="0"/>
        </w:rPr>
      </w:r>
      <w:r>
        <w:rPr>
          <w:b/>
          <w:i w:val="0"/>
        </w:rPr>
        <w:t>Booking token.</w:t>
      </w:r>
      <w:r>
        <w:rPr>
          <w:b w:val="0"/>
          <w:i w:val="0"/>
        </w:rPr>
        <w:t xml:space="preserve"> The token is part of the price paid for the property and is not a company fee. Its refund rules are in the Policies and Terms document.</w:t>
      </w:r>
    </w:p>
    <w:p>
      <w:pPr>
        <w:pStyle w:val="Heading2"/>
      </w:pPr>
      <w:r>
        <w:rPr>
          <w:b w:val="0"/>
          <w:i w:val="0"/>
        </w:rPr>
        <w:t>15. Fee revision history</w:t>
      </w:r>
    </w:p>
    <w:p>
      <w:r>
        <w:rPr>
          <w:b w:val="0"/>
          <w:i w:val="0"/>
        </w:rPr>
        <w:t>Fees are changed only with a published effective date. The table below lists earlier values that have been replaced. Values marked superseded are no longer in force and must not be used for current quotations.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Item</w:t>
            </w:r>
          </w:p>
        </w:tc>
        <w:tc>
          <w:tcPr>
            <w:tcW w:type="dxa" w:w="2160"/>
          </w:tcPr>
          <w:p>
            <w:r>
              <w:rPr>
                <w:b/>
                <w:i w:val="0"/>
              </w:rPr>
              <w:t>Superseded value</w:t>
            </w:r>
          </w:p>
        </w:tc>
        <w:tc>
          <w:tcPr>
            <w:tcW w:type="dxa" w:w="2160"/>
          </w:tcPr>
          <w:p>
            <w:r>
              <w:rPr>
                <w:b/>
                <w:i w:val="0"/>
              </w:rPr>
              <w:t>Old effective period</w:t>
            </w:r>
          </w:p>
        </w:tc>
        <w:tc>
          <w:tcPr>
            <w:tcW w:type="dxa" w:w="2160"/>
          </w:tcPr>
          <w:p>
            <w:r>
              <w:rPr>
                <w:b/>
                <w:i w:val="0"/>
              </w:rPr>
              <w:t>Status</w:t>
            </w:r>
          </w:p>
        </w:tc>
      </w:tr>
      <w:tr>
        <w:tc>
          <w:tcPr>
            <w:tcW w:type="dxa" w:w="2160"/>
          </w:tcPr>
          <w:p>
            <w:r>
              <w:rPr>
                <w:b w:val="0"/>
                <w:i w:val="0"/>
              </w:rPr>
              <w:t>Buying commission, Slab 1</w:t>
            </w:r>
          </w:p>
        </w:tc>
        <w:tc>
          <w:tcPr>
            <w:tcW w:type="dxa" w:w="2160"/>
          </w:tcPr>
          <w:p>
            <w:r>
              <w:rPr>
                <w:b w:val="0"/>
                <w:i w:val="0"/>
              </w:rPr>
              <w:t>2.5%</w:t>
            </w:r>
          </w:p>
        </w:tc>
        <w:tc>
          <w:tcPr>
            <w:tcW w:type="dxa" w:w="2160"/>
          </w:tcPr>
          <w:p>
            <w:r>
              <w:rPr>
                <w:b w:val="0"/>
                <w:i w:val="0"/>
              </w:rPr>
              <w:t>1 January 2023 to 28 February 2025</w:t>
            </w:r>
          </w:p>
        </w:tc>
        <w:tc>
          <w:tcPr>
            <w:tcW w:type="dxa" w:w="2160"/>
          </w:tcPr>
          <w:p>
            <w:r>
              <w:rPr>
                <w:b w:val="0"/>
                <w:i w:val="0"/>
              </w:rPr>
              <w:t>superseded</w:t>
            </w:r>
          </w:p>
        </w:tc>
      </w:tr>
      <w:tr>
        <w:tc>
          <w:tcPr>
            <w:tcW w:type="dxa" w:w="2160"/>
          </w:tcPr>
          <w:p>
            <w:r>
              <w:rPr>
                <w:b w:val="0"/>
                <w:i w:val="0"/>
              </w:rPr>
              <w:t>Valuation fee, up to PKR 10,000,000</w:t>
            </w:r>
          </w:p>
        </w:tc>
        <w:tc>
          <w:tcPr>
            <w:tcW w:type="dxa" w:w="2160"/>
          </w:tcPr>
          <w:p>
            <w:r>
              <w:rPr>
                <w:b w:val="0"/>
                <w:i w:val="0"/>
              </w:rPr>
              <w:t>PKR 12,000</w:t>
            </w:r>
          </w:p>
        </w:tc>
        <w:tc>
          <w:tcPr>
            <w:tcW w:type="dxa" w:w="2160"/>
          </w:tcPr>
          <w:p>
            <w:r>
              <w:rPr>
                <w:b w:val="0"/>
                <w:i w:val="0"/>
              </w:rPr>
              <w:t>1 January 2023 to 31 December 2024</w:t>
            </w:r>
          </w:p>
        </w:tc>
        <w:tc>
          <w:tcPr>
            <w:tcW w:type="dxa" w:w="2160"/>
          </w:tcPr>
          <w:p>
            <w:r>
              <w:rPr>
                <w:b w:val="0"/>
                <w:i w:val="0"/>
              </w:rPr>
              <w:t>superseded</w:t>
            </w:r>
          </w:p>
        </w:tc>
      </w:tr>
      <w:tr>
        <w:tc>
          <w:tcPr>
            <w:tcW w:type="dxa" w:w="2160"/>
          </w:tcPr>
          <w:p>
            <w:r>
              <w:rPr>
                <w:b w:val="0"/>
                <w:i w:val="0"/>
              </w:rPr>
              <w:t>Booking token</w:t>
            </w:r>
          </w:p>
        </w:tc>
        <w:tc>
          <w:tcPr>
            <w:tcW w:type="dxa" w:w="2160"/>
          </w:tcPr>
          <w:p>
            <w:r>
              <w:rPr>
                <w:b w:val="0"/>
                <w:i w:val="0"/>
              </w:rPr>
              <w:t>3% of price</w:t>
            </w:r>
          </w:p>
        </w:tc>
        <w:tc>
          <w:tcPr>
            <w:tcW w:type="dxa" w:w="2160"/>
          </w:tcPr>
          <w:p>
            <w:r>
              <w:rPr>
                <w:b w:val="0"/>
                <w:i w:val="0"/>
              </w:rPr>
              <w:t>1 March 2019 to 31 December 2023</w:t>
            </w:r>
          </w:p>
        </w:tc>
        <w:tc>
          <w:tcPr>
            <w:tcW w:type="dxa" w:w="2160"/>
          </w:tcPr>
          <w:p>
            <w:r>
              <w:rPr>
                <w:b w:val="0"/>
                <w:i w:val="0"/>
              </w:rPr>
              <w:t>superseded</w:t>
            </w:r>
          </w:p>
        </w:tc>
      </w:tr>
    </w:tbl>
    <w:p>
      <w:r>
        <w:rPr>
          <w:b w:val="0"/>
          <w:i w:val="0"/>
        </w:rPr>
        <w:t>The current values are those in the body of this document: 2.0% for Slab 1 buying commission from 1 March 2025, PKR 15,000 for the lowest valuation tier from 1 January 2025, and a booking token of 2% of the price from 1 January 2024.</w:t>
      </w:r>
    </w:p>
    <w:p>
      <w:pPr>
        <w:pStyle w:val="Heading2"/>
      </w:pPr>
      <w:r>
        <w:rPr>
          <w:b w:val="0"/>
          <w:i w:val="0"/>
        </w:rPr>
        <w:t>16. Additional Information</w:t>
      </w:r>
    </w:p>
    <w:p>
      <w:r>
        <w:rPr>
          <w:b w:val="0"/>
          <w:i w:val="0"/>
        </w:rPr>
        <w:t>Clients often ask whether the token is an extra cost on top of the price. It is not; the booking token of 2% of the price is counted toward the down payment. For HCR-ISB-0101 the token is PKR 370,000, which is 2% of PKR 18,500,000. In local usage the same money is called bayana.</w:t>
      </w:r>
    </w:p>
    <w:p>
      <w:r>
        <w:rPr>
          <w:b w:val="0"/>
          <w:i w:val="0"/>
        </w:rPr>
        <w:t>A cancellation of a booking must be requested in writing by email to bookings@himalayacrest.example. If a booking is cancelled within 7 days of the booking date, 90% of the token is refunded; from day 8 to day 30, 50% of the token is refunded; after day 30 the token is not refundable. A refund on the token of PKR 370,000 cancelled on day 5 is PKR 333,000, and on day 20 it is PKR 185,000.</w:t>
      </w:r>
    </w:p>
    <w:p>
      <w:r>
        <w:rPr>
          <w:b w:val="0"/>
          <w:i w:val="0"/>
        </w:rPr>
        <w:t>A property booking can be transferred to another person for a fee of 1% of the property price, with a minimum of PKR 50,000. For HCR-ATD-0303 the transfer fee is PKR 95,000. Transfers are not allowed within the first 30 days after booking and take 10 working days to process.</w:t>
      </w:r>
    </w:p>
    <w:p>
      <w:r>
        <w:rPr>
          <w:b w:val="0"/>
          <w:i w:val="0"/>
        </w:rPr>
        <w:t>Working days are Monday to Friday, and the word days on its own means calendar days.</w:t>
      </w:r>
    </w:p>
    <w:p>
      <w:r>
        <w:rPr>
          <w:b w:val="0"/>
          <w:i w:val="0"/>
        </w:rPr>
        <w:t>Fees are payable to the company only against a written receipt, called a rasid in local usage. Clients should keep every receipt for the 7-year period during which the company retains its records of a transaction.</w:t>
      </w:r>
    </w:p>
    <w:p>
      <w:pPr>
        <w:pStyle w:val="Heading2"/>
      </w:pPr>
      <w:r>
        <w:rPr>
          <w:b w:val="0"/>
          <w:i w:val="0"/>
        </w:rPr>
        <w:t>17. Who to contact about fees</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Topic</w:t>
            </w:r>
          </w:p>
        </w:tc>
        <w:tc>
          <w:tcPr>
            <w:tcW w:type="dxa" w:w="4320"/>
          </w:tcPr>
          <w:p>
            <w:r>
              <w:rPr>
                <w:b/>
                <w:i w:val="0"/>
              </w:rPr>
              <w:t>Contact</w:t>
            </w:r>
          </w:p>
        </w:tc>
      </w:tr>
      <w:tr>
        <w:tc>
          <w:tcPr>
            <w:tcW w:type="dxa" w:w="4320"/>
          </w:tcPr>
          <w:p>
            <w:r>
              <w:rPr>
                <w:b w:val="0"/>
                <w:i w:val="0"/>
              </w:rPr>
              <w:t>General fee questions</w:t>
            </w:r>
          </w:p>
        </w:tc>
        <w:tc>
          <w:tcPr>
            <w:tcW w:type="dxa" w:w="4320"/>
          </w:tcPr>
          <w:p>
            <w:r>
              <w:rPr>
                <w:b w:val="0"/>
                <w:i w:val="0"/>
              </w:rPr>
              <w:t>info@himalayacrest.example or +92 51 5550 1001</w:t>
            </w:r>
          </w:p>
        </w:tc>
      </w:tr>
      <w:tr>
        <w:tc>
          <w:tcPr>
            <w:tcW w:type="dxa" w:w="4320"/>
          </w:tcPr>
          <w:p>
            <w:r>
              <w:rPr>
                <w:b w:val="0"/>
                <w:i w:val="0"/>
              </w:rPr>
              <w:t>Receipts and refunds</w:t>
            </w:r>
          </w:p>
        </w:tc>
        <w:tc>
          <w:tcPr>
            <w:tcW w:type="dxa" w:w="4320"/>
          </w:tcPr>
          <w:p>
            <w:r>
              <w:rPr>
                <w:b w:val="0"/>
                <w:i w:val="0"/>
              </w:rPr>
              <w:t>Usman Gillani, usman.gillani@himalayacrest.example, +92 51 5550 1017</w:t>
            </w:r>
          </w:p>
        </w:tc>
      </w:tr>
      <w:tr>
        <w:tc>
          <w:tcPr>
            <w:tcW w:type="dxa" w:w="4320"/>
          </w:tcPr>
          <w:p>
            <w:r>
              <w:rPr>
                <w:b w:val="0"/>
                <w:i w:val="0"/>
              </w:rPr>
              <w:t>Bookings, cancellations, transfers</w:t>
            </w:r>
          </w:p>
        </w:tc>
        <w:tc>
          <w:tcPr>
            <w:tcW w:type="dxa" w:w="4320"/>
          </w:tcPr>
          <w:p>
            <w:r>
              <w:rPr>
                <w:b w:val="0"/>
                <w:i w:val="0"/>
              </w:rPr>
              <w:t>bookings@himalayacrest.example</w:t>
            </w:r>
          </w:p>
        </w:tc>
      </w:tr>
      <w:tr>
        <w:tc>
          <w:tcPr>
            <w:tcW w:type="dxa" w:w="4320"/>
          </w:tcPr>
          <w:p>
            <w:r>
              <w:rPr>
                <w:b w:val="0"/>
                <w:i w:val="0"/>
              </w:rPr>
              <w:t>Rentals and management</w:t>
            </w:r>
          </w:p>
        </w:tc>
        <w:tc>
          <w:tcPr>
            <w:tcW w:type="dxa" w:w="4320"/>
          </w:tcPr>
          <w:p>
            <w:r>
              <w:rPr>
                <w:b w:val="0"/>
                <w:i w:val="0"/>
              </w:rPr>
              <w:t>rentals@himalayacrest.example or +92 51 5550 1005</w:t>
            </w:r>
          </w:p>
        </w:tc>
      </w:tr>
      <w:tr>
        <w:tc>
          <w:tcPr>
            <w:tcW w:type="dxa" w:w="4320"/>
          </w:tcPr>
          <w:p>
            <w:r>
              <w:rPr>
                <w:b w:val="0"/>
                <w:i w:val="0"/>
              </w:rPr>
              <w:t>Valuation</w:t>
            </w:r>
          </w:p>
        </w:tc>
        <w:tc>
          <w:tcPr>
            <w:tcW w:type="dxa" w:w="4320"/>
          </w:tcPr>
          <w:p>
            <w:r>
              <w:rPr>
                <w:b w:val="0"/>
                <w:i w:val="0"/>
              </w:rPr>
              <w:t>valuation@himalayacrest.example or +92 51 5550 1004</w:t>
            </w:r>
          </w:p>
        </w:tc>
      </w:tr>
      <w:tr>
        <w:tc>
          <w:tcPr>
            <w:tcW w:type="dxa" w:w="4320"/>
          </w:tcPr>
          <w:p>
            <w:r>
              <w:rPr>
                <w:b w:val="0"/>
                <w:i w:val="0"/>
              </w:rPr>
              <w:t>Client Services Centre</w:t>
            </w:r>
          </w:p>
        </w:tc>
        <w:tc>
          <w:tcPr>
            <w:tcW w:type="dxa" w:w="4320"/>
          </w:tcPr>
          <w:p>
            <w:r>
              <w:rPr>
                <w:b w:val="0"/>
                <w:i w:val="0"/>
              </w:rPr>
              <w:t>+92 51 5550 1002</w:t>
            </w:r>
          </w:p>
        </w:tc>
      </w:tr>
      <w:tr>
        <w:tc>
          <w:tcPr>
            <w:tcW w:type="dxa" w:w="4320"/>
          </w:tcPr>
          <w:p>
            <w:r>
              <w:rPr>
                <w:b w:val="0"/>
                <w:i w:val="0"/>
              </w:rPr>
              <w:t>Complaints about a charge</w:t>
            </w:r>
          </w:p>
        </w:tc>
        <w:tc>
          <w:tcPr>
            <w:tcW w:type="dxa" w:w="4320"/>
          </w:tcPr>
          <w:p>
            <w:r>
              <w:rPr>
                <w:b w:val="0"/>
                <w:i w:val="0"/>
              </w:rPr>
              <w:t>complaints@himalayacrest.example or +92 51 5550 1003</w:t>
            </w:r>
          </w:p>
        </w:tc>
      </w:tr>
    </w:tbl>
    <w:p>
      <w:r>
        <w:rPr>
          <w:b w:val="0"/>
          <w:i w:val="0"/>
        </w:rPr>
        <w:t>The Finance and Accounts Manager, Usman Gillani, owns the fee schedule and records every change in the revision history so that clients can see what changed and when.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and Fees</dc:title>
  <dc:subject/>
  <dc:creator>Himalaya Crest Realty (Pvt.) Ltd.</dc:creator>
  <cp:keywords/>
  <dc:description>generated by python-docx</dc:description>
  <cp:lastModifiedBy/>
  <cp:revision>1</cp:revision>
  <dcterms:created xsi:type="dcterms:W3CDTF">2000-01-01T00:00:00Z</dcterms:created>
  <dcterms:modified xsi:type="dcterms:W3CDTF">2000-01-01T00:00:00Z</dcterms:modified>
  <cp:category/>
</cp:coreProperties>
</file>