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sz w:val="32"/>
        </w:rPr>
        <w:t>Runner SBI vs Proposed / ACT T-SBI</w:t>
      </w:r>
    </w:p>
    <w:tbl>
      <w:tblPr>
        <w:tblW w:w="0" w:type="auto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2400"/>
        <w:gridCol w:w="4200"/>
        <w:gridCol w:w="4200"/>
      </w:tblGrid>
      <w:tr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fill="E5E7EB"/>
          </w:tcPr>
          <w:p>
            <w:r>
              <w:rPr>
                <w:b/>
              </w:rPr>
              <w:t xml:space="preserve">Area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fill="E5E7EB"/>
          </w:tcPr>
          <w:p>
            <w:r>
              <w:rPr>
                <w:b/>
              </w:rPr>
              <w:t xml:space="preserve">Current Runner SBI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fill="E5E7EB"/>
          </w:tcPr>
          <w:p>
            <w:r>
              <w:rPr>
                <w:b/>
              </w:rPr>
              <w:t xml:space="preserve">Proposed / ACT T-SBI</w:t>
            </w:r>
          </w:p>
        </w:tc>
      </w:tr>
      <w:tr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Purpose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Lightweight private bridge for this runner's ACT S/U execution path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Standard lightweight test SBI for ACT certification across conforming or custom M-mode</w:t>
            </w:r>
          </w:p>
        </w:tc>
      </w:tr>
      <w:tr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Full OpenSBI?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No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No</w:t>
            </w:r>
          </w:p>
        </w:tc>
      </w:tr>
      <w:tr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ABI compatibility with ratified SBI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Separate private ABI plus limited ratified SBI handling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Test-focused ABI; should coexist carefully with ratified SBI if both are present</w:t>
            </w:r>
          </w:p>
        </w:tc>
      </w:tr>
      <w:tr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Main dispatch register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a7 selects private extension, a0 selects operation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a0 selects operation directly</w:t>
            </w:r>
          </w:p>
        </w:tc>
      </w:tr>
      <w:tr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Extension ID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a7 = RUNNER_TEST_SBI_EXT = 0x56524632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No private a7 extension in the original T-SBI table</w:t>
            </w:r>
          </w:p>
        </w:tc>
      </w:tr>
      <w:tr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Function ID register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Not using ratified a6 for private bridge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Not using a6 in original lightweight ABI</w:t>
            </w:r>
          </w:p>
        </w:tc>
      </w:tr>
      <w:tr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Basic call shape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a7 = ext, a0 = op, a1/a2 = args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a0 = op, a1 = optional arg, return in a0</w:t>
            </w:r>
          </w:p>
        </w:tc>
      </w:tr>
      <w:tr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ECALL test op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RUNNER_TEST_OP_ECALL_TEST = 0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ECALL_TEST = 0x00000073 in Table 6, or 0 in later system-call text</w:t>
            </w:r>
          </w:p>
        </w:tc>
      </w:tr>
      <w:tr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CSR access op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RUNNER_TEST_OP_ACCESS_CSR = 5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Either encoded CSR instruction directly in a0 per Table 6, or a0 = 5 and a1 = opcode per later system-call text</w:t>
            </w:r>
          </w:p>
        </w:tc>
      </w:tr>
      <w:tr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CSR value argument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Uses a2 for source value when forwarding CSR access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Original Table 6 uses a1 as source value</w:t>
            </w:r>
          </w:p>
        </w:tc>
      </w:tr>
      <w:tr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CSR read result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Writes result through SBI result convention or back into saved lower trap frame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Returns result in a0, or modifies target GPR depending on handler model</w:t>
            </w:r>
          </w:p>
        </w:tc>
      </w:tr>
      <w:tr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Unknown op behavior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Often returns -2 / not supported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Returns -1 for reserved or invalid operation</w:t>
            </w:r>
          </w:p>
        </w:tc>
      </w:tr>
      <w:tr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Mode switch calls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Private GOTO_M_MODE = 1 and GOTO_S_MODE = 2, but currently return not-supported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ACT calls include GOTO_MMODE, GOTO_SMODE, GOTO_UMODE, and possibly VS/VU modes</w:t>
            </w:r>
          </w:p>
        </w:tc>
      </w:tr>
      <w:tr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Lower-mode return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Uses private RETURN_TO_M = 0x8000000000000000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Not part of original T-SBI table; framework may use mode/trap return conventions</w:t>
            </w:r>
          </w:p>
        </w:tc>
      </w:tr>
      <w:tr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S-mode forwarding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S trap handler rewrites frame into private runner ABI and executes ecall to M-mode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S trap handler should handle what it can and forward unchanged T-SBI request upward</w:t>
            </w:r>
          </w:p>
        </w:tc>
      </w:tr>
      <w:tr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Illegal M-CSR access from S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Optional compatibility path converts illegal CSR trap into private ACCESS_CSR bridge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Expected behavior is to route/emulate illegal or explicit M-CSR access through T-SBI</w:t>
            </w:r>
          </w:p>
        </w:tc>
      </w:tr>
      <w:tr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CSR decoding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Decodes general CSR instruction format and can emulate reads/writes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Should validate exact T-SBI CSR forms depending on chosen ABI</w:t>
            </w:r>
          </w:p>
        </w:tc>
      </w:tr>
      <w:tr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CSR support scope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Limited set; compatibility-safe set is narrower for S-mode CSR policy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Must cover writable M-mode CSRs that affect lower modes: mstatus, medeleg/mideleg, mie/mip, mtvec, PMP, counters, misa, menvcfg, mseccfg, etc.</w:t>
            </w:r>
          </w:p>
        </w:tc>
      </w:tr>
      <w:tr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Ratified SBI services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Has limited support for base, timer, IPI, RFNC, legacy console/shutdown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T-SBI is separate from full OpenSBI, but system may still need ratified SBI coexistence</w:t>
            </w:r>
          </w:p>
        </w:tc>
      </w:tr>
      <w:tr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Custom M-mode support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Partial: can execute/emulate selected standard machine CSRs in M-mode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Core goal: M-mode handler may translate/emulate standard test requests onto DUT-specific custom M-mode resources</w:t>
            </w:r>
          </w:p>
        </w:tc>
      </w:tr>
      <w:tr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Test body portability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Helps isolate ACT lower-mode execution, but private ABI is runner-specific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Designed so portable ACT test body avoids direct dependency on conforming M-mode</w:t>
            </w:r>
          </w:p>
        </w:tc>
      </w:tr>
      <w:tr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Current status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Working private runner bridge, conceptually similar to T-SBI</w:t>
            </w:r>
          </w:p>
        </w:tc>
        <w:tc>
          <w:tcPr>
            <w:tcW w:w="31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</w:tcPr>
          <w:p>
            <w:r>
              <w:t xml:space="preserve">Target architecture/ABI for certification with conforming or custom M-mode</w:t>
            </w:r>
          </w:p>
        </w:tc>
      </w:tr>
    </w:tbl>
    <w:sectPr>
      <w:pgSz w:w="15840" w:h="12240" w:orient="landscape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Title">
    <w:name w:val="Title"/>
    <w:rPr>
      <w:rFonts w:ascii="Arial" w:hAnsi="Arial"/>
      <w:b/>
      <w:sz w:val="32"/>
    </w:rPr>
  </w:style>
</w:styles>
</file>

<file path=word/_rels/document.xml.rels><?xml version="1.0" encoding="UTF-8" standalone="yes"?>
<Relationships xmlns="http://schemas.openxmlformats.org/package/2006/relationships"/>

</file>