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Garantie- und Servicebedingungen</w:t>
      </w:r>
    </w:p>
    <w:p>
      <w:r>
        <w:t>Für alle Möbel der Rotpunkt Kitchen Line gewähren wir zusätzlich zur gesetzlichen Gewährleistung eine freiwillige Herstellergarantie. Diese Bedingungen gelten für Küchen, die ab dem 1. Januar 2026 gekauft wurden.</w:t>
      </w:r>
    </w:p>
    <w:p>
      <w:pPr>
        <w:pStyle w:val="Heading2"/>
      </w:pPr>
      <w:r>
        <w:t>1. Umfang der Garantie</w:t>
      </w:r>
    </w:p>
    <w:p>
      <w:r>
        <w:t>Die Garantie umfasst Material- und Verarbeitungsfehler, die bei bestimmungsgemäßem Gebrauch im privaten Haushalt auftreten. Wir entscheiden, ob das betroffene Teil repariert oder ersetzt wird. Ausgetauschte Teile gehen in unser Eigentum über.</w:t>
      </w:r>
    </w:p>
    <w:tbl>
      <w:tblPr>
        <w:tblStyle w:val="LightGrid-Accent1"/>
        <w:tblW w:type="auto" w:w="0"/>
        <w:tblLook w:firstColumn="1" w:firstRow="1" w:lastColumn="0" w:lastRow="0" w:noHBand="0" w:noVBand="1" w:val="04A0"/>
      </w:tblPr>
      <w:tblGrid>
        <w:gridCol w:w="3118"/>
        <w:gridCol w:w="3118"/>
        <w:gridCol w:w="3118"/>
      </w:tblGrid>
      <w:tr>
        <w:tc>
          <w:tcPr>
            <w:tcW w:type="dxa" w:w="3118"/>
          </w:tcPr>
          <w:p>
            <w:r>
              <w:t>Bauteil</w:t>
            </w:r>
          </w:p>
        </w:tc>
        <w:tc>
          <w:tcPr>
            <w:tcW w:type="dxa" w:w="3118"/>
          </w:tcPr>
          <w:p>
            <w:r>
              <w:t>Garantiezeit</w:t>
            </w:r>
          </w:p>
        </w:tc>
        <w:tc>
          <w:tcPr>
            <w:tcW w:type="dxa" w:w="3118"/>
          </w:tcPr>
          <w:p>
            <w:r>
              <w:t>Hinweis</w:t>
            </w:r>
          </w:p>
        </w:tc>
      </w:tr>
      <w:tr>
        <w:tc>
          <w:tcPr>
            <w:tcW w:type="dxa" w:w="3118"/>
          </w:tcPr>
          <w:p>
            <w:r>
              <w:t>Korpus aus beschichteter Spanplatte</w:t>
            </w:r>
          </w:p>
        </w:tc>
        <w:tc>
          <w:tcPr>
            <w:tcW w:type="dxa" w:w="3118"/>
          </w:tcPr>
          <w:p>
            <w:r>
              <w:t>10 Jahre</w:t>
            </w:r>
          </w:p>
        </w:tc>
        <w:tc>
          <w:tcPr>
            <w:tcW w:type="dxa" w:w="3118"/>
          </w:tcPr>
          <w:p>
            <w:r>
              <w:t>nur bei Montage durch einen Fachbetrieb</w:t>
            </w:r>
          </w:p>
        </w:tc>
      </w:tr>
      <w:tr>
        <w:tc>
          <w:tcPr>
            <w:tcW w:type="dxa" w:w="3118"/>
          </w:tcPr>
          <w:p>
            <w:r>
              <w:t>Frontblende und Glastür</w:t>
            </w:r>
          </w:p>
        </w:tc>
        <w:tc>
          <w:tcPr>
            <w:tcW w:type="dxa" w:w="3118"/>
          </w:tcPr>
          <w:p>
            <w:r>
              <w:t>5 Jahre</w:t>
            </w:r>
          </w:p>
        </w:tc>
        <w:tc>
          <w:tcPr>
            <w:tcW w:type="dxa" w:w="3118"/>
          </w:tcPr>
          <w:p>
            <w:r>
              <w:t>ohne natürliche Farbabweichungen von Holz</w:t>
            </w:r>
          </w:p>
        </w:tc>
      </w:tr>
      <w:tr>
        <w:tc>
          <w:tcPr>
            <w:tcW w:type="dxa" w:w="3118"/>
          </w:tcPr>
          <w:p>
            <w:r>
              <w:t>Scharniere und Auszüge</w:t>
            </w:r>
          </w:p>
        </w:tc>
        <w:tc>
          <w:tcPr>
            <w:tcW w:type="dxa" w:w="3118"/>
          </w:tcPr>
          <w:p>
            <w:r>
              <w:t>10 Jahre</w:t>
            </w:r>
          </w:p>
        </w:tc>
        <w:tc>
          <w:tcPr>
            <w:tcW w:type="dxa" w:w="3118"/>
          </w:tcPr>
          <w:p>
            <w:r>
              <w:t>bis zu 80.000 Öffnungen</w:t>
            </w:r>
          </w:p>
        </w:tc>
      </w:tr>
      <w:tr>
        <w:tc>
          <w:tcPr>
            <w:tcW w:type="dxa" w:w="3118"/>
          </w:tcPr>
          <w:p>
            <w:r>
              <w:t>Arbeitsplatte</w:t>
            </w:r>
          </w:p>
        </w:tc>
        <w:tc>
          <w:tcPr>
            <w:tcW w:type="dxa" w:w="3118"/>
          </w:tcPr>
          <w:p>
            <w:r>
              <w:t>2 Jahre</w:t>
            </w:r>
          </w:p>
        </w:tc>
        <w:tc>
          <w:tcPr>
            <w:tcW w:type="dxa" w:w="3118"/>
          </w:tcPr>
          <w:p>
            <w:r>
              <w:t>nicht bei Schnitt- oder Hitzeschäden</w:t>
            </w:r>
          </w:p>
        </w:tc>
      </w:tr>
      <w:tr>
        <w:tc>
          <w:tcPr>
            <w:tcW w:type="dxa" w:w="3118"/>
          </w:tcPr>
          <w:p>
            <w:r>
              <w:t>Elektrogeräte</w:t>
            </w:r>
          </w:p>
        </w:tc>
        <w:tc>
          <w:tcPr>
            <w:tcW w:type="dxa" w:w="3118"/>
          </w:tcPr>
          <w:p>
            <w:r>
              <w:t>2 Jahre</w:t>
            </w:r>
          </w:p>
        </w:tc>
        <w:tc>
          <w:tcPr>
            <w:tcW w:type="dxa" w:w="3118"/>
          </w:tcPr>
          <w:p>
            <w:r>
              <w:t>nach den Bedingungen des Geräteherstellers</w:t>
            </w:r>
          </w:p>
        </w:tc>
      </w:tr>
    </w:tbl>
    <w:p>
      <w:pPr>
        <w:pStyle w:val="Heading2"/>
      </w:pPr>
      <w:r>
        <w:t>2. Ausschlüsse</w:t>
      </w:r>
    </w:p>
    <w:p>
      <w:r>
        <w:t>Von der Garantie ausgenommen sind:</w:t>
      </w:r>
    </w:p>
    <w:p>
      <w:pPr>
        <w:pStyle w:val="ListBullet"/>
      </w:pPr>
      <w:r>
        <w:t>Schäden durch unsachgemäße Montage, zum Beispiel durch ungeeignete Dübel oder eine nicht tragfähige Wand</w:t>
      </w:r>
    </w:p>
    <w:p>
      <w:pPr>
        <w:pStyle w:val="ListBullet"/>
      </w:pPr>
      <w:r>
        <w:t>Schäden durch Feuchtigkeit, Hitze oder falsche Reinigungsmittel</w:t>
      </w:r>
    </w:p>
    <w:p>
      <w:pPr>
        <w:pStyle w:val="ListBullet"/>
      </w:pPr>
      <w:r>
        <w:t>gewöhnliche Abnutzung sowie Kratzer und Dellen durch den täglichen Gebrauch</w:t>
      </w:r>
    </w:p>
    <w:p>
      <w:pPr>
        <w:pStyle w:val="ListBullet"/>
      </w:pPr>
      <w:r>
        <w:t>Veränderungen oder Reparaturen, die nicht von uns oder einem Vertragspartner durchgeführt wurden</w:t>
      </w:r>
    </w:p>
    <w:p>
      <w:pPr>
        <w:pStyle w:val="Heading2"/>
      </w:pPr>
      <w:r>
        <w:t>3. Garantiefall melden</w:t>
      </w:r>
    </w:p>
    <w:p>
      <w:r>
        <w:t>Melden Sie einen Mangel bitte innerhalb von zwei Monaten, nachdem Sie ihn entdeckt haben. Wenden Sie sich dazu an Ihren Küchenfachberater oder an unseren Kundendienst und halten Sie die Rechnung, die Auftragsnummer und ein Foto des Schadens bereit.</w:t>
      </w:r>
    </w:p>
    <w:p>
      <w:r>
        <w:t>Bei einem anerkannten Garantiefall tragen wir die Kosten für Ersatzteile, Arbeitszeit und Anfahrt. Liegt kein Garantiefall vor, erhalten Sie vorab einen Kostenvoranschlag. Alle Preise verstehen sich inklusive Mehrwertsteuer.</w:t>
      </w:r>
    </w:p>
    <w:p>
      <w:pPr>
        <w:pStyle w:val="Heading2"/>
      </w:pPr>
      <w:r>
        <w:t>4. Service nach der Garantiezeit</w:t>
      </w:r>
    </w:p>
    <w:p>
      <w:r>
        <w:t>Auch nach Ablauf der Garantie liefern wir Ersatzteile wie Scharniere, Griffe oder die Sockelblende SB-2200 mindestens zehn Jahre nach dem Produktionsende des jeweiligen Modells. Den Hängeschrank HS-9001 und den Unterschrank UK-4711/60 können Sie zudem jederzeit nachbestellen.</w:t>
      </w:r>
    </w:p>
    <w:p>
      <w:r>
        <w:t>Kundendienst · Stand: Oktober 2026</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