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016"/>
      </w:tblGrid>
      <w:tr>
        <w:tc>
          <w:tcPr>
            <w:tcW w:type="dxa" w:w="5285"/>
            <w:shd w:fill="123951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r>
              <w:rPr>
                <w:rFonts w:ascii="Aptos Display" w:hAnsi="Aptos Display"/>
                <w:b/>
                <w:color w:val="FFFFFF"/>
                <w:sz w:val="46"/>
              </w:rPr>
              <w:t>ONPG Bead Reactor</w:t>
              <w:br/>
            </w:r>
            <w:r>
              <w:rPr>
                <w:rFonts w:ascii="Aptos" w:hAnsi="Aptos"/>
                <w:b/>
                <w:color w:val="A8DCD6"/>
                <w:sz w:val="18"/>
              </w:rPr>
              <w:t>VIRTUAL LABORATORY WORKSHEET</w:t>
            </w:r>
          </w:p>
        </w:tc>
        <w:tc>
          <w:tcPr>
            <w:tcW w:type="dxa" w:w="5285"/>
            <w:shd w:fill="123951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4"/>
              </w:rPr>
              <w:t>β-GAL</w:t>
              <w:br/>
            </w:r>
            <w:r>
              <w:rPr>
                <w:rFonts w:ascii="Aptos" w:hAnsi="Aptos"/>
                <w:b/>
                <w:color w:val="A8DCD6"/>
                <w:sz w:val="15"/>
              </w:rPr>
              <w:t>KINETICS +</w:t>
              <w:br/>
              <w:t>MASS TRANSFER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4608"/>
        <w:gridCol w:w="3384"/>
        <w:gridCol w:w="1800"/>
      </w:tblGrid>
      <w:tr>
        <w:trPr>
          <w:tblHeader w:val="true"/>
        </w:trPr>
        <w:tc>
          <w:tcPr>
            <w:tcW w:type="dxa" w:w="460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Name(s)</w:t>
            </w:r>
          </w:p>
        </w:tc>
        <w:tc>
          <w:tcPr>
            <w:tcW w:type="dxa" w:w="3384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Course / section</w:t>
            </w:r>
          </w:p>
        </w:tc>
        <w:tc>
          <w:tcPr>
            <w:tcW w:type="dxa" w:w="1800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46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338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Student learning objectives</w:t>
      </w:r>
    </w:p>
    <w:p>
      <w:pPr>
        <w:spacing w:after="20"/>
        <w:ind w:left="274" w:hanging="216"/>
      </w:pPr>
      <w:r>
        <w:rPr>
          <w:rFonts w:ascii="Aptos" w:hAnsi="Aptos"/>
          <w:b/>
          <w:color w:val="078C83"/>
          <w:sz w:val="17"/>
        </w:rPr>
        <w:t xml:space="preserve">• </w:t>
      </w:r>
      <w:r>
        <w:rPr>
          <w:rFonts w:ascii="Aptos" w:hAnsi="Aptos"/>
          <w:b w:val="0"/>
          <w:color w:val="132F3E"/>
          <w:sz w:val="17"/>
        </w:rPr>
        <w:t>Compare ONP production by 2.8 mm and 4.6 mm beads prepared with the same enzyme charge.</w:t>
      </w:r>
    </w:p>
    <w:p>
      <w:pPr>
        <w:spacing w:after="20"/>
        <w:ind w:left="274" w:hanging="216"/>
      </w:pPr>
      <w:r>
        <w:rPr>
          <w:rFonts w:ascii="Aptos" w:hAnsi="Aptos"/>
          <w:b/>
          <w:color w:val="078C83"/>
          <w:sz w:val="17"/>
        </w:rPr>
        <w:t xml:space="preserve">• </w:t>
      </w:r>
      <w:r>
        <w:rPr>
          <w:rFonts w:ascii="Aptos" w:hAnsi="Aptos"/>
          <w:b w:val="0"/>
          <w:color w:val="132F3E"/>
          <w:sz w:val="17"/>
        </w:rPr>
        <w:t>Relate bead diameter, external area per bead volume, radial ONPG profiles, and internal effectiveness.</w:t>
      </w:r>
    </w:p>
    <w:p>
      <w:pPr>
        <w:spacing w:after="20"/>
        <w:ind w:left="274" w:hanging="216"/>
      </w:pPr>
      <w:r>
        <w:rPr>
          <w:rFonts w:ascii="Aptos" w:hAnsi="Aptos"/>
          <w:b/>
          <w:color w:val="078C83"/>
          <w:sz w:val="17"/>
        </w:rPr>
        <w:t xml:space="preserve">• </w:t>
      </w:r>
      <w:r>
        <w:rPr>
          <w:rFonts w:ascii="Aptos" w:hAnsi="Aptos"/>
          <w:b w:val="0"/>
          <w:color w:val="132F3E"/>
          <w:sz w:val="17"/>
        </w:rPr>
        <w:t>Use six free-enzyme assays to recognize a Michaelis–Menten initial-rate response and interpret Km and Vmax.</w:t>
      </w:r>
    </w:p>
    <w:p>
      <w:pPr>
        <w:spacing w:after="20"/>
        <w:ind w:left="274" w:hanging="216"/>
      </w:pPr>
      <w:r>
        <w:rPr>
          <w:rFonts w:ascii="Aptos" w:hAnsi="Aptos"/>
          <w:b/>
          <w:color w:val="078C83"/>
          <w:sz w:val="17"/>
        </w:rPr>
        <w:t xml:space="preserve">• </w:t>
      </w:r>
      <w:r>
        <w:rPr>
          <w:rFonts w:ascii="Aptos" w:hAnsi="Aptos"/>
          <w:b w:val="0"/>
          <w:color w:val="132F3E"/>
          <w:sz w:val="17"/>
        </w:rPr>
        <w:t>Select a bead diameter that meets an internal-effectiveness design target and support the choice with a concentration profile.</w:t>
      </w: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System and measurement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5256"/>
        <w:gridCol w:w="4608"/>
      </w:tblGrid>
      <w:tr>
        <w:tc>
          <w:tcPr>
            <w:tcW w:type="dxa" w:w="5285"/>
            <w:shd w:fill="F1F6F8"/>
            <w:tcMar>
              <w:top w:w="85" w:type="dxa"/>
              <w:start w:w="95" w:type="dxa"/>
              <w:bottom w:w="85" w:type="dxa"/>
              <w:end w:w="95" w:type="dxa"/>
            </w:tcMar>
          </w:tcPr>
          <w:p>
            <w:r>
              <w:rPr>
                <w:rFonts w:ascii="Aptos" w:hAnsi="Aptos"/>
                <w:b w:val="0"/>
                <w:color w:val="132F3E"/>
                <w:sz w:val="17"/>
              </w:rPr>
              <w:t>Colorless ONPG circulates through β-galactosidase immobilized in spherical beads. Yellow ONP forms and is measured at 415 nm.</w:t>
              <w:br/>
              <w:br/>
            </w:r>
            <w:r>
              <w:rPr>
                <w:rFonts w:ascii="Aptos" w:hAnsi="Aptos"/>
                <w:b/>
                <w:color w:val="123951"/>
                <w:sz w:val="17"/>
              </w:rPr>
              <w:t>The simulation converts A415 to ONP automatically using A415 = 3.5804[ONP in mM].</w:t>
            </w:r>
          </w:p>
        </w:tc>
        <w:tc>
          <w:tcPr>
            <w:tcW w:type="dxa" w:w="528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6405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 2026-06-17 18410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ptos" w:hAnsi="Aptos"/>
                <w:b w:val="0"/>
                <w:color w:val="536B75"/>
                <w:sz w:val="14"/>
              </w:rPr>
              <w:t>Laboratory reactor used to ground the virtual apparatus</w:t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Before opening Stage 1</w:t>
      </w: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7"/>
        </w:rPr>
        <w:t>Two independent 30 mL bead preparations each contain the same 8 mL enzyme charge. One preparation contains 2.8 mm beads and the other contains 4.6 mm beads. Both runs begin with 0.83 mM ONPG.</w:t>
      </w:r>
    </w:p>
    <w:p>
      <w:pPr>
        <w:keepNext/>
        <w:spacing w:before="80" w:after="40"/>
      </w:pPr>
      <w:r>
        <w:rPr>
          <w:rFonts w:ascii="Aptos" w:hAnsi="Aptos"/>
          <w:b/>
          <w:color w:val="078C83"/>
          <w:sz w:val="17"/>
        </w:rPr>
        <w:t xml:space="preserve">B1. </w:t>
      </w:r>
      <w:r>
        <w:rPr>
          <w:rFonts w:ascii="Aptos" w:hAnsi="Aptos"/>
          <w:b w:val="0"/>
          <w:color w:val="132F3E"/>
          <w:sz w:val="17"/>
        </w:rPr>
        <w:t>On the axes below, sketch your predicted ONP-versus-time response for both bead sizes and label both curves. Briefly state the reasoning for your prediction.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461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spacing w:before="40"/>
        <w:jc w:val="center"/>
      </w:pPr>
      <w:r>
        <w:drawing>
          <wp:inline xmlns:a="http://schemas.openxmlformats.org/drawingml/2006/main" xmlns:pic="http://schemas.openxmlformats.org/drawingml/2006/picture">
            <wp:extent cx="5074920" cy="18202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_ax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182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20"/>
      </w:pPr>
      <w:r>
        <w:rPr>
          <w:rFonts w:ascii="Aptos" w:hAnsi="Aptos"/>
          <w:b/>
          <w:color w:val="078C83"/>
          <w:sz w:val="16"/>
        </w:rPr>
        <w:t>EXPERIMENT 1 · STAGES 1 AND 2</w:t>
      </w:r>
    </w:p>
    <w:p>
      <w:pPr>
        <w:keepNext/>
        <w:spacing w:before="40" w:after="100"/>
      </w:pPr>
      <w:r>
        <w:rPr>
          <w:rFonts w:ascii="Aptos Display" w:hAnsi="Aptos Display"/>
          <w:b/>
          <w:color w:val="132F3E"/>
          <w:sz w:val="34"/>
        </w:rPr>
        <w:t>Measure ONP formation for both bead sizes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7D4D0"/>
          <w:left w:val="single" w:sz="5" w:color="B7D4D0"/>
          <w:bottom w:val="single" w:sz="5" w:color="B7D4D0"/>
          <w:right w:val="single" w:sz="5" w:color="B7D4D0"/>
          <w:insideH w:val="single" w:sz="5" w:color="B7D4D0"/>
          <w:insideV w:val="single" w:sz="5" w:color="B7D4D0"/>
        </w:tblBorders>
      </w:tblPr>
      <w:tblGrid>
        <w:gridCol w:w="10440"/>
      </w:tblGrid>
      <w:tr>
        <w:tc>
          <w:tcPr>
            <w:tcW w:type="dxa" w:w="10440"/>
            <w:shd w:fill="EAF5F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8"/>
              </w:rPr>
              <w:t>Purpose: Collect matched automatic readings for two bead preparations that differ only in diameter.</w:t>
            </w:r>
          </w:p>
        </w:tc>
      </w:tr>
    </w:tbl>
    <w:p>
      <w:pPr>
        <w:spacing w:after="0"/>
      </w:pPr>
    </w:p>
    <w:p>
      <w:pPr>
        <w:spacing w:after="60" w:line="247" w:lineRule="auto"/>
      </w:pPr>
      <w:r>
        <w:rPr>
          <w:rFonts w:ascii="Aptos" w:hAnsi="Aptos"/>
          <w:b/>
          <w:color w:val="132F3E"/>
          <w:sz w:val="18"/>
        </w:rPr>
        <w:t>Each simulation lasts 120 s</w:t>
      </w:r>
      <w:r>
        <w:rPr>
          <w:rFonts w:ascii="Aptos" w:hAnsi="Aptos"/>
          <w:b w:val="0"/>
          <w:color w:val="132F3E"/>
          <w:sz w:val="18"/>
        </w:rPr>
        <w:t xml:space="preserve"> and represents 340 min of laboratory reaction time. Before starting, set the spectrophotometer to record the zero baseline and then one reading every 10 simulation seconds.</w:t>
      </w: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Stage 1 · 2.8 mm beads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1. </w:t>
      </w:r>
      <w:r>
        <w:rPr>
          <w:rFonts w:ascii="Aptos" w:hAnsi="Aptos"/>
          <w:b w:val="0"/>
          <w:color w:val="132F3E"/>
          <w:sz w:val="17"/>
        </w:rPr>
        <w:t>Open Stage 1 and confirm 2.8 mm beads, the same enzyme charge, and 0.83 mM initial ONPG.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2. </w:t>
      </w:r>
      <w:r>
        <w:rPr>
          <w:rFonts w:ascii="Aptos" w:hAnsi="Aptos"/>
          <w:b w:val="0"/>
          <w:color w:val="132F3E"/>
          <w:sz w:val="17"/>
        </w:rPr>
        <w:t>Click Set automatic readings · every 10 s. Confirm that the table records the 0 s baseline with A415 = 0.000 and ONP = 0.000 mM.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3. </w:t>
      </w:r>
      <w:r>
        <w:rPr>
          <w:rFonts w:ascii="Aptos" w:hAnsi="Aptos"/>
          <w:b w:val="0"/>
          <w:color w:val="132F3E"/>
          <w:sz w:val="17"/>
        </w:rPr>
        <w:t>Click Start 2-minute simulation. The spectrophotometer will continue automatically every 10 s through 120 s.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4. </w:t>
      </w:r>
      <w:r>
        <w:rPr>
          <w:rFonts w:ascii="Aptos" w:hAnsi="Aptos"/>
          <w:b w:val="0"/>
          <w:color w:val="132F3E"/>
          <w:sz w:val="17"/>
        </w:rPr>
        <w:t>When all 13 readings are saved, click Continue to Stage 2.</w:t>
      </w: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Stage 2 · 4.6 mm beads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1. </w:t>
      </w:r>
      <w:r>
        <w:rPr>
          <w:rFonts w:ascii="Aptos" w:hAnsi="Aptos"/>
          <w:b w:val="0"/>
          <w:color w:val="132F3E"/>
          <w:sz w:val="17"/>
        </w:rPr>
        <w:t>Confirm that only the bead diameter changed to 4.6 mm.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2. </w:t>
      </w:r>
      <w:r>
        <w:rPr>
          <w:rFonts w:ascii="Aptos" w:hAnsi="Aptos"/>
          <w:b w:val="0"/>
          <w:color w:val="132F3E"/>
          <w:sz w:val="17"/>
        </w:rPr>
        <w:t>Set the same automatic 10 s sequence, confirm the zero baseline, and click Start 2-minute simulation.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3. </w:t>
      </w:r>
      <w:r>
        <w:rPr>
          <w:rFonts w:ascii="Aptos" w:hAnsi="Aptos"/>
          <w:b w:val="0"/>
          <w:color w:val="132F3E"/>
          <w:sz w:val="17"/>
        </w:rPr>
        <w:t>When all 13 readings are saved, click Continue to Stage 3.</w:t>
      </w: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Record the paired automatic results</w:t>
      </w: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7"/>
        </w:rPr>
        <w:t>Open Stage 3 and copy its paired table below. Simulation time is the accelerated on-screen clock; equivalent laboratory time is the time represented from the supplied experiment.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979"/>
        <w:gridCol w:w="1224"/>
        <w:gridCol w:w="1007"/>
        <w:gridCol w:w="1152"/>
        <w:gridCol w:w="1353"/>
        <w:gridCol w:w="1007"/>
        <w:gridCol w:w="1152"/>
        <w:gridCol w:w="1353"/>
      </w:tblGrid>
      <w:tr>
        <w:trPr>
          <w:tblHeader w:val="true"/>
        </w:trPr>
        <w:tc>
          <w:tcPr>
            <w:tcW w:type="dxa" w:w="979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Simulation</w:t>
              <w:br/>
              <w:t>time (s)</w:t>
            </w:r>
          </w:p>
        </w:tc>
        <w:tc>
          <w:tcPr>
            <w:tcW w:type="dxa" w:w="1224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Equivalent lab</w:t>
              <w:br/>
              <w:t>time (min)</w:t>
            </w:r>
          </w:p>
        </w:tc>
        <w:tc>
          <w:tcPr>
            <w:tcW w:type="dxa" w:w="100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2.8 mm</w:t>
              <w:br/>
              <w:t>A415</w:t>
            </w:r>
          </w:p>
        </w:tc>
        <w:tc>
          <w:tcPr>
            <w:tcW w:type="dxa" w:w="115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2.8 mm ONP</w:t>
              <w:br/>
              <w:t>(mM)</w:t>
            </w:r>
          </w:p>
        </w:tc>
        <w:tc>
          <w:tcPr>
            <w:tcW w:type="dxa" w:w="1354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2.8 mm ONPG left</w:t>
              <w:br/>
              <w:t>(mM)</w:t>
            </w:r>
          </w:p>
        </w:tc>
        <w:tc>
          <w:tcPr>
            <w:tcW w:type="dxa" w:w="100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4.6 mm</w:t>
              <w:br/>
              <w:t>A415</w:t>
            </w:r>
          </w:p>
        </w:tc>
        <w:tc>
          <w:tcPr>
            <w:tcW w:type="dxa" w:w="115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4.6 mm ONP</w:t>
              <w:br/>
              <w:t>(mM)</w:t>
            </w:r>
          </w:p>
        </w:tc>
        <w:tc>
          <w:tcPr>
            <w:tcW w:type="dxa" w:w="1354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3"/>
              </w:rPr>
              <w:t>4.6 mm ONPG left</w:t>
              <w:br/>
              <w:t>(mM)</w:t>
            </w:r>
          </w:p>
        </w:tc>
      </w:tr>
      <w:tr>
        <w:tc>
          <w:tcPr>
            <w:tcW w:type="dxa" w:w="97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0.000</w:t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0.000</w:t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0.830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0.000</w:t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0.000</w:t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0.830</w:t>
            </w:r>
          </w:p>
        </w:tc>
      </w:tr>
      <w:tr>
        <w:tc>
          <w:tcPr>
            <w:tcW w:type="dxa" w:w="979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10</w:t>
            </w:r>
          </w:p>
        </w:tc>
        <w:tc>
          <w:tcPr>
            <w:tcW w:type="dxa" w:w="122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28</w:t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20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57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30</w:t>
            </w:r>
          </w:p>
        </w:tc>
        <w:tc>
          <w:tcPr>
            <w:tcW w:type="dxa" w:w="122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85</w:t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40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113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50</w:t>
            </w:r>
          </w:p>
        </w:tc>
        <w:tc>
          <w:tcPr>
            <w:tcW w:type="dxa" w:w="122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142</w:t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60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170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70</w:t>
            </w:r>
          </w:p>
        </w:tc>
        <w:tc>
          <w:tcPr>
            <w:tcW w:type="dxa" w:w="122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198</w:t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80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227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90</w:t>
            </w:r>
          </w:p>
        </w:tc>
        <w:tc>
          <w:tcPr>
            <w:tcW w:type="dxa" w:w="122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255</w:t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100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283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110</w:t>
            </w:r>
          </w:p>
        </w:tc>
        <w:tc>
          <w:tcPr>
            <w:tcW w:type="dxa" w:w="122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312</w:t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  <w:tr>
        <w:tc>
          <w:tcPr>
            <w:tcW w:type="dxa" w:w="97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120</w:t>
            </w:r>
          </w:p>
        </w:tc>
        <w:tc>
          <w:tcPr>
            <w:tcW w:type="dxa" w:w="122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  <w:t>340</w:t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00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  <w:tc>
          <w:tcPr>
            <w:tcW w:type="dxa" w:w="135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3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7"/>
        </w:rPr>
        <w:t xml:space="preserve">B2. </w:t>
      </w:r>
      <w:r>
        <w:rPr>
          <w:rFonts w:ascii="Aptos" w:hAnsi="Aptos"/>
          <w:b w:val="0"/>
          <w:color w:val="132F3E"/>
          <w:sz w:val="17"/>
        </w:rPr>
        <w:t>At the same simulation time, which run generally produced more ONP? Cite one pair of readings from the 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490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r>
        <w:br w:type="page"/>
      </w:r>
    </w:p>
    <w:p>
      <w:pPr>
        <w:spacing w:after="20"/>
      </w:pPr>
      <w:r>
        <w:rPr>
          <w:rFonts w:ascii="Aptos" w:hAnsi="Aptos"/>
          <w:b/>
          <w:color w:val="078C83"/>
          <w:sz w:val="16"/>
        </w:rPr>
        <w:t>EXPERIMENT 1 · STAGE 3</w:t>
      </w:r>
    </w:p>
    <w:p>
      <w:pPr>
        <w:keepNext/>
        <w:spacing w:before="40" w:after="100"/>
      </w:pPr>
      <w:r>
        <w:rPr>
          <w:rFonts w:ascii="Aptos Display" w:hAnsi="Aptos Display"/>
          <w:b/>
          <w:color w:val="132F3E"/>
          <w:sz w:val="34"/>
        </w:rPr>
        <w:t>Connect bead diameter with mass transfer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7D4D0"/>
          <w:left w:val="single" w:sz="5" w:color="B7D4D0"/>
          <w:bottom w:val="single" w:sz="5" w:color="B7D4D0"/>
          <w:right w:val="single" w:sz="5" w:color="B7D4D0"/>
          <w:insideH w:val="single" w:sz="5" w:color="B7D4D0"/>
          <w:insideV w:val="single" w:sz="5" w:color="B7D4D0"/>
        </w:tblBorders>
      </w:tblPr>
      <w:tblGrid>
        <w:gridCol w:w="10440"/>
      </w:tblGrid>
      <w:tr>
        <w:tc>
          <w:tcPr>
            <w:tcW w:type="dxa" w:w="10440"/>
            <w:shd w:fill="EAF5F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8"/>
              </w:rPr>
              <w:t>Purpose: Compare the two saved experiments; no new reactor run is performed on this page.</w:t>
            </w:r>
          </w:p>
        </w:tc>
      </w:tr>
    </w:tbl>
    <w:p>
      <w:pPr>
        <w:spacing w:after="0"/>
      </w:pP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Use the comparison screen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1. </w:t>
      </w:r>
      <w:r>
        <w:rPr>
          <w:rFonts w:ascii="Aptos" w:hAnsi="Aptos"/>
          <w:b w:val="0"/>
          <w:color w:val="132F3E"/>
          <w:sz w:val="18"/>
        </w:rPr>
        <w:t>Open Stage 3. Do not start another experiment.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2. </w:t>
      </w:r>
      <w:r>
        <w:rPr>
          <w:rFonts w:ascii="Aptos" w:hAnsi="Aptos"/>
          <w:b w:val="0"/>
          <w:color w:val="132F3E"/>
          <w:sz w:val="18"/>
        </w:rPr>
        <w:t>Inspect Your two automatic sample series and the paired results table generated from Stages 1 and 2.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3. </w:t>
      </w:r>
      <w:r>
        <w:rPr>
          <w:rFonts w:ascii="Aptos" w:hAnsi="Aptos"/>
          <w:b w:val="0"/>
          <w:color w:val="132F3E"/>
          <w:sz w:val="18"/>
        </w:rPr>
        <w:t>Inspect the two Modeled radial ONPG profiles, then record the summary results.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1800"/>
        <w:gridCol w:w="2088"/>
        <w:gridCol w:w="1152"/>
        <w:gridCol w:w="1152"/>
        <w:gridCol w:w="2088"/>
        <w:gridCol w:w="1512"/>
      </w:tblGrid>
      <w:tr>
        <w:trPr>
          <w:tblHeader w:val="true"/>
        </w:trPr>
        <w:tc>
          <w:tcPr>
            <w:tcW w:type="dxa" w:w="1800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Bead diameter</w:t>
            </w:r>
          </w:p>
        </w:tc>
        <w:tc>
          <w:tcPr>
            <w:tcW w:type="dxa" w:w="208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Initial rate</w:t>
              <w:br/>
              <w:t>(mM/min)</w:t>
            </w:r>
          </w:p>
        </w:tc>
        <w:tc>
          <w:tcPr>
            <w:tcW w:type="dxa" w:w="115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t50</w:t>
              <w:br/>
              <w:t>(min)</w:t>
            </w:r>
          </w:p>
        </w:tc>
        <w:tc>
          <w:tcPr>
            <w:tcW w:type="dxa" w:w="115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t80</w:t>
              <w:br/>
              <w:t>(min)</w:t>
            </w:r>
          </w:p>
        </w:tc>
        <w:tc>
          <w:tcPr>
            <w:tcW w:type="dxa" w:w="208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Final conversion</w:t>
              <w:br/>
              <w:t>(%)</w:t>
            </w:r>
          </w:p>
        </w:tc>
        <w:tc>
          <w:tcPr>
            <w:tcW w:type="dxa" w:w="151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Internal ηi</w:t>
            </w:r>
          </w:p>
        </w:tc>
      </w:tr>
      <w:tr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2.8 mm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5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  <w:tr>
        <w:tc>
          <w:tcPr>
            <w:tcW w:type="dxa" w:w="180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4.6 mm</w:t>
            </w:r>
          </w:p>
        </w:tc>
        <w:tc>
          <w:tcPr>
            <w:tcW w:type="dxa" w:w="208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15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208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51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B3. </w:t>
      </w:r>
      <w:r>
        <w:rPr>
          <w:rFonts w:ascii="Aptos" w:hAnsi="Aptos"/>
          <w:b w:val="0"/>
          <w:color w:val="132F3E"/>
          <w:sz w:val="18"/>
        </w:rPr>
        <w:t>Which bead preparation reacted faster? Support your answer with both an initial-rate value and one time-based result.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662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Geometry after the observation</w:t>
      </w: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7"/>
        </w:rPr>
        <w:t>For spherical beads with equal total bead volume, calculate total external area per total bead volume: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BFD2D4"/>
          <w:left w:val="single" w:sz="5" w:color="BFD2D4"/>
          <w:bottom w:val="single" w:sz="5" w:color="BFD2D4"/>
          <w:right w:val="single" w:sz="5" w:color="BFD2D4"/>
          <w:insideH w:val="single" w:sz="5" w:color="BFD2D4"/>
          <w:insideV w:val="single" w:sz="5" w:color="BFD2D4"/>
        </w:tblBorders>
      </w:tblPr>
      <w:tblGrid>
        <w:gridCol w:w="10570"/>
      </w:tblGrid>
      <w:tr>
        <w:tc>
          <w:tcPr>
            <w:tcW w:type="dxa" w:w="1057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24"/>
              </w:rPr>
              <w:t>Aₜₒₜₐₗ / Vₜₒₜₐₗ = 6 / 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1944"/>
        <w:gridCol w:w="2880"/>
        <w:gridCol w:w="4320"/>
      </w:tblGrid>
      <w:tr>
        <w:trPr>
          <w:tblHeader w:val="true"/>
        </w:trPr>
        <w:tc>
          <w:tcPr>
            <w:tcW w:type="dxa" w:w="1944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Diameter, d</w:t>
            </w:r>
          </w:p>
        </w:tc>
        <w:tc>
          <w:tcPr>
            <w:tcW w:type="dxa" w:w="2880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Calculation</w:t>
            </w:r>
          </w:p>
        </w:tc>
        <w:tc>
          <w:tcPr>
            <w:tcW w:type="dxa" w:w="4320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A total / V total (mm⁻¹)</w:t>
            </w:r>
          </w:p>
        </w:tc>
      </w:tr>
      <w:tr>
        <w:tc>
          <w:tcPr>
            <w:tcW w:type="dxa" w:w="194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2.8 mm</w:t>
            </w:r>
          </w:p>
        </w:tc>
        <w:tc>
          <w:tcPr>
            <w:tcW w:type="dxa" w:w="28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  <w:t>6 / 2.8</w:t>
            </w:r>
          </w:p>
        </w:tc>
        <w:tc>
          <w:tcPr>
            <w:tcW w:type="dxa" w:w="43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  <w:tr>
        <w:tc>
          <w:tcPr>
            <w:tcW w:type="dxa" w:w="1944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4.6 mm</w:t>
            </w:r>
          </w:p>
        </w:tc>
        <w:tc>
          <w:tcPr>
            <w:tcW w:type="dxa" w:w="288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  <w:t>6 / 4.6</w:t>
            </w:r>
          </w:p>
        </w:tc>
        <w:tc>
          <w:tcPr>
            <w:tcW w:type="dxa" w:w="432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B4. </w:t>
      </w:r>
      <w:r>
        <w:rPr>
          <w:rFonts w:ascii="Aptos" w:hAnsi="Aptos"/>
          <w:b w:val="0"/>
          <w:color w:val="132F3E"/>
          <w:sz w:val="18"/>
        </w:rPr>
        <w:t>How does the area-to-volume comparison agree or disagree with the measured ONP response? Cite one performance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619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Internal concentration after the profiles</w:t>
      </w: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7"/>
        </w:rPr>
        <w:t>Internal effectiveness compares the actual whole-bead rate with the rate if the entire bead were at its surface ONPG concentration.</w:t>
      </w:r>
    </w:p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B5. </w:t>
      </w:r>
      <w:r>
        <w:rPr>
          <w:rFonts w:ascii="Aptos" w:hAnsi="Aptos"/>
          <w:b w:val="0"/>
          <w:color w:val="132F3E"/>
          <w:sz w:val="18"/>
        </w:rPr>
        <w:t>Which bead has the larger center-to-surface ONPG decrease? Explain how that observation is reflected in the two ηi values.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677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B6. </w:t>
      </w:r>
      <w:r>
        <w:rPr>
          <w:rFonts w:ascii="Aptos" w:hAnsi="Aptos"/>
          <w:b w:val="0"/>
          <w:color w:val="132F3E"/>
          <w:sz w:val="18"/>
        </w:rPr>
        <w:t>Return to your Page 1 prediction. What did the experimental and model evidence support, and what—if anything—would you revise?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605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r>
        <w:br w:type="page"/>
      </w:r>
    </w:p>
    <w:p>
      <w:pPr>
        <w:spacing w:after="20"/>
      </w:pPr>
      <w:r>
        <w:rPr>
          <w:rFonts w:ascii="Aptos" w:hAnsi="Aptos"/>
          <w:b/>
          <w:color w:val="078C83"/>
          <w:sz w:val="16"/>
        </w:rPr>
        <w:t>EXPERIMENT 2 · STAGE 4</w:t>
      </w:r>
    </w:p>
    <w:p>
      <w:pPr>
        <w:keepNext/>
        <w:spacing w:before="40" w:after="100"/>
      </w:pPr>
      <w:r>
        <w:rPr>
          <w:rFonts w:ascii="Aptos Display" w:hAnsi="Aptos Display"/>
          <w:b/>
          <w:color w:val="132F3E"/>
          <w:sz w:val="34"/>
        </w:rPr>
        <w:t>Run the six-cuvette kinetic scan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7D4D0"/>
          <w:left w:val="single" w:sz="5" w:color="B7D4D0"/>
          <w:bottom w:val="single" w:sz="5" w:color="B7D4D0"/>
          <w:right w:val="single" w:sz="5" w:color="B7D4D0"/>
          <w:insideH w:val="single" w:sz="5" w:color="B7D4D0"/>
          <w:insideV w:val="single" w:sz="5" w:color="B7D4D0"/>
        </w:tblBorders>
      </w:tblPr>
      <w:tblGrid>
        <w:gridCol w:w="10440"/>
      </w:tblGrid>
      <w:tr>
        <w:tc>
          <w:tcPr>
            <w:tcW w:type="dxa" w:w="10440"/>
            <w:shd w:fill="EAF5F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8"/>
              </w:rPr>
              <w:t>Purpose: Observe how initial substrate concentration changes the early rate of a free enzyme reaction.</w:t>
            </w:r>
          </w:p>
        </w:tc>
      </w:tr>
    </w:tbl>
    <w:p>
      <w:pPr>
        <w:spacing w:after="0"/>
      </w:pP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7"/>
        </w:rPr>
        <w:t>Beads are absent. Every cuvette contains the same free-enzyme amount, solution volume, pH, and temperature. Only initial ONPG concentration changes. Before blanking, the display shows A415 = 0.056 from background absorbance by the cuvette and reaction mixture; blanking subtracts this background and establishes A415 = 0.000.</w:t>
      </w: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Predict before collecting data</w:t>
      </w:r>
    </w:p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K1. </w:t>
      </w:r>
      <w:r>
        <w:rPr>
          <w:rFonts w:ascii="Aptos" w:hAnsi="Aptos"/>
          <w:b w:val="0"/>
          <w:color w:val="132F3E"/>
          <w:sz w:val="18"/>
        </w:rPr>
        <w:t>Sketch your predicted initial rate, v0, versus initial ONPG concentration. Briefly explain the shape you predicted.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490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15742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netics_prediction_ax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57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Run the virtual experiment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1. </w:t>
      </w:r>
      <w:r>
        <w:rPr>
          <w:rFonts w:ascii="Aptos" w:hAnsi="Aptos"/>
          <w:b w:val="0"/>
          <w:color w:val="132F3E"/>
          <w:sz w:val="17"/>
        </w:rPr>
        <w:t>Open Stage 4, observe the A415 = 0.056 background reading, and click Load six cuvettes.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2. </w:t>
      </w:r>
      <w:r>
        <w:rPr>
          <w:rFonts w:ascii="Aptos" w:hAnsi="Aptos"/>
          <w:b w:val="0"/>
          <w:color w:val="132F3E"/>
          <w:sz w:val="17"/>
        </w:rPr>
        <w:t>Click Blank spectrophotometer. Confirm that the background reading changes from 0.056 to 0.000.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3. </w:t>
      </w:r>
      <w:r>
        <w:rPr>
          <w:rFonts w:ascii="Aptos" w:hAnsi="Aptos"/>
          <w:b w:val="0"/>
          <w:color w:val="132F3E"/>
          <w:sz w:val="17"/>
        </w:rPr>
        <w:t>Click Start 4.5-s scan. Observe all six ONP-time traces on the same graph.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7"/>
        </w:rPr>
        <w:t xml:space="preserve">4. </w:t>
      </w:r>
      <w:r>
        <w:rPr>
          <w:rFonts w:ascii="Aptos" w:hAnsi="Aptos"/>
          <w:b w:val="0"/>
          <w:color w:val="132F3E"/>
          <w:sz w:val="17"/>
        </w:rPr>
        <w:t>Click Show initial rates and transfer the results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2088"/>
        <w:gridCol w:w="2520"/>
        <w:gridCol w:w="2448"/>
        <w:gridCol w:w="2232"/>
      </w:tblGrid>
      <w:tr>
        <w:trPr>
          <w:tblHeader w:val="true"/>
        </w:trPr>
        <w:tc>
          <w:tcPr>
            <w:tcW w:type="dxa" w:w="208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color w:val="FFFFFF"/>
                <w:sz w:val="15"/>
              </w:rPr>
              <w:t>Initial ONPG</w:t>
              <w:br/>
              <w:t>(mM)</w:t>
            </w:r>
          </w:p>
        </w:tc>
        <w:tc>
          <w:tcPr>
            <w:tcW w:type="dxa" w:w="2520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Initial rate, v0</w:t>
              <w:br/>
              <w:t>(mM/s)</w:t>
            </w:r>
          </w:p>
        </w:tc>
        <w:tc>
          <w:tcPr>
            <w:tcW w:type="dxa" w:w="244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ONP at 4.5 s</w:t>
              <w:br/>
              <w:t>(mM)</w:t>
            </w:r>
          </w:p>
        </w:tc>
        <w:tc>
          <w:tcPr>
            <w:tcW w:type="dxa" w:w="223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A415 at 4.5 s</w:t>
            </w:r>
          </w:p>
        </w:tc>
      </w:tr>
      <w:tr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5"/>
              </w:rPr>
              <w:t>0.622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</w:tr>
      <w:tr>
        <w:tc>
          <w:tcPr>
            <w:tcW w:type="dxa" w:w="208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5"/>
              </w:rPr>
              <w:t>1.244</w:t>
            </w:r>
          </w:p>
        </w:tc>
        <w:tc>
          <w:tcPr>
            <w:tcW w:type="dxa" w:w="252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44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23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</w:tr>
      <w:tr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5"/>
              </w:rPr>
              <w:t>2.488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</w:tr>
      <w:tr>
        <w:tc>
          <w:tcPr>
            <w:tcW w:type="dxa" w:w="208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5"/>
              </w:rPr>
              <w:t>4.975</w:t>
            </w:r>
          </w:p>
        </w:tc>
        <w:tc>
          <w:tcPr>
            <w:tcW w:type="dxa" w:w="252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44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23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</w:tr>
      <w:tr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5"/>
              </w:rPr>
              <w:t>9.95</w:t>
            </w:r>
          </w:p>
        </w:tc>
        <w:tc>
          <w:tcPr>
            <w:tcW w:type="dxa" w:w="25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44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2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</w:tr>
      <w:tr>
        <w:tc>
          <w:tcPr>
            <w:tcW w:type="dxa" w:w="208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5"/>
              </w:rPr>
              <w:t>19.9</w:t>
            </w:r>
          </w:p>
        </w:tc>
        <w:tc>
          <w:tcPr>
            <w:tcW w:type="dxa" w:w="252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44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  <w:tc>
          <w:tcPr>
            <w:tcW w:type="dxa" w:w="223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5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7"/>
        </w:rPr>
        <w:t xml:space="preserve">K2. </w:t>
      </w:r>
      <w:r>
        <w:rPr>
          <w:rFonts w:ascii="Aptos" w:hAnsi="Aptos"/>
          <w:b w:val="0"/>
          <w:color w:val="132F3E"/>
          <w:sz w:val="17"/>
        </w:rPr>
        <w:t>Which ONP-time line is steepest? Report its initial ONPG concentration and rate, then state what that slope represents physically.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634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r>
        <w:br w:type="page"/>
      </w:r>
    </w:p>
    <w:p>
      <w:pPr>
        <w:spacing w:after="20"/>
      </w:pPr>
      <w:r>
        <w:rPr>
          <w:rFonts w:ascii="Aptos" w:hAnsi="Aptos"/>
          <w:b/>
          <w:color w:val="078C83"/>
          <w:sz w:val="16"/>
        </w:rPr>
        <w:t>EXPERIMENT 2 · STAGES 4 AND 5</w:t>
      </w:r>
    </w:p>
    <w:p>
      <w:pPr>
        <w:keepNext/>
        <w:spacing w:before="40" w:after="100"/>
      </w:pPr>
      <w:r>
        <w:rPr>
          <w:rFonts w:ascii="Aptos Display" w:hAnsi="Aptos Display"/>
          <w:b/>
          <w:color w:val="132F3E"/>
          <w:sz w:val="34"/>
        </w:rPr>
        <w:t>Interpret the Michaelis–Menten response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7D4D0"/>
          <w:left w:val="single" w:sz="5" w:color="B7D4D0"/>
          <w:bottom w:val="single" w:sz="5" w:color="B7D4D0"/>
          <w:right w:val="single" w:sz="5" w:color="B7D4D0"/>
          <w:insideH w:val="single" w:sz="5" w:color="B7D4D0"/>
          <w:insideV w:val="single" w:sz="5" w:color="B7D4D0"/>
        </w:tblBorders>
      </w:tblPr>
      <w:tblGrid>
        <w:gridCol w:w="10440"/>
      </w:tblGrid>
      <w:tr>
        <w:tc>
          <w:tcPr>
            <w:tcW w:type="dxa" w:w="10440"/>
            <w:shd w:fill="EAF5F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8"/>
              </w:rPr>
              <w:t>Purpose: Use the six measured slopes to decide how substrate concentration affects enzyme rate.</w:t>
            </w:r>
          </w:p>
        </w:tc>
      </w:tr>
    </w:tbl>
    <w:p>
      <w:pPr>
        <w:spacing w:after="0"/>
      </w:pP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Compare equal concentration changes</w:t>
      </w: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8"/>
        </w:rPr>
        <w:t>For each substrate doubling, calculate the rate factor as v0 at the higher concentration divided by v0 at the lower concentration.</w:t>
      </w:r>
    </w:p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K3. </w:t>
      </w:r>
      <w:r>
        <w:rPr>
          <w:rFonts w:ascii="Aptos" w:hAnsi="Aptos"/>
          <w:b w:val="0"/>
          <w:color w:val="132F3E"/>
          <w:sz w:val="18"/>
        </w:rPr>
        <w:t>Calculate the rate factor for 1.24 → 2.49 mM ONPG and for 9.95 → 19.9 mM ONPG.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605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BFD2D4"/>
          <w:left w:val="single" w:sz="5" w:color="BFD2D4"/>
          <w:bottom w:val="single" w:sz="5" w:color="BFD2D4"/>
          <w:right w:val="single" w:sz="5" w:color="BFD2D4"/>
          <w:insideH w:val="single" w:sz="5" w:color="BFD2D4"/>
          <w:insideV w:val="single" w:sz="5" w:color="BFD2D4"/>
        </w:tblBorders>
      </w:tblPr>
      <w:tblGrid>
        <w:gridCol w:w="10570"/>
      </w:tblGrid>
      <w:tr>
        <w:tc>
          <w:tcPr>
            <w:tcW w:type="dxa" w:w="1057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24"/>
              </w:rPr>
              <w:t>Low-concentration factor = __________     High-concentration factor = __________</w:t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K4. </w:t>
      </w:r>
      <w:r>
        <w:rPr>
          <w:rFonts w:ascii="Aptos" w:hAnsi="Aptos"/>
          <w:b w:val="0"/>
          <w:color w:val="132F3E"/>
          <w:sz w:val="18"/>
        </w:rPr>
        <w:t>Did doubling ONPG have the same effect in both concentration ranges? Support your answer with the two factors.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691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Build the rate curve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1. </w:t>
      </w:r>
      <w:r>
        <w:rPr>
          <w:rFonts w:ascii="Aptos" w:hAnsi="Aptos"/>
          <w:b w:val="0"/>
          <w:color w:val="132F3E"/>
          <w:sz w:val="18"/>
        </w:rPr>
        <w:t>Open Stage 5 and click Build kinetics plot.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2. </w:t>
      </w:r>
      <w:r>
        <w:rPr>
          <w:rFonts w:ascii="Aptos" w:hAnsi="Aptos"/>
          <w:b w:val="0"/>
          <w:color w:val="132F3E"/>
          <w:sz w:val="18"/>
        </w:rPr>
        <w:t>Inspect the measured v0 points and the fitted Michaelis–Menten curve.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3. </w:t>
      </w:r>
      <w:r>
        <w:rPr>
          <w:rFonts w:ascii="Aptos" w:hAnsi="Aptos"/>
          <w:b w:val="0"/>
          <w:color w:val="132F3E"/>
          <w:sz w:val="18"/>
        </w:rPr>
        <w:t>Use the graph to complete K5 and K6. Click Show half-maximum guide only after making your own estimate.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BFD2D4"/>
          <w:left w:val="single" w:sz="5" w:color="BFD2D4"/>
          <w:bottom w:val="single" w:sz="5" w:color="BFD2D4"/>
          <w:right w:val="single" w:sz="5" w:color="BFD2D4"/>
          <w:insideH w:val="single" w:sz="5" w:color="BFD2D4"/>
          <w:insideV w:val="single" w:sz="5" w:color="BFD2D4"/>
        </w:tblBorders>
      </w:tblPr>
      <w:tblGrid>
        <w:gridCol w:w="10570"/>
      </w:tblGrid>
      <w:tr>
        <w:tc>
          <w:tcPr>
            <w:tcW w:type="dxa" w:w="1057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24"/>
              </w:rPr>
              <w:t>v₀ = Vmax[S]₀ / (Km + [S]₀)</w:t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K5. </w:t>
      </w:r>
      <w:r>
        <w:rPr>
          <w:rFonts w:ascii="Aptos" w:hAnsi="Aptos"/>
          <w:b w:val="0"/>
          <w:color w:val="132F3E"/>
          <w:sz w:val="18"/>
        </w:rPr>
        <w:t>Describe the shape of v0 versus initial ONPG. Is the response linear over the full range? Cite two results from the graph or 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792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7"/>
        </w:rPr>
        <w:t xml:space="preserve">K6. </w:t>
      </w:r>
      <w:r>
        <w:rPr>
          <w:rFonts w:ascii="Aptos" w:hAnsi="Aptos"/>
          <w:b w:val="0"/>
          <w:color w:val="132F3E"/>
          <w:sz w:val="17"/>
        </w:rPr>
        <w:t>Find the half-maximum point on the Michaelis–Menten graph. Calculate one-half of Vmax = 0.00226 mM/s. Locate this rate on the vertical axis, follow it across to the fitted curve, and then read the corresponding initial ONPG concentration from the horizontal axis.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806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BFD2D4"/>
          <w:left w:val="single" w:sz="5" w:color="BFD2D4"/>
          <w:bottom w:val="single" w:sz="5" w:color="BFD2D4"/>
          <w:right w:val="single" w:sz="5" w:color="BFD2D4"/>
          <w:insideH w:val="single" w:sz="5" w:color="BFD2D4"/>
          <w:insideV w:val="single" w:sz="5" w:color="BFD2D4"/>
        </w:tblBorders>
      </w:tblPr>
      <w:tblGrid>
        <w:gridCol w:w="10570"/>
      </w:tblGrid>
      <w:tr>
        <w:tc>
          <w:tcPr>
            <w:tcW w:type="dxa" w:w="1057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24"/>
              </w:rPr>
              <w:t>Vmax ÷ 2 = __________ mM/s   →   Initial ONPG = __________ mM</w:t>
            </w:r>
          </w:p>
        </w:tc>
      </w:tr>
    </w:tbl>
    <w:p>
      <w:r>
        <w:br w:type="page"/>
      </w:r>
    </w:p>
    <w:p>
      <w:pPr>
        <w:spacing w:after="20"/>
      </w:pPr>
      <w:r>
        <w:rPr>
          <w:rFonts w:ascii="Aptos" w:hAnsi="Aptos"/>
          <w:b/>
          <w:color w:val="078C83"/>
          <w:sz w:val="16"/>
        </w:rPr>
        <w:t>MODEL DESIGN · STAGE 6</w:t>
      </w:r>
    </w:p>
    <w:p>
      <w:pPr>
        <w:keepNext/>
        <w:spacing w:before="40" w:after="100"/>
      </w:pPr>
      <w:r>
        <w:rPr>
          <w:rFonts w:ascii="Aptos Display" w:hAnsi="Aptos Display"/>
          <w:b/>
          <w:color w:val="132F3E"/>
          <w:sz w:val="34"/>
        </w:rPr>
        <w:t>Select a bead diameter using internal effectiveness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7D4D0"/>
          <w:left w:val="single" w:sz="5" w:color="B7D4D0"/>
          <w:bottom w:val="single" w:sz="5" w:color="B7D4D0"/>
          <w:right w:val="single" w:sz="5" w:color="B7D4D0"/>
          <w:insideH w:val="single" w:sz="5" w:color="B7D4D0"/>
          <w:insideV w:val="single" w:sz="5" w:color="B7D4D0"/>
        </w:tblBorders>
      </w:tblPr>
      <w:tblGrid>
        <w:gridCol w:w="10440"/>
      </w:tblGrid>
      <w:tr>
        <w:tc>
          <w:tcPr>
            <w:tcW w:type="dxa" w:w="10440"/>
            <w:shd w:fill="EAF5F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8"/>
              </w:rPr>
              <w:t>Purpose: Change diameter—not ηi—to find the largest tested bead that meets the stated utilization target.</w:t>
            </w:r>
          </w:p>
        </w:tc>
      </w:tr>
    </w:tbl>
    <w:p>
      <w:pPr>
        <w:spacing w:after="0"/>
      </w:pP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8"/>
        </w:rPr>
        <w:t>This is a model investigation, not a timed reactor run. Initial ONPG and enzyme kinetics remain fixed. The 2.8 and 4.6 mm rows are laboratory-tested bead sizes; smaller sizes are model predictions.</w:t>
      </w:r>
    </w:p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Design action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1. </w:t>
      </w:r>
      <w:r>
        <w:rPr>
          <w:rFonts w:ascii="Aptos" w:hAnsi="Aptos"/>
          <w:b w:val="0"/>
          <w:color w:val="132F3E"/>
          <w:sz w:val="18"/>
        </w:rPr>
        <w:t>Open Stage 6. Use the diameter slider or the − / + controls.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2. </w:t>
      </w:r>
      <w:r>
        <w:rPr>
          <w:rFonts w:ascii="Aptos" w:hAnsi="Aptos"/>
          <w:b w:val="0"/>
          <w:color w:val="132F3E"/>
          <w:sz w:val="18"/>
        </w:rPr>
        <w:t>Near the target boundary, decrease diameter in 0.1 mm increments and click Save this result after each trial.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3. </w:t>
      </w:r>
      <w:r>
        <w:rPr>
          <w:rFonts w:ascii="Aptos" w:hAnsi="Aptos"/>
          <w:b w:val="0"/>
          <w:color w:val="132F3E"/>
          <w:sz w:val="18"/>
        </w:rPr>
        <w:t>Continue until you have saved one result immediately below ηi = 0.95 and the largest diameter at or above ηi = 0.95.</w:t>
      </w:r>
    </w:p>
    <w:p>
      <w:pPr>
        <w:spacing w:after="30"/>
        <w:ind w:left="317" w:hanging="259"/>
      </w:pPr>
      <w:r>
        <w:rPr>
          <w:rFonts w:ascii="Aptos" w:hAnsi="Aptos"/>
          <w:b/>
          <w:color w:val="078C83"/>
          <w:sz w:val="18"/>
        </w:rPr>
        <w:t xml:space="preserve">4. </w:t>
      </w:r>
      <w:r>
        <w:rPr>
          <w:rFonts w:ascii="Aptos" w:hAnsi="Aptos"/>
          <w:b w:val="0"/>
          <w:color w:val="132F3E"/>
          <w:sz w:val="18"/>
        </w:rPr>
        <w:t>Copy the final two Design table rows below. Their profiles will appear together on the simulation graph.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3528"/>
        <w:gridCol w:w="1440"/>
        <w:gridCol w:w="1440"/>
        <w:gridCol w:w="1872"/>
        <w:gridCol w:w="1872"/>
      </w:tblGrid>
      <w:tr>
        <w:trPr>
          <w:tblHeader w:val="true"/>
        </w:trPr>
        <w:tc>
          <w:tcPr>
            <w:tcW w:type="dxa" w:w="3528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Diameter</w:t>
              <w:br/>
              <w:t>(mm)</w:t>
            </w:r>
          </w:p>
        </w:tc>
        <w:tc>
          <w:tcPr>
            <w:tcW w:type="dxa" w:w="1440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Internal ηi</w:t>
            </w:r>
          </w:p>
        </w:tc>
        <w:tc>
          <w:tcPr>
            <w:tcW w:type="dxa" w:w="187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Surface ONPG</w:t>
              <w:br/>
              <w:t>(mM)</w:t>
            </w:r>
          </w:p>
        </w:tc>
        <w:tc>
          <w:tcPr>
            <w:tcW w:type="dxa" w:w="1872"/>
            <w:shd w:fill="12395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Center ONPG</w:t>
              <w:br/>
              <w:t>(mM)</w:t>
            </w:r>
          </w:p>
        </w:tc>
      </w:tr>
      <w:tr>
        <w:tc>
          <w:tcPr>
            <w:tcW w:type="dxa" w:w="352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Large laboratory bead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  <w:t>4.6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  <w:t>0.29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  <w:tr>
        <w:tc>
          <w:tcPr>
            <w:tcW w:type="dxa" w:w="352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Small laboratory bead</w:t>
            </w:r>
          </w:p>
        </w:tc>
        <w:tc>
          <w:tcPr>
            <w:tcW w:type="dxa" w:w="144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  <w:t>2.8</w:t>
            </w:r>
          </w:p>
        </w:tc>
        <w:tc>
          <w:tcPr>
            <w:tcW w:type="dxa" w:w="144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  <w:t>0.45</w:t>
            </w:r>
          </w:p>
        </w:tc>
        <w:tc>
          <w:tcPr>
            <w:tcW w:type="dxa" w:w="187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87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  <w:tr>
        <w:tc>
          <w:tcPr>
            <w:tcW w:type="dxa" w:w="352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Closest tested result below 0.95</w:t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44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  <w:tr>
        <w:tc>
          <w:tcPr>
            <w:tcW w:type="dxa" w:w="3528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  <w:t>Largest tested diameter at/above 0.95</w:t>
            </w:r>
          </w:p>
        </w:tc>
        <w:tc>
          <w:tcPr>
            <w:tcW w:type="dxa" w:w="144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44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87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  <w:tc>
          <w:tcPr>
            <w:tcW w:type="dxa" w:w="1872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D1. </w:t>
      </w:r>
      <w:r>
        <w:rPr>
          <w:rFonts w:ascii="Aptos" w:hAnsi="Aptos"/>
          <w:b w:val="0"/>
          <w:color w:val="132F3E"/>
          <w:sz w:val="18"/>
        </w:rPr>
        <w:t>What is the largest tested bead diameter that meets ηi ≥ 0.95? Report the ηi values on both sides of the pass/fail boundary.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749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D2. </w:t>
      </w:r>
      <w:r>
        <w:rPr>
          <w:rFonts w:ascii="Aptos" w:hAnsi="Aptos"/>
          <w:b w:val="0"/>
          <w:color w:val="132F3E"/>
          <w:sz w:val="18"/>
        </w:rPr>
        <w:t>Which bead diameter would you select? Explain how the two surface-to-center ONPG profiles support your selection.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1037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Class activity submission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C9D9DB"/>
          <w:left w:val="single" w:sz="6" w:color="C9D9DB"/>
          <w:bottom w:val="single" w:sz="6" w:color="C9D9DB"/>
          <w:right w:val="single" w:sz="6" w:color="C9D9DB"/>
          <w:insideH w:val="single" w:sz="6" w:color="C9D9DB"/>
          <w:insideV w:val="single" w:sz="6" w:color="C9D9DB"/>
        </w:tblBorders>
      </w:tblPr>
      <w:tblGrid>
        <w:gridCol w:w="5285"/>
        <w:gridCol w:w="5285"/>
      </w:tblGrid>
      <w:tr>
        <w:tc>
          <w:tcPr>
            <w:tcW w:type="dxa" w:w="5285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7"/>
              </w:rPr>
              <w:t>□ Thirteen automatic readings saved for each bead size</w:t>
              <w:br/>
              <w:t>□ Stage 3 paired comparison and A/V calculations complete</w:t>
              <w:br/>
              <w:t>□ Original predictions remain visible</w:t>
            </w:r>
          </w:p>
        </w:tc>
        <w:tc>
          <w:tcPr>
            <w:tcW w:type="dxa" w:w="5285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7"/>
              </w:rPr>
              <w:t>□ Six kinetic rates recorded</w:t>
              <w:br/>
              <w:t>□ Half-maximum point recorded</w:t>
              <w:br/>
              <w:t>□ Passing and failing bead designs saved</w:t>
            </w:r>
          </w:p>
        </w:tc>
      </w:tr>
    </w:tbl>
    <w:p>
      <w:r>
        <w:br w:type="page"/>
      </w:r>
    </w:p>
    <w:p>
      <w:pPr>
        <w:spacing w:after="20"/>
      </w:pPr>
      <w:r>
        <w:rPr>
          <w:rFonts w:ascii="Aptos" w:hAnsi="Aptos"/>
          <w:b/>
          <w:color w:val="078C83"/>
          <w:sz w:val="16"/>
        </w:rPr>
        <w:t>HOMEWORK</w:t>
      </w:r>
    </w:p>
    <w:p>
      <w:pPr>
        <w:keepNext/>
        <w:spacing w:before="40" w:after="100"/>
      </w:pPr>
      <w:r>
        <w:rPr>
          <w:rFonts w:ascii="Aptos Display" w:hAnsi="Aptos Display"/>
          <w:b/>
          <w:color w:val="132F3E"/>
          <w:sz w:val="34"/>
        </w:rPr>
        <w:t>Apply the kinetic relationships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7D4D0"/>
          <w:left w:val="single" w:sz="5" w:color="B7D4D0"/>
          <w:bottom w:val="single" w:sz="5" w:color="B7D4D0"/>
          <w:right w:val="single" w:sz="5" w:color="B7D4D0"/>
          <w:insideH w:val="single" w:sz="5" w:color="B7D4D0"/>
          <w:insideV w:val="single" w:sz="5" w:color="B7D4D0"/>
        </w:tblBorders>
      </w:tblPr>
      <w:tblGrid>
        <w:gridCol w:w="10440"/>
      </w:tblGrid>
      <w:tr>
        <w:tc>
          <w:tcPr>
            <w:tcW w:type="dxa" w:w="10440"/>
            <w:shd w:fill="EAF5F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8"/>
              </w:rPr>
              <w:t>Purpose: Use the saved Stage 4 and Stage 5 results; show units and brief reasoning.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BFD2D4"/>
          <w:left w:val="single" w:sz="5" w:color="BFD2D4"/>
          <w:bottom w:val="single" w:sz="5" w:color="BFD2D4"/>
          <w:right w:val="single" w:sz="5" w:color="BFD2D4"/>
          <w:insideH w:val="single" w:sz="5" w:color="BFD2D4"/>
          <w:insideV w:val="single" w:sz="5" w:color="BFD2D4"/>
        </w:tblBorders>
      </w:tblPr>
      <w:tblGrid>
        <w:gridCol w:w="10570"/>
      </w:tblGrid>
      <w:tr>
        <w:tc>
          <w:tcPr>
            <w:tcW w:type="dxa" w:w="1057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24"/>
              </w:rPr>
              <w:t>Michaelis–Menten equation:  v₀ = Vmax[S]₀ / (Km + [S]₀)</w:t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H1. </w:t>
      </w:r>
      <w:r>
        <w:rPr>
          <w:rFonts w:ascii="Aptos" w:hAnsi="Aptos"/>
          <w:b w:val="0"/>
          <w:color w:val="132F3E"/>
          <w:sz w:val="18"/>
        </w:rPr>
        <w:t>Using your K6 result, explain in words what Km means for this enzyme–substrate system.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835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H2. </w:t>
      </w:r>
      <w:r>
        <w:rPr>
          <w:rFonts w:ascii="Aptos" w:hAnsi="Aptos"/>
          <w:b w:val="0"/>
          <w:color w:val="132F3E"/>
          <w:sz w:val="18"/>
        </w:rPr>
        <w:t>What does Vmax represent? State the experimental condition required for the rate to approach Vmax.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835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H3. </w:t>
      </w:r>
      <w:r>
        <w:rPr>
          <w:rFonts w:ascii="Aptos" w:hAnsi="Aptos"/>
          <w:b w:val="0"/>
          <w:color w:val="132F3E"/>
          <w:sz w:val="18"/>
        </w:rPr>
        <w:t>At high ONPG concentration, what limits the reaction rate? Use the high-concentration portion of the Stage 5 graph as evidence.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893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spacing w:after="60" w:line="247" w:lineRule="auto"/>
      </w:pPr>
      <w:r>
        <w:rPr>
          <w:rFonts w:ascii="Aptos" w:hAnsi="Aptos"/>
          <w:b w:val="0"/>
          <w:color w:val="132F3E"/>
          <w:sz w:val="18"/>
        </w:rPr>
        <w:t>The fractional Michaelis–Menten occupancy term is: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BFD2D4"/>
          <w:left w:val="single" w:sz="5" w:color="BFD2D4"/>
          <w:bottom w:val="single" w:sz="5" w:color="BFD2D4"/>
          <w:right w:val="single" w:sz="5" w:color="BFD2D4"/>
          <w:insideH w:val="single" w:sz="5" w:color="BFD2D4"/>
          <w:insideV w:val="single" w:sz="5" w:color="BFD2D4"/>
        </w:tblBorders>
      </w:tblPr>
      <w:tblGrid>
        <w:gridCol w:w="10570"/>
      </w:tblGrid>
      <w:tr>
        <w:tc>
          <w:tcPr>
            <w:tcW w:type="dxa" w:w="10570"/>
            <w:shd w:fill="F1F6F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132F3E"/>
                <w:sz w:val="24"/>
              </w:rPr>
              <w:t>Fractional occupancy = [S]₀ / (Km + [S]₀)</w:t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H4. </w:t>
      </w:r>
      <w:r>
        <w:rPr>
          <w:rFonts w:ascii="Aptos" w:hAnsi="Aptos"/>
          <w:b w:val="0"/>
          <w:color w:val="132F3E"/>
          <w:sz w:val="18"/>
        </w:rPr>
        <w:t>Using Km = 2.00 mM, calculate the fractional occupancy at 0.62 mM and 19.9 mM ONPG. Report each result as a fraction or percent.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1037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078C83"/>
          <w:sz w:val="18"/>
        </w:rPr>
        <w:t xml:space="preserve">H5. </w:t>
      </w:r>
      <w:r>
        <w:rPr>
          <w:rFonts w:ascii="Aptos" w:hAnsi="Aptos"/>
          <w:b w:val="0"/>
          <w:color w:val="132F3E"/>
          <w:sz w:val="18"/>
        </w:rPr>
        <w:t>Use your H4 values and the shape of the Stage 5 curve to explain why equal increases in ONPG produce diminishing increases in rate at high substrate concentration.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BD9DA"/>
          <w:left w:val="single" w:sz="5" w:color="CBD9DA"/>
          <w:bottom w:val="single" w:sz="5" w:color="CBD9DA"/>
          <w:right w:val="single" w:sz="5" w:color="CBD9DA"/>
          <w:insideH w:val="single" w:sz="5" w:color="CBD9DA"/>
          <w:insideV w:val="single" w:sz="5" w:color="CBD9DA"/>
        </w:tblBorders>
      </w:tblPr>
      <w:tblGrid>
        <w:gridCol w:w="10570"/>
      </w:tblGrid>
      <w:tr>
        <w:trPr>
          <w:trHeight w:val="1181"/>
        </w:trPr>
        <w:tc>
          <w:tcPr>
            <w:tcW w:type="dxa" w:w="10570"/>
            <w:shd w:fill="FAFCFC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132F3E"/>
                <w:sz w:val="16"/>
              </w:rPr>
            </w:r>
          </w:p>
        </w:tc>
      </w:tr>
    </w:tbl>
    <w:p>
      <w:pPr>
        <w:keepNext/>
        <w:spacing w:before="80" w:after="40"/>
      </w:pPr>
      <w:r>
        <w:rPr>
          <w:rFonts w:ascii="Aptos" w:hAnsi="Aptos"/>
          <w:b/>
          <w:color w:val="123951"/>
          <w:sz w:val="23"/>
        </w:rPr>
        <w:t>Submission reminder</w:t>
      </w:r>
    </w:p>
    <w:p>
      <w:pPr>
        <w:spacing w:after="60" w:line="247" w:lineRule="auto"/>
      </w:pPr>
      <w:r>
        <w:rPr>
          <w:rFonts w:ascii="Aptos" w:hAnsi="Aptos"/>
          <w:b w:val="0"/>
          <w:color w:val="132F3E"/>
          <w:sz w:val="18"/>
        </w:rPr>
        <w:t>Keep predictions unchanged, cite simulation values in explanations, and label all numerical answers with units where applicable.</w:t>
      </w:r>
    </w:p>
    <w:sectPr w:rsidR="00FC693F" w:rsidRPr="0006063C" w:rsidSect="00034616">
      <w:footerReference w:type="default" r:id="rId9"/>
      <w:pgSz w:w="12240" w:h="15840"/>
      <w:pgMar w:top="605" w:right="835" w:bottom="619" w:left="835" w:header="216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ptos" w:hAnsi="Aptos"/>
        <w:b w:val="0"/>
        <w:color w:val="536B75"/>
        <w:sz w:val="15"/>
      </w:rPr>
      <w:t xml:space="preserve">ONPG Bead Reactor Virtual Laboratory  |  </w:t>
    </w:r>
    <w:fldSimple w:instr="PAGE"/>
    <w:r>
      <w:rPr>
        <w:rFonts w:ascii="Aptos" w:hAnsi="Aptos"/>
        <w:b w:val="0"/>
        <w:color w:val="536B75"/>
        <w:sz w:val="15"/>
      </w:rPr>
      <w:t xml:space="preserve"> of 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ONPG Bead Reactor Virtual Laboratory Worksheet</dc:title>
  <dc:subject>Undergraduate enzyme kinetics and mass transfer virtual laboratory</dc:subject>
  <dc:creator>Virtual Laboratory Instructional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