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86014" w14:textId="77777777" w:rsidR="00022120" w:rsidRDefault="00C02BBA">
      <w:pPr>
        <w:pStyle w:val="Title"/>
        <w:jc w:val="center"/>
      </w:pPr>
      <w:r>
        <w:rPr>
          <w:rFonts w:ascii="Arial" w:hAnsi="Arial"/>
        </w:rPr>
        <w:t>ONPG Bead Reactor, Enzyme Kinetics and Internal Diffusion</w:t>
      </w:r>
    </w:p>
    <w:p w14:paraId="3A5ADFC5" w14:textId="77777777" w:rsidR="00022120" w:rsidRDefault="00C02BBA">
      <w:pPr>
        <w:keepLines/>
        <w:jc w:val="center"/>
      </w:pPr>
      <w:r>
        <w:rPr>
          <w:sz w:val="22"/>
        </w:rPr>
        <w:t xml:space="preserve">Faraz </w:t>
      </w:r>
      <w:proofErr w:type="gramStart"/>
      <w:r>
        <w:rPr>
          <w:sz w:val="22"/>
        </w:rPr>
        <w:t>Rahimi  |</w:t>
      </w:r>
      <w:proofErr w:type="gramEnd"/>
      <w:r>
        <w:rPr>
          <w:sz w:val="22"/>
        </w:rPr>
        <w:t xml:space="preserve">  David B. </w:t>
      </w:r>
      <w:proofErr w:type="gramStart"/>
      <w:r>
        <w:rPr>
          <w:sz w:val="22"/>
        </w:rPr>
        <w:t>Thiessen  |</w:t>
      </w:r>
      <w:proofErr w:type="gramEnd"/>
      <w:r>
        <w:rPr>
          <w:sz w:val="22"/>
        </w:rPr>
        <w:t xml:space="preserve">  Bernard J. Van Wie</w:t>
      </w:r>
    </w:p>
    <w:p w14:paraId="4B474FD3" w14:textId="77777777" w:rsidR="00022120" w:rsidRDefault="00C02BBA">
      <w:pPr>
        <w:keepLines/>
        <w:jc w:val="center"/>
      </w:pPr>
      <w:r>
        <w:rPr>
          <w:sz w:val="22"/>
        </w:rPr>
        <w:t xml:space="preserve">Voiland School of Chemical Engineering &amp; </w:t>
      </w:r>
      <w:proofErr w:type="gramStart"/>
      <w:r>
        <w:rPr>
          <w:sz w:val="22"/>
        </w:rPr>
        <w:t>Bioengineering  •</w:t>
      </w:r>
      <w:proofErr w:type="gramEnd"/>
      <w:r>
        <w:rPr>
          <w:sz w:val="22"/>
        </w:rPr>
        <w:t xml:space="preserve">  Washington State University</w:t>
      </w:r>
      <w:r>
        <w:rPr>
          <w:sz w:val="22"/>
        </w:rPr>
        <w:br/>
        <w:t>Pullman, WA 99164-6515</w:t>
      </w:r>
    </w:p>
    <w:p w14:paraId="09CE2188" w14:textId="77777777" w:rsidR="00022120" w:rsidRDefault="00C02BBA">
      <w:pPr>
        <w:keepLines/>
        <w:jc w:val="center"/>
      </w:pPr>
      <w:r>
        <w:rPr>
          <w:sz w:val="22"/>
        </w:rPr>
        <w:t>Simulation: https://farazrahimi95-collab.github.io/labs/onpg/</w:t>
      </w:r>
    </w:p>
    <w:p w14:paraId="43E903A5" w14:textId="77777777" w:rsidR="00022120" w:rsidRDefault="00C02BBA">
      <w:pPr>
        <w:keepLines/>
        <w:jc w:val="center"/>
      </w:pPr>
      <w:r>
        <w:t>Worksheet revised October 2026</w:t>
      </w:r>
    </w:p>
    <w:p w14:paraId="5D3DB558" w14:textId="77777777" w:rsidR="00022120" w:rsidRDefault="00C02BBA">
      <w:pPr>
        <w:keepLines/>
      </w:pPr>
      <w:r>
        <w:rPr>
          <w:sz w:val="22"/>
        </w:rPr>
        <w:t>Student name(s</w:t>
      </w:r>
      <w:proofErr w:type="gramStart"/>
      <w:r>
        <w:rPr>
          <w:sz w:val="22"/>
        </w:rPr>
        <w:t>): _</w:t>
      </w:r>
      <w:proofErr w:type="gramEnd"/>
      <w:r>
        <w:rPr>
          <w:sz w:val="22"/>
        </w:rPr>
        <w:t>______________________________________    Date: ____________________</w:t>
      </w:r>
    </w:p>
    <w:p w14:paraId="2362DA18" w14:textId="77777777" w:rsidR="006863C2" w:rsidRDefault="00000000">
      <w:pPr>
        <w:pStyle w:val="Smallnote"/>
        <w:spacing w:after="180"/>
      </w:pPr>
      <w:r>
        <w:t>For all questions, report numerical values with units and cite simulation tables or graphs when supporting your answers.</w:t>
      </w:r>
    </w:p>
    <w:p w14:paraId="22559E7E" w14:textId="77777777" w:rsidR="00022120" w:rsidRDefault="00C02BBA">
      <w:pPr>
        <w:pStyle w:val="Heading1"/>
      </w:pPr>
      <w:r>
        <w:rPr>
          <w:rFonts w:ascii="Arial" w:hAnsi="Arial"/>
          <w:sz w:val="22"/>
        </w:rPr>
        <w:t>Educational Purpose</w:t>
      </w:r>
    </w:p>
    <w:p w14:paraId="49ADFE19" w14:textId="77777777" w:rsidR="00022120" w:rsidRDefault="00C02BBA">
      <w:pPr>
        <w:keepLines/>
      </w:pPr>
      <w:r>
        <w:rPr>
          <w:sz w:val="22"/>
        </w:rPr>
        <w:t>Through this virtual experiment, students examine β-galactosidase-catalyzed ONPG hydrolysis, compare two immobilized-enzyme bead sizes, and use free-enzyme reaction-rate data to investigate Michaelis–Menten kinetics.</w:t>
      </w:r>
    </w:p>
    <w:p w14:paraId="32F9D302" w14:textId="77777777" w:rsidR="00022120" w:rsidRDefault="00C02BBA">
      <w:pPr>
        <w:pStyle w:val="Heading1"/>
      </w:pPr>
      <w:r>
        <w:rPr>
          <w:rFonts w:ascii="Arial" w:hAnsi="Arial"/>
          <w:sz w:val="22"/>
        </w:rPr>
        <w:t>Student Learning Objectives</w:t>
      </w:r>
    </w:p>
    <w:p w14:paraId="3520C9F8" w14:textId="77777777" w:rsidR="00022120" w:rsidRDefault="00C02BBA">
      <w:pPr>
        <w:keepLines/>
        <w:spacing w:after="60"/>
        <w:ind w:left="302" w:hanging="230"/>
      </w:pPr>
      <w:r>
        <w:rPr>
          <w:sz w:val="22"/>
        </w:rPr>
        <w:t>•  Use calibrated absorbance readings at 415 nm to determine ONP concentration. ONP absorbs strongly at this wavelength.</w:t>
      </w:r>
    </w:p>
    <w:p w14:paraId="45F10B8E" w14:textId="77777777" w:rsidR="00022120" w:rsidRDefault="00C02BBA">
      <w:pPr>
        <w:keepLines/>
        <w:spacing w:after="60"/>
        <w:ind w:left="302" w:hanging="230"/>
      </w:pPr>
      <w:r>
        <w:rPr>
          <w:sz w:val="22"/>
        </w:rPr>
        <w:t>•  Compare ONP production for 2.8 mm and 4.6 mm beads prepared with the same total reactor enzyme charge.</w:t>
      </w:r>
    </w:p>
    <w:p w14:paraId="4B5525F8" w14:textId="77777777" w:rsidR="00022120" w:rsidRDefault="00C02BBA">
      <w:pPr>
        <w:keepLines/>
        <w:spacing w:after="60"/>
        <w:ind w:left="302" w:hanging="230"/>
      </w:pPr>
      <w:r>
        <w:rPr>
          <w:sz w:val="22"/>
        </w:rPr>
        <w:t>•  Determine initial reaction rate from the slope of an ONP concentration–time curve.</w:t>
      </w:r>
    </w:p>
    <w:p w14:paraId="1C9E7DB4" w14:textId="77777777" w:rsidR="00022120" w:rsidRDefault="00C02BBA">
      <w:pPr>
        <w:keepLines/>
        <w:spacing w:after="60"/>
        <w:ind w:left="302" w:hanging="230"/>
      </w:pPr>
      <w:r>
        <w:t>•  Use the six supplied free-enzyme initial rates and one 39.8 mM simulated assay to interpret a Michaelis–Menten response.</w:t>
      </w:r>
    </w:p>
    <w:p w14:paraId="0749175E" w14:textId="77777777" w:rsidR="00022120" w:rsidRDefault="00C02BBA">
      <w:pPr>
        <w:keepLines/>
        <w:spacing w:after="60"/>
        <w:ind w:left="302" w:hanging="230"/>
      </w:pPr>
      <w:r>
        <w:t xml:space="preserve">•  Explain how bead diameter and internal substrate availability influence the internal effectiveness factor, </w:t>
      </w:r>
      <w:proofErr w:type="spellStart"/>
      <w:r>
        <w:t>η</w:t>
      </w:r>
      <w:r>
        <w:rPr>
          <w:vertAlign w:val="subscript"/>
        </w:rPr>
        <w:t>i</w:t>
      </w:r>
      <w:proofErr w:type="spellEnd"/>
      <w:r>
        <w:t>.</w:t>
      </w:r>
    </w:p>
    <w:p w14:paraId="1A1234BD" w14:textId="77777777" w:rsidR="00022120" w:rsidRDefault="00C02BBA">
      <w:pPr>
        <w:pStyle w:val="Heading1"/>
      </w:pPr>
      <w:r>
        <w:rPr>
          <w:rFonts w:ascii="Arial" w:hAnsi="Arial"/>
          <w:sz w:val="22"/>
        </w:rPr>
        <w:t>System and Measurement</w:t>
      </w:r>
    </w:p>
    <w:p w14:paraId="477DE3FE" w14:textId="77777777" w:rsidR="00022120" w:rsidRDefault="00C02BBA">
      <w:pPr>
        <w:keepLines/>
      </w:pPr>
      <w:r>
        <w:t>β-Galactosidase catalyzes the hydrolysis shown below. The yellow product ONP is measured using absorbance at 415 nm (ABS</w:t>
      </w:r>
      <w:r>
        <w:rPr>
          <w:vertAlign w:val="subscript"/>
        </w:rPr>
        <w:t>415</w:t>
      </w:r>
      <w:r>
        <w:t>).</w:t>
      </w:r>
    </w:p>
    <w:tbl>
      <w:tblPr>
        <w:tblStyle w:val="TableGrid"/>
        <w:tblW w:w="0" w:type="auto"/>
        <w:jc w:val="center"/>
        <w:tblLayout w:type="fixed"/>
        <w:tblLook w:val="04A0" w:firstRow="1" w:lastRow="0" w:firstColumn="1" w:lastColumn="0" w:noHBand="0" w:noVBand="1"/>
      </w:tblPr>
      <w:tblGrid>
        <w:gridCol w:w="2333"/>
        <w:gridCol w:w="979"/>
        <w:gridCol w:w="2088"/>
        <w:gridCol w:w="1296"/>
        <w:gridCol w:w="1728"/>
      </w:tblGrid>
      <w:tr w:rsidR="006863C2" w14:paraId="6D719CC7" w14:textId="77777777">
        <w:trPr>
          <w:jc w:val="center"/>
        </w:trPr>
        <w:tc>
          <w:tcPr>
            <w:tcW w:w="2333" w:type="dxa"/>
            <w:vAlign w:val="center"/>
          </w:tcPr>
          <w:p w14:paraId="43A05CFE" w14:textId="77777777" w:rsidR="006863C2" w:rsidRDefault="00000000">
            <w:pPr>
              <w:jc w:val="center"/>
            </w:pPr>
            <w:proofErr w:type="gramStart"/>
            <w:r>
              <w:rPr>
                <w:b/>
                <w:sz w:val="20"/>
              </w:rPr>
              <w:t>ONPG  +</w:t>
            </w:r>
            <w:proofErr w:type="gramEnd"/>
          </w:p>
        </w:tc>
        <w:tc>
          <w:tcPr>
            <w:tcW w:w="979" w:type="dxa"/>
            <w:vAlign w:val="center"/>
          </w:tcPr>
          <w:p w14:paraId="7A1C4E51" w14:textId="77777777" w:rsidR="006863C2" w:rsidRDefault="00000000">
            <w:pPr>
              <w:jc w:val="center"/>
            </w:pPr>
            <w:r>
              <w:rPr>
                <w:b/>
                <w:sz w:val="20"/>
              </w:rPr>
              <w:t>H₂O</w:t>
            </w:r>
          </w:p>
        </w:tc>
        <w:tc>
          <w:tcPr>
            <w:tcW w:w="2088" w:type="dxa"/>
            <w:vAlign w:val="center"/>
          </w:tcPr>
          <w:p w14:paraId="2AF575A9" w14:textId="77777777" w:rsidR="006863C2" w:rsidRDefault="00000000">
            <w:pPr>
              <w:jc w:val="center"/>
            </w:pPr>
            <w:r>
              <w:rPr>
                <w:b/>
                <w:sz w:val="20"/>
              </w:rPr>
              <w:t>β-galactosidase</w:t>
            </w:r>
            <w:r>
              <w:rPr>
                <w:b/>
                <w:sz w:val="20"/>
              </w:rPr>
              <w:br/>
              <w:t>⟶</w:t>
            </w:r>
          </w:p>
        </w:tc>
        <w:tc>
          <w:tcPr>
            <w:tcW w:w="1296" w:type="dxa"/>
            <w:shd w:val="clear" w:color="auto" w:fill="FFEB8A"/>
            <w:vAlign w:val="center"/>
          </w:tcPr>
          <w:p w14:paraId="25AF8E2B" w14:textId="77777777" w:rsidR="006863C2" w:rsidRDefault="00000000">
            <w:pPr>
              <w:jc w:val="center"/>
            </w:pPr>
            <w:proofErr w:type="gramStart"/>
            <w:r>
              <w:rPr>
                <w:b/>
                <w:sz w:val="20"/>
              </w:rPr>
              <w:t>ONP  +</w:t>
            </w:r>
            <w:proofErr w:type="gramEnd"/>
          </w:p>
        </w:tc>
        <w:tc>
          <w:tcPr>
            <w:tcW w:w="1728" w:type="dxa"/>
            <w:vAlign w:val="center"/>
          </w:tcPr>
          <w:p w14:paraId="5AEDBCD2" w14:textId="77777777" w:rsidR="006863C2" w:rsidRDefault="00000000">
            <w:pPr>
              <w:jc w:val="center"/>
            </w:pPr>
            <w:r>
              <w:rPr>
                <w:b/>
                <w:sz w:val="20"/>
              </w:rPr>
              <w:t>D-galactose</w:t>
            </w:r>
          </w:p>
        </w:tc>
      </w:tr>
      <w:tr w:rsidR="006863C2" w14:paraId="7815C6AF" w14:textId="77777777">
        <w:trPr>
          <w:jc w:val="center"/>
        </w:trPr>
        <w:tc>
          <w:tcPr>
            <w:tcW w:w="2333" w:type="dxa"/>
            <w:vAlign w:val="center"/>
          </w:tcPr>
          <w:p w14:paraId="3A986BFD" w14:textId="77777777" w:rsidR="006863C2" w:rsidRDefault="00000000">
            <w:pPr>
              <w:jc w:val="center"/>
            </w:pPr>
            <w:r>
              <w:rPr>
                <w:color w:val="4E5B67"/>
                <w:sz w:val="16"/>
              </w:rPr>
              <w:t>o-nitrophenyl-β-D-</w:t>
            </w:r>
            <w:r>
              <w:rPr>
                <w:color w:val="4E5B67"/>
                <w:sz w:val="16"/>
              </w:rPr>
              <w:br/>
            </w:r>
            <w:proofErr w:type="spellStart"/>
            <w:r>
              <w:rPr>
                <w:color w:val="4E5B67"/>
                <w:sz w:val="16"/>
              </w:rPr>
              <w:t>galactopyranoside</w:t>
            </w:r>
            <w:proofErr w:type="spellEnd"/>
          </w:p>
        </w:tc>
        <w:tc>
          <w:tcPr>
            <w:tcW w:w="979" w:type="dxa"/>
            <w:vAlign w:val="center"/>
          </w:tcPr>
          <w:p w14:paraId="04739FC2" w14:textId="77777777" w:rsidR="006863C2" w:rsidRDefault="00000000">
            <w:pPr>
              <w:jc w:val="center"/>
            </w:pPr>
            <w:r>
              <w:rPr>
                <w:color w:val="4E5B67"/>
                <w:sz w:val="16"/>
              </w:rPr>
              <w:t>water</w:t>
            </w:r>
          </w:p>
        </w:tc>
        <w:tc>
          <w:tcPr>
            <w:tcW w:w="2088" w:type="dxa"/>
            <w:vAlign w:val="center"/>
          </w:tcPr>
          <w:p w14:paraId="62C47698" w14:textId="77777777" w:rsidR="006863C2" w:rsidRDefault="00000000">
            <w:pPr>
              <w:jc w:val="center"/>
            </w:pPr>
            <w:r>
              <w:rPr>
                <w:color w:val="4E5B67"/>
                <w:sz w:val="16"/>
              </w:rPr>
              <w:t>enzyme catalyst</w:t>
            </w:r>
          </w:p>
        </w:tc>
        <w:tc>
          <w:tcPr>
            <w:tcW w:w="1296" w:type="dxa"/>
            <w:shd w:val="clear" w:color="auto" w:fill="FFF5CC"/>
            <w:vAlign w:val="center"/>
          </w:tcPr>
          <w:p w14:paraId="26068A00" w14:textId="77777777" w:rsidR="006863C2" w:rsidRDefault="00000000">
            <w:pPr>
              <w:jc w:val="center"/>
            </w:pPr>
            <w:r>
              <w:rPr>
                <w:color w:val="4E5B67"/>
                <w:sz w:val="16"/>
              </w:rPr>
              <w:t>o-nitrophenol</w:t>
            </w:r>
            <w:r>
              <w:rPr>
                <w:color w:val="4E5B67"/>
                <w:sz w:val="16"/>
              </w:rPr>
              <w:br/>
              <w:t>(yellow product)</w:t>
            </w:r>
          </w:p>
        </w:tc>
        <w:tc>
          <w:tcPr>
            <w:tcW w:w="1728" w:type="dxa"/>
            <w:vAlign w:val="center"/>
          </w:tcPr>
          <w:p w14:paraId="63E8E13D" w14:textId="77777777" w:rsidR="006863C2" w:rsidRDefault="00000000">
            <w:pPr>
              <w:jc w:val="center"/>
            </w:pPr>
            <w:r>
              <w:rPr>
                <w:color w:val="4E5B67"/>
                <w:sz w:val="16"/>
              </w:rPr>
              <w:t>galactose</w:t>
            </w:r>
          </w:p>
        </w:tc>
      </w:tr>
    </w:tbl>
    <w:p w14:paraId="76742C7E" w14:textId="77777777" w:rsidR="00022120" w:rsidRDefault="00C02BBA">
      <w:pPr>
        <w:keepLines/>
      </w:pPr>
      <w:r>
        <w:rPr>
          <w:sz w:val="22"/>
        </w:rPr>
        <w:t>Blanking sets the baseline to zero by subtracting background absorbance from the cuvette and solution before measuring ONP.</w:t>
      </w:r>
    </w:p>
    <w:p w14:paraId="61DBE6F7" w14:textId="77777777" w:rsidR="00022120" w:rsidRPr="00901776" w:rsidRDefault="00000000">
      <w:pPr>
        <w:spacing w:before="60" w:after="120"/>
        <w:jc w:val="center"/>
        <w:rPr>
          <w:lang w:val="de-DE"/>
        </w:rPr>
      </w:pPr>
      <m:oMathPara>
        <m:oMath>
          <m:sSub>
            <m:sSubPr>
              <m:ctrlPr>
                <w:rPr>
                  <w:rFonts w:ascii="Cambria Math" w:hAnsi="Cambria Math"/>
                </w:rPr>
              </m:ctrlPr>
            </m:sSubPr>
            <m:e>
              <m:r>
                <m:rPr>
                  <m:nor/>
                </m:rPr>
                <m:t>ABS</m:t>
              </m:r>
            </m:e>
            <m:sub>
              <m:r>
                <m:rPr>
                  <m:nor/>
                </m:rPr>
                <m:t>415</m:t>
              </m:r>
            </m:sub>
          </m:sSub>
          <m:r>
            <m:rPr>
              <m:sty m:val="p"/>
            </m:rPr>
            <w:rPr>
              <w:rFonts w:ascii="Cambria Math" w:hAnsi="Cambria Math"/>
            </w:rPr>
            <m:t xml:space="preserve"> = 3.43 × </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ONP</m:t>
              </m:r>
            </m:sub>
          </m:sSub>
        </m:oMath>
      </m:oMathPara>
    </w:p>
    <w:p w14:paraId="4C38820C" w14:textId="77777777" w:rsidR="00022120" w:rsidRPr="00901776" w:rsidRDefault="00000000">
      <w:pPr>
        <w:spacing w:before="60" w:after="120"/>
        <w:jc w:val="center"/>
        <w:rPr>
          <w:lang w:val="de-DE"/>
        </w:rPr>
      </w:pPr>
      <m:oMathPara>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ONP</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nor/>
                    </m:rPr>
                    <m:t>ABS</m:t>
                  </m:r>
                </m:e>
                <m:sub>
                  <m:r>
                    <m:rPr>
                      <m:nor/>
                    </m:rPr>
                    <m:t>415</m:t>
                  </m:r>
                </m:sub>
              </m:sSub>
            </m:num>
            <m:den>
              <m:r>
                <m:rPr>
                  <m:sty m:val="p"/>
                </m:rPr>
                <w:rPr>
                  <w:rFonts w:ascii="Cambria Math" w:hAnsi="Cambria Math"/>
                </w:rPr>
                <m:t>3.43</m:t>
              </m:r>
            </m:den>
          </m:f>
        </m:oMath>
      </m:oMathPara>
    </w:p>
    <w:p w14:paraId="2EE1EAEA" w14:textId="77777777" w:rsidR="00022120" w:rsidRPr="00901776" w:rsidRDefault="00C02BBA">
      <w:pPr>
        <w:pStyle w:val="Smallnote"/>
        <w:rPr>
          <w:color w:val="1F2F3C"/>
          <w:sz w:val="22"/>
          <w:rPrChange w:id="0" w:author="Vanwie, Bernard J" w:date="2026-10-21T15:40:00Z" w16du:dateUtc="2026-10-21T22:40:00Z">
            <w:rPr/>
          </w:rPrChange>
        </w:rPr>
      </w:pPr>
      <w:r>
        <w:rPr>
          <w:sz w:val="20"/>
        </w:rPr>
        <w:t xml:space="preserve">The experimental ONP calibration is shown </w:t>
      </w:r>
      <w:proofErr w:type="gramStart"/>
      <w:r>
        <w:rPr>
          <w:sz w:val="20"/>
        </w:rPr>
        <w:t>in</w:t>
      </w:r>
      <w:proofErr w:type="gramEnd"/>
      <w:r>
        <w:rPr>
          <w:sz w:val="20"/>
        </w:rPr>
        <w:t xml:space="preserve"> Fig. 4. Use the calibration slope of 3.43 mM</w:t>
      </w:r>
      <w:r>
        <w:rPr>
          <w:sz w:val="20"/>
          <w:vertAlign w:val="superscript"/>
        </w:rPr>
        <w:t>−1</w:t>
      </w:r>
      <w:r>
        <w:rPr>
          <w:sz w:val="20"/>
        </w:rPr>
        <w:t xml:space="preserve"> throughout this worksheet and the simulation.</w:t>
      </w:r>
    </w:p>
    <w:p w14:paraId="2BFDE3B5" w14:textId="77777777" w:rsidR="00022120" w:rsidRDefault="00C02BBA">
      <w:pPr>
        <w:keepLines/>
      </w:pPr>
      <w:r>
        <w:br w:type="page"/>
      </w:r>
    </w:p>
    <w:p w14:paraId="46156248" w14:textId="77777777" w:rsidR="00022120" w:rsidRDefault="00C02BBA">
      <w:pPr>
        <w:pStyle w:val="Heading1"/>
      </w:pPr>
      <w:r>
        <w:rPr>
          <w:rFonts w:ascii="Arial" w:hAnsi="Arial"/>
          <w:sz w:val="22"/>
        </w:rPr>
        <w:lastRenderedPageBreak/>
        <w:t>Before Operating the Simulation</w:t>
      </w:r>
    </w:p>
    <w:p w14:paraId="3D684198" w14:textId="77777777" w:rsidR="00022120" w:rsidRDefault="00C02BBA">
      <w:pPr>
        <w:keepLines/>
      </w:pPr>
      <w:r>
        <w:rPr>
          <w:sz w:val="22"/>
        </w:rPr>
        <w:t xml:space="preserve">The recirculating apparatus is shown </w:t>
      </w:r>
      <w:proofErr w:type="gramStart"/>
      <w:r>
        <w:rPr>
          <w:sz w:val="22"/>
        </w:rPr>
        <w:t>in</w:t>
      </w:r>
      <w:proofErr w:type="gramEnd"/>
      <w:r>
        <w:rPr>
          <w:sz w:val="22"/>
        </w:rPr>
        <w:t xml:space="preserve"> Fig. 1. The two laboratory bead sizes are shown in Fig. 2.</w:t>
      </w:r>
    </w:p>
    <w:p w14:paraId="63A92B19" w14:textId="77777777" w:rsidR="00022120" w:rsidRDefault="00C02BBA">
      <w:pPr>
        <w:keepNext/>
        <w:spacing w:before="60" w:after="40"/>
        <w:jc w:val="center"/>
      </w:pPr>
      <w:r>
        <w:rPr>
          <w:noProof/>
        </w:rPr>
        <w:drawing>
          <wp:inline distT="0" distB="0" distL="0" distR="0" wp14:anchorId="473CED03" wp14:editId="075D6EC6">
            <wp:extent cx="5166360" cy="2906077"/>
            <wp:effectExtent l="0" t="0" r="0" b="0"/>
            <wp:docPr id="1" name="Picture 1" descr="Laboratory apparatus photograph with recirculating fluidized-bed reactor, beaker, spectrophotometer, laptop, and power sup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4.png"/>
                    <pic:cNvPicPr/>
                  </pic:nvPicPr>
                  <pic:blipFill>
                    <a:blip r:embed="rId11"/>
                    <a:stretch>
                      <a:fillRect/>
                    </a:stretch>
                  </pic:blipFill>
                  <pic:spPr>
                    <a:xfrm>
                      <a:off x="0" y="0"/>
                      <a:ext cx="5166360" cy="2906077"/>
                    </a:xfrm>
                    <a:prstGeom prst="rect">
                      <a:avLst/>
                    </a:prstGeom>
                  </pic:spPr>
                </pic:pic>
              </a:graphicData>
            </a:graphic>
          </wp:inline>
        </w:drawing>
      </w:r>
    </w:p>
    <w:p w14:paraId="6BE757D7" w14:textId="77777777" w:rsidR="00022120" w:rsidRDefault="00C02BBA">
      <w:pPr>
        <w:pStyle w:val="Figurecaptioncustom"/>
        <w:jc w:val="center"/>
      </w:pPr>
      <w:r>
        <w:rPr>
          <w:sz w:val="22"/>
        </w:rPr>
        <w:t>Fig. 1  Recirculating immobilized-enzyme apparatus used to motivate the Stages 4–6 simulation.</w:t>
      </w:r>
    </w:p>
    <w:p w14:paraId="2521B351" w14:textId="77777777" w:rsidR="00022120" w:rsidRDefault="00C02BBA">
      <w:pPr>
        <w:keepNext/>
        <w:spacing w:before="60" w:after="0"/>
        <w:jc w:val="center"/>
      </w:pPr>
      <w:r>
        <w:rPr>
          <w:noProof/>
        </w:rPr>
        <w:drawing>
          <wp:anchor distT="0" distB="0" distL="140000" distR="140000" simplePos="0" relativeHeight="251658240" behindDoc="0" locked="0" layoutInCell="1" allowOverlap="0" wp14:anchorId="266F5DE0" wp14:editId="197119D8">
            <wp:simplePos x="0" y="0"/>
            <wp:positionH relativeFrom="column">
              <wp:align>right</wp:align>
            </wp:positionH>
            <wp:positionV relativeFrom="paragraph">
              <wp:posOffset>0</wp:posOffset>
            </wp:positionV>
            <wp:extent cx="2834640" cy="2668966"/>
            <wp:effectExtent l="0" t="0" r="0" b="0"/>
            <wp:wrapSquare wrapText="bothSides"/>
            <wp:docPr id="506" name="Picture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caption_integrated.png"/>
                    <pic:cNvPicPr/>
                  </pic:nvPicPr>
                  <pic:blipFill>
                    <a:blip r:embed="rId12"/>
                    <a:stretch>
                      <a:fillRect/>
                    </a:stretch>
                  </pic:blipFill>
                  <pic:spPr>
                    <a:xfrm>
                      <a:off x="0" y="0"/>
                      <a:ext cx="2834640" cy="2668966"/>
                    </a:xfrm>
                    <a:prstGeom prst="rect">
                      <a:avLst/>
                    </a:prstGeom>
                  </pic:spPr>
                </pic:pic>
              </a:graphicData>
            </a:graphic>
          </wp:anchor>
        </w:drawing>
      </w:r>
    </w:p>
    <w:p w14:paraId="18E8E699" w14:textId="77777777" w:rsidR="00022120" w:rsidRDefault="00022120">
      <w:pPr>
        <w:pStyle w:val="Figurecaptioncustom"/>
        <w:jc w:val="center"/>
      </w:pPr>
    </w:p>
    <w:p w14:paraId="39E32997" w14:textId="77777777" w:rsidR="00022120" w:rsidRDefault="00C02BBA">
      <w:pPr>
        <w:keepLines/>
      </w:pPr>
      <w:r>
        <w:rPr>
          <w:sz w:val="22"/>
        </w:rPr>
        <w:t>Click the “About” button at the top of the ONPG simulation. The pump recirculates liquid from the reservoir through a fluidized bed of beads containing immobilized β-galactosidase, past the in-line spectrophotometer, and back to the reservoir.</w:t>
      </w:r>
    </w:p>
    <w:p w14:paraId="5ABF4D8F" w14:textId="77777777" w:rsidR="00022120" w:rsidRDefault="00C02BBA">
      <w:pPr>
        <w:keepLines/>
      </w:pPr>
      <w:r>
        <w:rPr>
          <w:sz w:val="22"/>
        </w:rPr>
        <w:t>Stages 4 and 5 use the same initial ONPG concentration and total enzyme charge; bead diameter is the intended comparison variable.</w:t>
      </w:r>
    </w:p>
    <w:p w14:paraId="780F60A1" w14:textId="77777777" w:rsidR="00022120" w:rsidRDefault="00C02BBA">
      <w:pPr>
        <w:keepLines/>
      </w:pPr>
      <w:r>
        <w:br w:type="page"/>
      </w:r>
    </w:p>
    <w:p w14:paraId="00FB0018" w14:textId="77777777" w:rsidR="00022120" w:rsidRDefault="00C02BBA">
      <w:pPr>
        <w:pStyle w:val="Heading1"/>
      </w:pPr>
      <w:r>
        <w:rPr>
          <w:rFonts w:ascii="Arial" w:hAnsi="Arial"/>
          <w:sz w:val="22"/>
        </w:rPr>
        <w:lastRenderedPageBreak/>
        <w:t>System and Measurement: Blanking and Calibration</w:t>
      </w:r>
    </w:p>
    <w:p w14:paraId="383F5915" w14:textId="77777777" w:rsidR="00022120" w:rsidRDefault="00C02BBA">
      <w:pPr>
        <w:keepLines/>
      </w:pPr>
      <w:r>
        <w:rPr>
          <w:sz w:val="22"/>
        </w:rPr>
        <w:t>Before each run, the experimentalist obtains a baseline absorbance for the clear ONPG-containing liquid and zeroes the spectrophotometer. This subtracts background absorption so the remaining 415 nm signal is attributed to ONP formation.</w:t>
      </w:r>
    </w:p>
    <w:p w14:paraId="71495597" w14:textId="77777777" w:rsidR="00022120" w:rsidRDefault="00C02BBA">
      <w:pPr>
        <w:keepLines/>
      </w:pPr>
      <w:r>
        <w:t>Before measuring ONP, blank the spectrophotometer using a clear liquid reference. The reference cuvette at left is not empty. The seven Stage 1 assay cuvettes have equal enzyme amounts but different initial ONPG concentrations; their yellow color represents ONP formation during the scan.</w:t>
      </w:r>
    </w:p>
    <w:p w14:paraId="25657ACB" w14:textId="77777777" w:rsidR="00022120" w:rsidRDefault="00C02BBA">
      <w:pPr>
        <w:keepNext/>
        <w:spacing w:after="0"/>
        <w:jc w:val="center"/>
      </w:pPr>
      <w:r>
        <w:rPr>
          <w:noProof/>
        </w:rPr>
        <w:drawing>
          <wp:inline distT="0" distB="0" distL="0" distR="0" wp14:anchorId="67EE7401" wp14:editId="41E54805">
            <wp:extent cx="5760720" cy="1196457"/>
            <wp:effectExtent l="0" t="0" r="0" b="0"/>
            <wp:docPr id="507" name="Picture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sheet.figure3.png"/>
                    <pic:cNvPicPr/>
                  </pic:nvPicPr>
                  <pic:blipFill>
                    <a:blip r:embed="rId13"/>
                    <a:stretch>
                      <a:fillRect/>
                    </a:stretch>
                  </pic:blipFill>
                  <pic:spPr>
                    <a:xfrm>
                      <a:off x="0" y="0"/>
                      <a:ext cx="5760720" cy="1196457"/>
                    </a:xfrm>
                    <a:prstGeom prst="rect">
                      <a:avLst/>
                    </a:prstGeom>
                  </pic:spPr>
                </pic:pic>
              </a:graphicData>
            </a:graphic>
          </wp:inline>
        </w:drawing>
      </w:r>
    </w:p>
    <w:p w14:paraId="412477D1" w14:textId="77777777" w:rsidR="00022120" w:rsidRDefault="00C02BBA">
      <w:pPr>
        <w:pStyle w:val="Figurecaptioncustom"/>
        <w:jc w:val="center"/>
      </w:pPr>
      <w:r>
        <w:t>Fig. 3  Clear reference blank (left) and seven Stage 1 ONPG assay cuvettes (right). Stronger yellow represents greater ONP formation.</w:t>
      </w:r>
    </w:p>
    <w:p w14:paraId="2F155E00" w14:textId="77777777" w:rsidR="00022120" w:rsidRDefault="00C02BBA">
      <w:pPr>
        <w:pStyle w:val="Heading2"/>
      </w:pPr>
      <w:r>
        <w:t>Experimental ONP Calibration Curve</w:t>
      </w:r>
    </w:p>
    <w:p w14:paraId="61C3EE01" w14:textId="77777777" w:rsidR="00022120" w:rsidRDefault="00C02BBA">
      <w:pPr>
        <w:keepLines/>
      </w:pPr>
      <w:r>
        <w:rPr>
          <w:sz w:val="20"/>
        </w:rPr>
        <w:t>Figure 4 shows eight experimental ONP calibration points and the fitted line. The horizontal axis is ONP concentration [mM] and the vertical axis is absorbance at 415 nm. Use 3.43 mM</w:t>
      </w:r>
      <w:r>
        <w:rPr>
          <w:sz w:val="20"/>
          <w:vertAlign w:val="superscript"/>
        </w:rPr>
        <w:t>−1</w:t>
      </w:r>
      <w:r>
        <w:rPr>
          <w:sz w:val="20"/>
        </w:rPr>
        <w:t xml:space="preserve"> as the calibration slope.</w:t>
      </w:r>
    </w:p>
    <w:p w14:paraId="348E8B8F" w14:textId="77777777" w:rsidR="00022120" w:rsidRDefault="00C02BBA">
      <w:pPr>
        <w:keepNext/>
        <w:keepLines/>
        <w:spacing w:before="60" w:after="40"/>
        <w:jc w:val="center"/>
      </w:pPr>
      <w:r>
        <w:rPr>
          <w:noProof/>
        </w:rPr>
        <w:drawing>
          <wp:inline distT="0" distB="0" distL="0" distR="0" wp14:anchorId="5A94F14D" wp14:editId="1EF9EEB7">
            <wp:extent cx="5900000" cy="3540000"/>
            <wp:effectExtent l="0" t="0" r="0" b="0"/>
            <wp:docPr id="102" name="Editable ONP calibration chart"/>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B8CB5B4" w14:textId="77777777" w:rsidR="00022120" w:rsidRDefault="00C02BBA">
      <w:pPr>
        <w:pStyle w:val="Figurecaptioncustom"/>
        <w:jc w:val="center"/>
      </w:pPr>
      <w:r>
        <w:t>Fig. 4  Experimental ONP calibration data.</w:t>
      </w:r>
    </w:p>
    <w:p w14:paraId="4023A28B" w14:textId="77777777" w:rsidR="00022120" w:rsidRDefault="00000000">
      <w:pPr>
        <w:spacing w:before="60" w:after="120"/>
        <w:jc w:val="center"/>
      </w:pPr>
      <m:oMathPara>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ONP</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nor/>
                    </m:rPr>
                    <m:t>ABS</m:t>
                  </m:r>
                </m:e>
                <m:sub>
                  <m:r>
                    <m:rPr>
                      <m:nor/>
                    </m:rPr>
                    <m:t>415</m:t>
                  </m:r>
                </m:sub>
              </m:sSub>
            </m:num>
            <m:den>
              <m:r>
                <m:rPr>
                  <m:sty m:val="p"/>
                </m:rPr>
                <w:rPr>
                  <w:rFonts w:ascii="Cambria Math" w:hAnsi="Cambria Math"/>
                </w:rPr>
                <m:t>3.43</m:t>
              </m:r>
            </m:den>
          </m:f>
        </m:oMath>
      </m:oMathPara>
    </w:p>
    <w:p w14:paraId="321F7468" w14:textId="77777777" w:rsidR="00022120" w:rsidRDefault="00C02BBA">
      <w:pPr>
        <w:keepLines/>
      </w:pPr>
      <w:r>
        <w:br w:type="page"/>
      </w:r>
    </w:p>
    <w:p w14:paraId="7BC17F50" w14:textId="77777777" w:rsidR="00022120" w:rsidRDefault="00C02BBA">
      <w:pPr>
        <w:pStyle w:val="Heading1"/>
      </w:pPr>
      <w:r>
        <w:rPr>
          <w:rFonts w:ascii="Arial" w:hAnsi="Arial"/>
          <w:sz w:val="22"/>
        </w:rPr>
        <w:lastRenderedPageBreak/>
        <w:t>Experiment 1: Free-Enzyme Kinetics (Stage 1)</w:t>
      </w:r>
    </w:p>
    <w:p w14:paraId="493E0F7B" w14:textId="77777777" w:rsidR="00022120" w:rsidRDefault="00C02BBA">
      <w:pPr>
        <w:keepLines/>
      </w:pPr>
      <w:r>
        <w:t>Purpose: compare seven ONPG concentrations with equal enzyme amount, solution volume, pH and temperature. Six initial rates are supplied laboratory values, and the 39.8 mM virtual assay follows the stated Michaelis–Menten reference model.</w:t>
      </w:r>
    </w:p>
    <w:p w14:paraId="6CE4BF6B" w14:textId="77777777" w:rsidR="00022120" w:rsidRDefault="00C02BBA">
      <w:pPr>
        <w:pStyle w:val="Heading2"/>
      </w:pPr>
      <w:r>
        <w:rPr>
          <w:rFonts w:ascii="Arial" w:hAnsi="Arial"/>
          <w:sz w:val="22"/>
        </w:rPr>
        <w:t>Why the Slope Is Used</w:t>
      </w:r>
    </w:p>
    <w:p w14:paraId="1E904EA1" w14:textId="77777777" w:rsidR="00022120" w:rsidRDefault="00C02BBA">
      <w:pPr>
        <w:keepLines/>
      </w:pPr>
      <w:r>
        <w:rPr>
          <w:sz w:val="22"/>
        </w:rPr>
        <w:t>Each trace plots ONP concentration vs. time. During the first few seconds, the response is treated as approximately linear. The slope of each line is the initial reaction rate.</w:t>
      </w:r>
    </w:p>
    <w:p w14:paraId="2125398D" w14:textId="77777777" w:rsidR="00022120" w:rsidRDefault="00000000">
      <w:pPr>
        <w:spacing w:before="60" w:after="120"/>
        <w:jc w:val="center"/>
      </w:pPr>
      <m:oMathPara>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0</m:t>
              </m: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Δ</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ONP</m:t>
                  </m:r>
                </m:sub>
              </m:sSub>
            </m:num>
            <m:den>
              <m:r>
                <m:rPr>
                  <m:sty m:val="p"/>
                </m:rPr>
                <w:rPr>
                  <w:rFonts w:ascii="Cambria Math" w:hAnsi="Cambria Math"/>
                </w:rPr>
                <m:t>Δt</m:t>
              </m:r>
            </m:den>
          </m:f>
        </m:oMath>
      </m:oMathPara>
    </w:p>
    <w:p w14:paraId="2C1D9F81" w14:textId="77777777" w:rsidR="00022120" w:rsidRDefault="00C02BBA">
      <w:pPr>
        <w:keepLines/>
      </w:pPr>
      <w:r>
        <w:t>The seven initial rates appear together in Stage 2, including the one explicitly simulated 39.8 mM assay.</w:t>
      </w:r>
    </w:p>
    <w:p w14:paraId="077CE412" w14:textId="77777777" w:rsidR="00022120" w:rsidRDefault="00C02BBA">
      <w:pPr>
        <w:pStyle w:val="Heading2"/>
      </w:pPr>
      <w:r>
        <w:rPr>
          <w:rFonts w:ascii="Arial" w:hAnsi="Arial"/>
          <w:sz w:val="22"/>
        </w:rPr>
        <w:t>Procedure</w:t>
      </w:r>
    </w:p>
    <w:p w14:paraId="5D462F99" w14:textId="77777777" w:rsidR="00022120" w:rsidRDefault="00C02BBA">
      <w:pPr>
        <w:keepLines/>
        <w:spacing w:after="80"/>
        <w:ind w:left="331" w:hanging="331"/>
      </w:pPr>
      <w:r>
        <w:t>1. Open Stage 1 and click “Load seven cuvettes.”</w:t>
      </w:r>
    </w:p>
    <w:p w14:paraId="689CEF19" w14:textId="1E3D4056" w:rsidR="00022120" w:rsidRDefault="00C02BBA">
      <w:pPr>
        <w:keepLines/>
        <w:spacing w:after="80"/>
        <w:ind w:left="331" w:hanging="331"/>
      </w:pPr>
      <w:r>
        <w:rPr>
          <w:sz w:val="22"/>
        </w:rPr>
        <w:t xml:space="preserve">2. Click “Blank spectrophotometer.” The background reading is </w:t>
      </w:r>
      <w:r w:rsidR="0069519B">
        <w:rPr>
          <w:sz w:val="22"/>
        </w:rPr>
        <w:t>subtracted,</w:t>
      </w:r>
      <w:r>
        <w:rPr>
          <w:sz w:val="22"/>
        </w:rPr>
        <w:t xml:space="preserve"> and the baseline becomes zero before further color change due to yellow-colored ONP formation.</w:t>
      </w:r>
    </w:p>
    <w:p w14:paraId="678D8F36" w14:textId="77777777" w:rsidR="00022120" w:rsidRDefault="00C02BBA">
      <w:pPr>
        <w:keepLines/>
        <w:spacing w:after="80"/>
        <w:ind w:left="331" w:hanging="331"/>
      </w:pPr>
      <w:r>
        <w:t>3. Click “Start 4.5-s scan.” Seven ONP-concentration-versus-time traces appear together.</w:t>
      </w:r>
    </w:p>
    <w:p w14:paraId="3CBBF17F" w14:textId="77777777" w:rsidR="00022120" w:rsidRDefault="00C02BBA">
      <w:pPr>
        <w:keepLines/>
        <w:spacing w:after="80"/>
        <w:ind w:left="331" w:hanging="331"/>
      </w:pPr>
      <w:r>
        <w:t>4. Click “Show initial rates” and enter the seven values below.</w:t>
      </w:r>
    </w:p>
    <w:tbl>
      <w:tblPr>
        <w:tblW w:w="0" w:type="auto"/>
        <w:jc w:val="center"/>
        <w:tblLayout w:type="fixed"/>
        <w:tblLook w:val="04A0" w:firstRow="1" w:lastRow="0" w:firstColumn="1" w:lastColumn="0" w:noHBand="0" w:noVBand="1"/>
      </w:tblPr>
      <w:tblGrid>
        <w:gridCol w:w="4847"/>
        <w:gridCol w:w="4847"/>
      </w:tblGrid>
      <w:tr w:rsidR="006863C2" w14:paraId="56A19D2A" w14:textId="77777777">
        <w:trPr>
          <w:cantSplit/>
          <w:trHeight w:val="605"/>
          <w:tblHeader/>
          <w:jc w:val="center"/>
        </w:trPr>
        <w:tc>
          <w:tcPr>
            <w:tcW w:w="4847" w:type="dxa"/>
            <w:tcBorders>
              <w:top w:val="single" w:sz="5" w:space="0" w:color="A5BAC2"/>
              <w:left w:val="single" w:sz="5" w:space="0" w:color="A5BAC2"/>
              <w:bottom w:val="single" w:sz="5" w:space="0" w:color="A5BAC2"/>
              <w:right w:val="single" w:sz="5" w:space="0" w:color="A5BAC2"/>
            </w:tcBorders>
            <w:shd w:val="clear" w:color="auto" w:fill="E5EFF3"/>
            <w:tcMar>
              <w:top w:w="90" w:type="dxa"/>
              <w:left w:w="105" w:type="dxa"/>
              <w:bottom w:w="90" w:type="dxa"/>
              <w:right w:w="105" w:type="dxa"/>
            </w:tcMar>
            <w:vAlign w:val="center"/>
          </w:tcPr>
          <w:p w14:paraId="112C57AD" w14:textId="77777777" w:rsidR="006863C2" w:rsidRDefault="00000000">
            <w:pPr>
              <w:spacing w:after="0" w:line="240" w:lineRule="auto"/>
            </w:pPr>
            <w:r>
              <w:rPr>
                <w:rFonts w:ascii="Aptos" w:hAnsi="Aptos"/>
                <w:b/>
                <w:color w:val="0D3245"/>
                <w:sz w:val="19"/>
              </w:rPr>
              <w:t>Initial ONPG concentration, C</w:t>
            </w:r>
            <w:r>
              <w:rPr>
                <w:rFonts w:ascii="Aptos" w:hAnsi="Aptos"/>
                <w:b/>
                <w:color w:val="0D3245"/>
                <w:sz w:val="19"/>
                <w:vertAlign w:val="subscript"/>
              </w:rPr>
              <w:t>ONPG,0</w:t>
            </w:r>
            <w:r>
              <w:rPr>
                <w:rFonts w:ascii="Aptos" w:hAnsi="Aptos"/>
                <w:b/>
                <w:color w:val="0D3245"/>
                <w:sz w:val="19"/>
              </w:rPr>
              <w:t xml:space="preserve"> [mM]</w:t>
            </w:r>
          </w:p>
        </w:tc>
        <w:tc>
          <w:tcPr>
            <w:tcW w:w="4847" w:type="dxa"/>
            <w:tcBorders>
              <w:top w:val="single" w:sz="5" w:space="0" w:color="A5BAC2"/>
              <w:left w:val="single" w:sz="5" w:space="0" w:color="A5BAC2"/>
              <w:bottom w:val="single" w:sz="5" w:space="0" w:color="A5BAC2"/>
              <w:right w:val="single" w:sz="5" w:space="0" w:color="A5BAC2"/>
            </w:tcBorders>
            <w:shd w:val="clear" w:color="auto" w:fill="E5EFF3"/>
            <w:tcMar>
              <w:top w:w="90" w:type="dxa"/>
              <w:left w:w="105" w:type="dxa"/>
              <w:bottom w:w="90" w:type="dxa"/>
              <w:right w:w="105" w:type="dxa"/>
            </w:tcMar>
            <w:vAlign w:val="center"/>
          </w:tcPr>
          <w:p w14:paraId="6D2C46B6" w14:textId="77777777" w:rsidR="006863C2" w:rsidRDefault="00000000">
            <w:pPr>
              <w:spacing w:after="0" w:line="240" w:lineRule="auto"/>
            </w:pPr>
            <w:r>
              <w:rPr>
                <w:rFonts w:ascii="Aptos" w:hAnsi="Aptos"/>
                <w:b/>
                <w:color w:val="0D3245"/>
                <w:sz w:val="19"/>
              </w:rPr>
              <w:t>Initial rate, v</w:t>
            </w:r>
            <w:r>
              <w:rPr>
                <w:rFonts w:ascii="Aptos" w:hAnsi="Aptos"/>
                <w:b/>
                <w:color w:val="0D3245"/>
                <w:sz w:val="19"/>
                <w:vertAlign w:val="subscript"/>
              </w:rPr>
              <w:t>0</w:t>
            </w:r>
            <w:r>
              <w:rPr>
                <w:rFonts w:ascii="Aptos" w:hAnsi="Aptos"/>
                <w:b/>
                <w:color w:val="0D3245"/>
                <w:sz w:val="19"/>
              </w:rPr>
              <w:t xml:space="preserve"> [mM/s]</w:t>
            </w:r>
          </w:p>
        </w:tc>
      </w:tr>
      <w:tr w:rsidR="006863C2" w14:paraId="353BD654" w14:textId="77777777">
        <w:trPr>
          <w:cantSplit/>
          <w:trHeight w:val="475"/>
          <w:jc w:val="center"/>
        </w:trPr>
        <w:tc>
          <w:tcPr>
            <w:tcW w:w="4847" w:type="dxa"/>
            <w:tcBorders>
              <w:top w:val="single" w:sz="5" w:space="0" w:color="A5BAC2"/>
              <w:left w:val="single" w:sz="5" w:space="0" w:color="A5BAC2"/>
              <w:bottom w:val="single" w:sz="5" w:space="0" w:color="A5BAC2"/>
              <w:right w:val="single" w:sz="5" w:space="0" w:color="A5BAC2"/>
            </w:tcBorders>
            <w:shd w:val="clear" w:color="auto" w:fill="FFFFFF"/>
            <w:tcMar>
              <w:top w:w="90" w:type="dxa"/>
              <w:left w:w="105" w:type="dxa"/>
              <w:bottom w:w="90" w:type="dxa"/>
              <w:right w:w="105" w:type="dxa"/>
            </w:tcMar>
            <w:vAlign w:val="center"/>
          </w:tcPr>
          <w:p w14:paraId="11174793" w14:textId="77777777" w:rsidR="006863C2" w:rsidRDefault="00000000">
            <w:pPr>
              <w:spacing w:after="0" w:line="240" w:lineRule="auto"/>
              <w:jc w:val="center"/>
            </w:pPr>
            <w:r>
              <w:rPr>
                <w:rFonts w:ascii="Aptos" w:hAnsi="Aptos"/>
                <w:sz w:val="19"/>
              </w:rPr>
              <w:t>0.622</w:t>
            </w:r>
          </w:p>
        </w:tc>
        <w:tc>
          <w:tcPr>
            <w:tcW w:w="4847" w:type="dxa"/>
            <w:tcBorders>
              <w:top w:val="single" w:sz="5" w:space="0" w:color="A5BAC2"/>
              <w:left w:val="single" w:sz="5" w:space="0" w:color="A5BAC2"/>
              <w:bottom w:val="single" w:sz="5" w:space="0" w:color="A5BAC2"/>
              <w:right w:val="single" w:sz="5" w:space="0" w:color="A5BAC2"/>
            </w:tcBorders>
            <w:shd w:val="clear" w:color="auto" w:fill="FFFFFF"/>
            <w:tcMar>
              <w:top w:w="90" w:type="dxa"/>
              <w:left w:w="105" w:type="dxa"/>
              <w:bottom w:w="90" w:type="dxa"/>
              <w:right w:w="105" w:type="dxa"/>
            </w:tcMar>
            <w:vAlign w:val="center"/>
          </w:tcPr>
          <w:p w14:paraId="45219AC8" w14:textId="77777777" w:rsidR="006863C2" w:rsidRDefault="006863C2">
            <w:pPr>
              <w:spacing w:after="0" w:line="240" w:lineRule="auto"/>
              <w:jc w:val="center"/>
            </w:pPr>
          </w:p>
        </w:tc>
      </w:tr>
      <w:tr w:rsidR="006863C2" w14:paraId="0B7ADA58" w14:textId="77777777">
        <w:trPr>
          <w:cantSplit/>
          <w:trHeight w:val="475"/>
          <w:jc w:val="center"/>
        </w:trPr>
        <w:tc>
          <w:tcPr>
            <w:tcW w:w="4847" w:type="dxa"/>
            <w:tcBorders>
              <w:top w:val="single" w:sz="5" w:space="0" w:color="A5BAC2"/>
              <w:left w:val="single" w:sz="5" w:space="0" w:color="A5BAC2"/>
              <w:bottom w:val="single" w:sz="5" w:space="0" w:color="A5BAC2"/>
              <w:right w:val="single" w:sz="5" w:space="0" w:color="A5BAC2"/>
            </w:tcBorders>
            <w:shd w:val="clear" w:color="auto" w:fill="F5F8F9"/>
            <w:tcMar>
              <w:top w:w="90" w:type="dxa"/>
              <w:left w:w="105" w:type="dxa"/>
              <w:bottom w:w="90" w:type="dxa"/>
              <w:right w:w="105" w:type="dxa"/>
            </w:tcMar>
            <w:vAlign w:val="center"/>
          </w:tcPr>
          <w:p w14:paraId="539A2F07" w14:textId="77777777" w:rsidR="006863C2" w:rsidRDefault="00000000">
            <w:pPr>
              <w:spacing w:after="0" w:line="240" w:lineRule="auto"/>
              <w:jc w:val="center"/>
            </w:pPr>
            <w:r>
              <w:rPr>
                <w:rFonts w:ascii="Aptos" w:hAnsi="Aptos"/>
                <w:sz w:val="19"/>
              </w:rPr>
              <w:t>1.24</w:t>
            </w:r>
          </w:p>
        </w:tc>
        <w:tc>
          <w:tcPr>
            <w:tcW w:w="4847" w:type="dxa"/>
            <w:tcBorders>
              <w:top w:val="single" w:sz="5" w:space="0" w:color="A5BAC2"/>
              <w:left w:val="single" w:sz="5" w:space="0" w:color="A5BAC2"/>
              <w:bottom w:val="single" w:sz="5" w:space="0" w:color="A5BAC2"/>
              <w:right w:val="single" w:sz="5" w:space="0" w:color="A5BAC2"/>
            </w:tcBorders>
            <w:shd w:val="clear" w:color="auto" w:fill="F5F8F9"/>
            <w:tcMar>
              <w:top w:w="90" w:type="dxa"/>
              <w:left w:w="105" w:type="dxa"/>
              <w:bottom w:w="90" w:type="dxa"/>
              <w:right w:w="105" w:type="dxa"/>
            </w:tcMar>
            <w:vAlign w:val="center"/>
          </w:tcPr>
          <w:p w14:paraId="5D0B0991" w14:textId="77777777" w:rsidR="006863C2" w:rsidRDefault="006863C2">
            <w:pPr>
              <w:spacing w:after="0" w:line="240" w:lineRule="auto"/>
              <w:jc w:val="center"/>
            </w:pPr>
          </w:p>
        </w:tc>
      </w:tr>
      <w:tr w:rsidR="006863C2" w14:paraId="25960D6A" w14:textId="77777777">
        <w:trPr>
          <w:cantSplit/>
          <w:trHeight w:val="475"/>
          <w:jc w:val="center"/>
        </w:trPr>
        <w:tc>
          <w:tcPr>
            <w:tcW w:w="4847" w:type="dxa"/>
            <w:tcBorders>
              <w:top w:val="single" w:sz="5" w:space="0" w:color="A5BAC2"/>
              <w:left w:val="single" w:sz="5" w:space="0" w:color="A5BAC2"/>
              <w:bottom w:val="single" w:sz="5" w:space="0" w:color="A5BAC2"/>
              <w:right w:val="single" w:sz="5" w:space="0" w:color="A5BAC2"/>
            </w:tcBorders>
            <w:shd w:val="clear" w:color="auto" w:fill="FFFFFF"/>
            <w:tcMar>
              <w:top w:w="90" w:type="dxa"/>
              <w:left w:w="105" w:type="dxa"/>
              <w:bottom w:w="90" w:type="dxa"/>
              <w:right w:w="105" w:type="dxa"/>
            </w:tcMar>
            <w:vAlign w:val="center"/>
          </w:tcPr>
          <w:p w14:paraId="03170D35" w14:textId="77777777" w:rsidR="006863C2" w:rsidRDefault="00000000">
            <w:pPr>
              <w:spacing w:after="0" w:line="240" w:lineRule="auto"/>
              <w:jc w:val="center"/>
            </w:pPr>
            <w:r>
              <w:rPr>
                <w:rFonts w:ascii="Aptos" w:hAnsi="Aptos"/>
                <w:sz w:val="19"/>
              </w:rPr>
              <w:t>2.49</w:t>
            </w:r>
          </w:p>
        </w:tc>
        <w:tc>
          <w:tcPr>
            <w:tcW w:w="4847" w:type="dxa"/>
            <w:tcBorders>
              <w:top w:val="single" w:sz="5" w:space="0" w:color="A5BAC2"/>
              <w:left w:val="single" w:sz="5" w:space="0" w:color="A5BAC2"/>
              <w:bottom w:val="single" w:sz="5" w:space="0" w:color="A5BAC2"/>
              <w:right w:val="single" w:sz="5" w:space="0" w:color="A5BAC2"/>
            </w:tcBorders>
            <w:shd w:val="clear" w:color="auto" w:fill="FFFFFF"/>
            <w:tcMar>
              <w:top w:w="90" w:type="dxa"/>
              <w:left w:w="105" w:type="dxa"/>
              <w:bottom w:w="90" w:type="dxa"/>
              <w:right w:w="105" w:type="dxa"/>
            </w:tcMar>
            <w:vAlign w:val="center"/>
          </w:tcPr>
          <w:p w14:paraId="26625650" w14:textId="77777777" w:rsidR="006863C2" w:rsidRDefault="006863C2">
            <w:pPr>
              <w:spacing w:after="0" w:line="240" w:lineRule="auto"/>
              <w:jc w:val="center"/>
            </w:pPr>
          </w:p>
        </w:tc>
      </w:tr>
      <w:tr w:rsidR="006863C2" w14:paraId="5576C445" w14:textId="77777777">
        <w:trPr>
          <w:cantSplit/>
          <w:trHeight w:val="475"/>
          <w:jc w:val="center"/>
        </w:trPr>
        <w:tc>
          <w:tcPr>
            <w:tcW w:w="4847" w:type="dxa"/>
            <w:tcBorders>
              <w:top w:val="single" w:sz="5" w:space="0" w:color="A5BAC2"/>
              <w:left w:val="single" w:sz="5" w:space="0" w:color="A5BAC2"/>
              <w:bottom w:val="single" w:sz="5" w:space="0" w:color="A5BAC2"/>
              <w:right w:val="single" w:sz="5" w:space="0" w:color="A5BAC2"/>
            </w:tcBorders>
            <w:shd w:val="clear" w:color="auto" w:fill="F5F8F9"/>
            <w:tcMar>
              <w:top w:w="90" w:type="dxa"/>
              <w:left w:w="105" w:type="dxa"/>
              <w:bottom w:w="90" w:type="dxa"/>
              <w:right w:w="105" w:type="dxa"/>
            </w:tcMar>
            <w:vAlign w:val="center"/>
          </w:tcPr>
          <w:p w14:paraId="088D5787" w14:textId="77777777" w:rsidR="006863C2" w:rsidRDefault="00000000">
            <w:pPr>
              <w:spacing w:after="0" w:line="240" w:lineRule="auto"/>
              <w:jc w:val="center"/>
            </w:pPr>
            <w:r>
              <w:rPr>
                <w:rFonts w:ascii="Aptos" w:hAnsi="Aptos"/>
                <w:sz w:val="19"/>
              </w:rPr>
              <w:t>4.97</w:t>
            </w:r>
          </w:p>
        </w:tc>
        <w:tc>
          <w:tcPr>
            <w:tcW w:w="4847" w:type="dxa"/>
            <w:tcBorders>
              <w:top w:val="single" w:sz="5" w:space="0" w:color="A5BAC2"/>
              <w:left w:val="single" w:sz="5" w:space="0" w:color="A5BAC2"/>
              <w:bottom w:val="single" w:sz="5" w:space="0" w:color="A5BAC2"/>
              <w:right w:val="single" w:sz="5" w:space="0" w:color="A5BAC2"/>
            </w:tcBorders>
            <w:shd w:val="clear" w:color="auto" w:fill="F5F8F9"/>
            <w:tcMar>
              <w:top w:w="90" w:type="dxa"/>
              <w:left w:w="105" w:type="dxa"/>
              <w:bottom w:w="90" w:type="dxa"/>
              <w:right w:w="105" w:type="dxa"/>
            </w:tcMar>
            <w:vAlign w:val="center"/>
          </w:tcPr>
          <w:p w14:paraId="31639C7A" w14:textId="77777777" w:rsidR="006863C2" w:rsidRDefault="006863C2">
            <w:pPr>
              <w:spacing w:after="0" w:line="240" w:lineRule="auto"/>
              <w:jc w:val="center"/>
            </w:pPr>
          </w:p>
        </w:tc>
      </w:tr>
      <w:tr w:rsidR="006863C2" w14:paraId="7700EFA2" w14:textId="77777777">
        <w:trPr>
          <w:cantSplit/>
          <w:trHeight w:val="475"/>
          <w:jc w:val="center"/>
        </w:trPr>
        <w:tc>
          <w:tcPr>
            <w:tcW w:w="4847" w:type="dxa"/>
            <w:tcBorders>
              <w:top w:val="single" w:sz="5" w:space="0" w:color="A5BAC2"/>
              <w:left w:val="single" w:sz="5" w:space="0" w:color="A5BAC2"/>
              <w:bottom w:val="single" w:sz="5" w:space="0" w:color="A5BAC2"/>
              <w:right w:val="single" w:sz="5" w:space="0" w:color="A5BAC2"/>
            </w:tcBorders>
            <w:shd w:val="clear" w:color="auto" w:fill="FFFFFF"/>
            <w:tcMar>
              <w:top w:w="90" w:type="dxa"/>
              <w:left w:w="105" w:type="dxa"/>
              <w:bottom w:w="90" w:type="dxa"/>
              <w:right w:w="105" w:type="dxa"/>
            </w:tcMar>
            <w:vAlign w:val="center"/>
          </w:tcPr>
          <w:p w14:paraId="48545DA3" w14:textId="77777777" w:rsidR="006863C2" w:rsidRDefault="00000000">
            <w:pPr>
              <w:spacing w:after="0" w:line="240" w:lineRule="auto"/>
              <w:jc w:val="center"/>
            </w:pPr>
            <w:r>
              <w:rPr>
                <w:rFonts w:ascii="Aptos" w:hAnsi="Aptos"/>
                <w:sz w:val="19"/>
              </w:rPr>
              <w:t>9.95</w:t>
            </w:r>
          </w:p>
        </w:tc>
        <w:tc>
          <w:tcPr>
            <w:tcW w:w="4847" w:type="dxa"/>
            <w:tcBorders>
              <w:top w:val="single" w:sz="5" w:space="0" w:color="A5BAC2"/>
              <w:left w:val="single" w:sz="5" w:space="0" w:color="A5BAC2"/>
              <w:bottom w:val="single" w:sz="5" w:space="0" w:color="A5BAC2"/>
              <w:right w:val="single" w:sz="5" w:space="0" w:color="A5BAC2"/>
            </w:tcBorders>
            <w:shd w:val="clear" w:color="auto" w:fill="FFFFFF"/>
            <w:tcMar>
              <w:top w:w="90" w:type="dxa"/>
              <w:left w:w="105" w:type="dxa"/>
              <w:bottom w:w="90" w:type="dxa"/>
              <w:right w:w="105" w:type="dxa"/>
            </w:tcMar>
            <w:vAlign w:val="center"/>
          </w:tcPr>
          <w:p w14:paraId="6799167F" w14:textId="77777777" w:rsidR="006863C2" w:rsidRDefault="006863C2">
            <w:pPr>
              <w:spacing w:after="0" w:line="240" w:lineRule="auto"/>
              <w:jc w:val="center"/>
            </w:pPr>
          </w:p>
        </w:tc>
      </w:tr>
      <w:tr w:rsidR="006863C2" w14:paraId="5C8B45CE" w14:textId="77777777">
        <w:trPr>
          <w:cantSplit/>
          <w:trHeight w:val="475"/>
          <w:jc w:val="center"/>
        </w:trPr>
        <w:tc>
          <w:tcPr>
            <w:tcW w:w="4847" w:type="dxa"/>
            <w:tcBorders>
              <w:top w:val="single" w:sz="5" w:space="0" w:color="A5BAC2"/>
              <w:left w:val="single" w:sz="5" w:space="0" w:color="A5BAC2"/>
              <w:bottom w:val="single" w:sz="5" w:space="0" w:color="A5BAC2"/>
              <w:right w:val="single" w:sz="5" w:space="0" w:color="A5BAC2"/>
            </w:tcBorders>
            <w:shd w:val="clear" w:color="auto" w:fill="F5F8F9"/>
            <w:tcMar>
              <w:top w:w="90" w:type="dxa"/>
              <w:left w:w="105" w:type="dxa"/>
              <w:bottom w:w="90" w:type="dxa"/>
              <w:right w:w="105" w:type="dxa"/>
            </w:tcMar>
            <w:vAlign w:val="center"/>
          </w:tcPr>
          <w:p w14:paraId="79F61076" w14:textId="77777777" w:rsidR="006863C2" w:rsidRDefault="00000000">
            <w:pPr>
              <w:spacing w:after="0" w:line="240" w:lineRule="auto"/>
              <w:jc w:val="center"/>
            </w:pPr>
            <w:r>
              <w:rPr>
                <w:rFonts w:ascii="Aptos" w:hAnsi="Aptos"/>
                <w:sz w:val="19"/>
              </w:rPr>
              <w:t>19.9</w:t>
            </w:r>
          </w:p>
        </w:tc>
        <w:tc>
          <w:tcPr>
            <w:tcW w:w="4847" w:type="dxa"/>
            <w:tcBorders>
              <w:top w:val="single" w:sz="5" w:space="0" w:color="A5BAC2"/>
              <w:left w:val="single" w:sz="5" w:space="0" w:color="A5BAC2"/>
              <w:bottom w:val="single" w:sz="5" w:space="0" w:color="A5BAC2"/>
              <w:right w:val="single" w:sz="5" w:space="0" w:color="A5BAC2"/>
            </w:tcBorders>
            <w:shd w:val="clear" w:color="auto" w:fill="F5F8F9"/>
            <w:tcMar>
              <w:top w:w="90" w:type="dxa"/>
              <w:left w:w="105" w:type="dxa"/>
              <w:bottom w:w="90" w:type="dxa"/>
              <w:right w:w="105" w:type="dxa"/>
            </w:tcMar>
            <w:vAlign w:val="center"/>
          </w:tcPr>
          <w:p w14:paraId="6FE26D62" w14:textId="77777777" w:rsidR="006863C2" w:rsidRDefault="006863C2">
            <w:pPr>
              <w:spacing w:after="0" w:line="240" w:lineRule="auto"/>
              <w:jc w:val="center"/>
            </w:pPr>
          </w:p>
        </w:tc>
      </w:tr>
      <w:tr w:rsidR="006863C2" w14:paraId="09EA7968" w14:textId="77777777">
        <w:trPr>
          <w:cantSplit/>
          <w:trHeight w:val="475"/>
          <w:jc w:val="center"/>
        </w:trPr>
        <w:tc>
          <w:tcPr>
            <w:tcW w:w="4847" w:type="dxa"/>
            <w:tcBorders>
              <w:top w:val="single" w:sz="5" w:space="0" w:color="A5BAC2"/>
              <w:left w:val="single" w:sz="5" w:space="0" w:color="A5BAC2"/>
              <w:bottom w:val="single" w:sz="5" w:space="0" w:color="A5BAC2"/>
              <w:right w:val="single" w:sz="5" w:space="0" w:color="A5BAC2"/>
            </w:tcBorders>
            <w:shd w:val="clear" w:color="auto" w:fill="FFFFFF"/>
            <w:tcMar>
              <w:top w:w="90" w:type="dxa"/>
              <w:left w:w="105" w:type="dxa"/>
              <w:bottom w:w="90" w:type="dxa"/>
              <w:right w:w="105" w:type="dxa"/>
            </w:tcMar>
            <w:vAlign w:val="center"/>
          </w:tcPr>
          <w:p w14:paraId="6601DDC1" w14:textId="77777777" w:rsidR="006863C2" w:rsidRDefault="00000000">
            <w:pPr>
              <w:spacing w:after="0" w:line="240" w:lineRule="auto"/>
              <w:jc w:val="center"/>
            </w:pPr>
            <w:r>
              <w:rPr>
                <w:rFonts w:ascii="Aptos" w:hAnsi="Aptos"/>
                <w:sz w:val="19"/>
              </w:rPr>
              <w:t>39.8</w:t>
            </w:r>
          </w:p>
        </w:tc>
        <w:tc>
          <w:tcPr>
            <w:tcW w:w="4847" w:type="dxa"/>
            <w:tcBorders>
              <w:top w:val="single" w:sz="5" w:space="0" w:color="A5BAC2"/>
              <w:left w:val="single" w:sz="5" w:space="0" w:color="A5BAC2"/>
              <w:bottom w:val="single" w:sz="5" w:space="0" w:color="A5BAC2"/>
              <w:right w:val="single" w:sz="5" w:space="0" w:color="A5BAC2"/>
            </w:tcBorders>
            <w:shd w:val="clear" w:color="auto" w:fill="FFFFFF"/>
            <w:tcMar>
              <w:top w:w="90" w:type="dxa"/>
              <w:left w:w="105" w:type="dxa"/>
              <w:bottom w:w="90" w:type="dxa"/>
              <w:right w:w="105" w:type="dxa"/>
            </w:tcMar>
            <w:vAlign w:val="center"/>
          </w:tcPr>
          <w:p w14:paraId="70A520DC" w14:textId="77777777" w:rsidR="006863C2" w:rsidRDefault="006863C2">
            <w:pPr>
              <w:spacing w:after="0" w:line="240" w:lineRule="auto"/>
              <w:jc w:val="center"/>
            </w:pPr>
          </w:p>
        </w:tc>
      </w:tr>
    </w:tbl>
    <w:p w14:paraId="03404A66" w14:textId="6EFDEECD" w:rsidR="00022120" w:rsidRDefault="00C02BBA">
      <w:pPr>
        <w:keepLines/>
        <w:spacing w:before="100" w:after="60"/>
        <w:ind w:left="331" w:hanging="331"/>
      </w:pPr>
      <w:r>
        <w:t xml:space="preserve">1. Compare the slopes at 0.622 and 4.97 mM, and then at 19.9 and 39.8 mM ONPG. Explain why the rate increases more slowly as substrate becomes </w:t>
      </w:r>
      <w:r w:rsidR="00866CD8">
        <w:t>abundant</w:t>
      </w:r>
      <w:r>
        <w:t>.</w:t>
      </w:r>
    </w:p>
    <w:p w14:paraId="5472E6B2" w14:textId="77777777" w:rsidR="00022120" w:rsidRDefault="00C02BBA">
      <w:pPr>
        <w:pStyle w:val="Answerline"/>
        <w:keepLines/>
        <w:pBdr>
          <w:bottom w:val="single" w:sz="5" w:space="1" w:color="B5C4CC"/>
          <w:between w:val="single" w:sz="5" w:space="1" w:color="B5C4CC"/>
        </w:pBdr>
        <w:spacing w:after="80"/>
      </w:pPr>
      <w:r>
        <w:t> </w:t>
      </w:r>
    </w:p>
    <w:p w14:paraId="57092AFC" w14:textId="77777777" w:rsidR="00022120" w:rsidRDefault="00C02BBA">
      <w:pPr>
        <w:pStyle w:val="Answerline"/>
        <w:keepLines/>
        <w:pBdr>
          <w:bottom w:val="single" w:sz="5" w:space="1" w:color="B5C4CC"/>
          <w:between w:val="single" w:sz="5" w:space="1" w:color="B5C4CC"/>
        </w:pBdr>
        <w:spacing w:after="80"/>
      </w:pPr>
      <w:r>
        <w:t> </w:t>
      </w:r>
    </w:p>
    <w:p w14:paraId="15C2DABE" w14:textId="77777777" w:rsidR="00022120" w:rsidRDefault="00C02BBA">
      <w:pPr>
        <w:pStyle w:val="Answerline"/>
        <w:keepLines/>
        <w:pBdr>
          <w:bottom w:val="single" w:sz="5" w:space="1" w:color="B5C4CC"/>
          <w:between w:val="single" w:sz="5" w:space="1" w:color="B5C4CC"/>
        </w:pBdr>
        <w:spacing w:after="80"/>
      </w:pPr>
      <w:r>
        <w:t> </w:t>
      </w:r>
    </w:p>
    <w:p w14:paraId="6F4E72A7" w14:textId="77777777" w:rsidR="00022120" w:rsidRDefault="00C02BBA">
      <w:pPr>
        <w:keepLines/>
      </w:pPr>
      <w:r>
        <w:br w:type="page"/>
      </w:r>
    </w:p>
    <w:p w14:paraId="2F916362" w14:textId="77777777" w:rsidR="006863C2" w:rsidRDefault="00000000">
      <w:r>
        <w:rPr>
          <w:b/>
        </w:rPr>
        <w:lastRenderedPageBreak/>
        <w:t>When this stage is complete,</w:t>
      </w:r>
      <w:r>
        <w:t xml:space="preserve"> click “Continue to Stage 2” at the bottom of the simulation.</w:t>
      </w:r>
    </w:p>
    <w:p w14:paraId="779E8409" w14:textId="77777777" w:rsidR="00022120" w:rsidRDefault="00C02BBA">
      <w:pPr>
        <w:pStyle w:val="Heading1"/>
      </w:pPr>
      <w:r>
        <w:rPr>
          <w:rFonts w:ascii="Arial" w:hAnsi="Arial"/>
          <w:sz w:val="22"/>
        </w:rPr>
        <w:t>Experiment 1: Michaelis–Menten Analysis (Stage 2)</w:t>
      </w:r>
    </w:p>
    <w:p w14:paraId="173C3A85" w14:textId="77777777" w:rsidR="006863C2" w:rsidRDefault="00000000">
      <w:pPr>
        <w:pStyle w:val="Heading2"/>
      </w:pPr>
      <w:r>
        <w:t>Procedure</w:t>
      </w:r>
    </w:p>
    <w:p w14:paraId="7C9DAD7F" w14:textId="77777777" w:rsidR="006863C2" w:rsidRDefault="00000000">
      <w:r>
        <w:t>1. After completing Stage 1, click “Continue to Stage 2” at the bottom of the simulation.</w:t>
      </w:r>
    </w:p>
    <w:p w14:paraId="4815CF48" w14:textId="77777777" w:rsidR="006863C2" w:rsidRDefault="00000000">
      <w:r>
        <w:t>2. Before building the plot, complete the prediction in Question 2 on Fig. 5. Then click “Build kinetics plot” in the simulation.</w:t>
      </w:r>
    </w:p>
    <w:p w14:paraId="07BDD799" w14:textId="77777777" w:rsidR="006863C2" w:rsidRDefault="00000000">
      <w:r>
        <w:t>3. Click “Show half-maximum guide” in the simulation and use the displayed curve to answer Questions 3–4.</w:t>
      </w:r>
    </w:p>
    <w:p w14:paraId="74310A94" w14:textId="77777777" w:rsidR="0069519B" w:rsidRDefault="0069519B"/>
    <w:p w14:paraId="6710ED36" w14:textId="77777777" w:rsidR="00022120" w:rsidRDefault="00C02BBA">
      <w:pPr>
        <w:keepNext/>
        <w:keepLines/>
        <w:spacing w:before="60" w:after="40"/>
        <w:jc w:val="center"/>
      </w:pPr>
      <w:r>
        <w:rPr>
          <w:noProof/>
        </w:rPr>
        <w:drawing>
          <wp:inline distT="0" distB="0" distL="0" distR="0" wp14:anchorId="1448AA10" wp14:editId="42B0EA0D">
            <wp:extent cx="5303520" cy="2788920"/>
            <wp:effectExtent l="0" t="0" r="0" b="0"/>
            <wp:docPr id="503" name="Editable Word 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15835A55" w14:textId="42DCEA80" w:rsidR="00022120" w:rsidRDefault="00C02BBA" w:rsidP="0069519B">
      <w:pPr>
        <w:pStyle w:val="Figurecaptioncustom"/>
        <w:jc w:val="center"/>
      </w:pPr>
      <w:r>
        <w:t>Fig. 5. Initial-rate prediction graph (0–40 mM ONPG). Sketch your expected curve.</w:t>
      </w:r>
    </w:p>
    <w:p w14:paraId="65B7F68D" w14:textId="445A0A49" w:rsidR="0069519B" w:rsidRDefault="0069519B" w:rsidP="0069519B">
      <w:pPr>
        <w:keepLines/>
        <w:spacing w:after="80"/>
        <w:ind w:left="331" w:hanging="331"/>
      </w:pPr>
      <w:r>
        <w:t>2. Predict the shape of initial rate v</w:t>
      </w:r>
      <w:r>
        <w:rPr>
          <w:vertAlign w:val="subscript"/>
        </w:rPr>
        <w:t>0</w:t>
      </w:r>
      <w:r>
        <w:t xml:space="preserve"> versus initial ONPG concentration C</w:t>
      </w:r>
      <w:r>
        <w:rPr>
          <w:vertAlign w:val="subscript"/>
        </w:rPr>
        <w:t>ONPG,0</w:t>
      </w:r>
      <w:r>
        <w:t xml:space="preserve"> from 0 to 40 </w:t>
      </w:r>
      <w:proofErr w:type="spellStart"/>
      <w:r>
        <w:t>mM.</w:t>
      </w:r>
      <w:proofErr w:type="spellEnd"/>
      <w:r>
        <w:t xml:space="preserve"> Sketch your prediction on Fig. 5 and explain the expected </w:t>
      </w:r>
      <w:r w:rsidR="00A55B1F">
        <w:t>trends</w:t>
      </w:r>
      <w:r>
        <w:t>.</w:t>
      </w:r>
    </w:p>
    <w:p w14:paraId="356D55D8" w14:textId="77777777" w:rsidR="0069519B" w:rsidRDefault="0069519B" w:rsidP="0069519B">
      <w:pPr>
        <w:pStyle w:val="Answerline"/>
        <w:keepLines/>
        <w:pBdr>
          <w:bottom w:val="single" w:sz="5" w:space="1" w:color="B5C4CC"/>
          <w:between w:val="single" w:sz="5" w:space="1" w:color="B5C4CC"/>
        </w:pBdr>
        <w:spacing w:after="80"/>
      </w:pPr>
      <w:r>
        <w:t> </w:t>
      </w:r>
    </w:p>
    <w:p w14:paraId="3E8303F4" w14:textId="77777777" w:rsidR="0069519B" w:rsidRDefault="0069519B" w:rsidP="0069519B">
      <w:pPr>
        <w:pStyle w:val="Answerline"/>
        <w:keepLines/>
        <w:pBdr>
          <w:bottom w:val="single" w:sz="5" w:space="1" w:color="B5C4CC"/>
          <w:between w:val="single" w:sz="5" w:space="1" w:color="B5C4CC"/>
        </w:pBdr>
        <w:spacing w:after="80"/>
      </w:pPr>
      <w:r>
        <w:t> </w:t>
      </w:r>
    </w:p>
    <w:p w14:paraId="433B823B" w14:textId="77777777" w:rsidR="0069519B" w:rsidRDefault="0069519B" w:rsidP="0069519B">
      <w:pPr>
        <w:pStyle w:val="Answerline"/>
        <w:keepLines/>
        <w:pBdr>
          <w:bottom w:val="single" w:sz="5" w:space="1" w:color="B5C4CC"/>
          <w:between w:val="single" w:sz="5" w:space="1" w:color="B5C4CC"/>
        </w:pBdr>
        <w:spacing w:after="80"/>
      </w:pPr>
      <w:r>
        <w:t> </w:t>
      </w:r>
    </w:p>
    <w:p w14:paraId="40D8E8B5" w14:textId="747331D6" w:rsidR="00022120" w:rsidRDefault="00C02BBA">
      <w:pPr>
        <w:pStyle w:val="Heading2"/>
      </w:pPr>
      <w:r>
        <w:t>Stage 2 Questions: Interpretation of Kinetics</w:t>
      </w:r>
    </w:p>
    <w:p w14:paraId="5C64512D" w14:textId="735063BA" w:rsidR="00022120" w:rsidRDefault="00C02BBA" w:rsidP="007C2EA0">
      <w:pPr>
        <w:keepLines/>
        <w:spacing w:after="80"/>
        <w:ind w:left="331" w:hanging="331"/>
      </w:pPr>
      <w:r>
        <w:t xml:space="preserve">3. </w:t>
      </w:r>
      <w:r w:rsidR="007C2EA0" w:rsidRPr="007C2EA0">
        <w:t xml:space="preserve">After clicking </w:t>
      </w:r>
      <w:r w:rsidR="007C2EA0" w:rsidRPr="007C2EA0">
        <w:rPr>
          <w:b/>
          <w:bCs/>
        </w:rPr>
        <w:t>“Build kinetics plot”</w:t>
      </w:r>
      <w:r w:rsidR="007C2EA0" w:rsidRPr="007C2EA0">
        <w:t xml:space="preserve"> in Stage 2 of the simulation, compare the displayed curve with your prediction in Fig. 5. Does the simulation agree with your prediction? Based on the simulation curve,</w:t>
      </w:r>
      <w:r w:rsidR="007C2EA0">
        <w:t xml:space="preserve"> </w:t>
      </w:r>
      <w:r>
        <w:t>describe how v</w:t>
      </w:r>
      <w:r>
        <w:rPr>
          <w:vertAlign w:val="subscript"/>
        </w:rPr>
        <w:t>0</w:t>
      </w:r>
      <w:r>
        <w:t xml:space="preserve"> changes with initial ONPG concentration.</w:t>
      </w:r>
    </w:p>
    <w:p w14:paraId="0F8B1AFE" w14:textId="77777777" w:rsidR="00022120" w:rsidRDefault="00C02BBA">
      <w:pPr>
        <w:pStyle w:val="Answerline"/>
        <w:keepLines/>
        <w:pBdr>
          <w:bottom w:val="single" w:sz="5" w:space="1" w:color="B5C4CC"/>
          <w:between w:val="single" w:sz="5" w:space="1" w:color="B5C4CC"/>
        </w:pBdr>
        <w:spacing w:after="80"/>
      </w:pPr>
      <w:r>
        <w:t> </w:t>
      </w:r>
    </w:p>
    <w:p w14:paraId="2C29EACF" w14:textId="77777777" w:rsidR="0069519B" w:rsidRDefault="0069519B">
      <w:pPr>
        <w:pStyle w:val="Answerline"/>
        <w:keepLines/>
        <w:pBdr>
          <w:bottom w:val="single" w:sz="5" w:space="1" w:color="B5C4CC"/>
          <w:between w:val="single" w:sz="5" w:space="1" w:color="B5C4CC"/>
        </w:pBdr>
        <w:spacing w:after="80"/>
      </w:pPr>
    </w:p>
    <w:p w14:paraId="2D8D1ECE" w14:textId="77777777" w:rsidR="0069519B" w:rsidRDefault="0069519B">
      <w:pPr>
        <w:keepLines/>
        <w:ind w:left="360"/>
      </w:pPr>
    </w:p>
    <w:p w14:paraId="481AF4C2" w14:textId="77777777" w:rsidR="0069519B" w:rsidRDefault="0069519B">
      <w:pPr>
        <w:keepLines/>
        <w:ind w:left="360"/>
      </w:pPr>
    </w:p>
    <w:p w14:paraId="41FCA159" w14:textId="77777777" w:rsidR="0069519B" w:rsidRDefault="0069519B">
      <w:pPr>
        <w:keepLines/>
        <w:ind w:left="360"/>
      </w:pPr>
    </w:p>
    <w:p w14:paraId="47336B10" w14:textId="77777777" w:rsidR="0069519B" w:rsidRDefault="0069519B">
      <w:pPr>
        <w:keepLines/>
        <w:ind w:left="360"/>
      </w:pPr>
    </w:p>
    <w:p w14:paraId="66974E79" w14:textId="319D6198" w:rsidR="00022120" w:rsidRDefault="00C02BBA">
      <w:pPr>
        <w:keepLines/>
        <w:ind w:left="360"/>
      </w:pPr>
      <w:r>
        <w:t>At low ONPG concentrations, why is v</w:t>
      </w:r>
      <w:r>
        <w:rPr>
          <w:vertAlign w:val="subscript"/>
        </w:rPr>
        <w:t>0</w:t>
      </w:r>
      <w:r>
        <w:t xml:space="preserve"> approximately proportional to C</w:t>
      </w:r>
      <w:r>
        <w:rPr>
          <w:vertAlign w:val="subscript"/>
        </w:rPr>
        <w:t>ONPG,0</w:t>
      </w:r>
      <w:r>
        <w:t>?</w:t>
      </w:r>
      <w:r w:rsidR="007C2EA0">
        <w:br/>
        <w:t xml:space="preserve">Hint: </w:t>
      </w:r>
      <w:r w:rsidR="007C2EA0" w:rsidRPr="007C2EA0">
        <w:t xml:space="preserve">Think about molecular </w:t>
      </w:r>
      <w:r w:rsidR="007C2EA0">
        <w:t>collision</w:t>
      </w:r>
      <w:r w:rsidR="007C2EA0" w:rsidRPr="007C2EA0">
        <w:t xml:space="preserve"> frequency with higher concentrations</w:t>
      </w:r>
      <w:r w:rsidR="007C2EA0">
        <w:t>.</w:t>
      </w:r>
    </w:p>
    <w:p w14:paraId="55AA6DBE" w14:textId="77777777" w:rsidR="00022120" w:rsidRDefault="00C02BBA">
      <w:pPr>
        <w:pStyle w:val="Answerline"/>
        <w:keepLines/>
        <w:pBdr>
          <w:bottom w:val="single" w:sz="5" w:space="1" w:color="B5C4CC"/>
          <w:between w:val="single" w:sz="5" w:space="1" w:color="B5C4CC"/>
        </w:pBdr>
        <w:spacing w:after="80"/>
      </w:pPr>
      <w:r>
        <w:t> </w:t>
      </w:r>
    </w:p>
    <w:p w14:paraId="653CA047" w14:textId="77777777" w:rsidR="0069519B" w:rsidRDefault="0069519B">
      <w:pPr>
        <w:pStyle w:val="Answerline"/>
        <w:keepLines/>
        <w:pBdr>
          <w:bottom w:val="single" w:sz="5" w:space="1" w:color="B5C4CC"/>
          <w:between w:val="single" w:sz="5" w:space="1" w:color="B5C4CC"/>
        </w:pBdr>
        <w:spacing w:after="80"/>
      </w:pPr>
    </w:p>
    <w:p w14:paraId="0641008C" w14:textId="77777777" w:rsidR="00022120" w:rsidRDefault="00C02BBA">
      <w:pPr>
        <w:keepLines/>
        <w:ind w:left="360"/>
      </w:pPr>
      <w:r>
        <w:t>At high ONPG concentrations, enzyme active sites become nearly saturated. Explain why adding more ONPG produces very little additional rate increase.</w:t>
      </w:r>
    </w:p>
    <w:p w14:paraId="06BEAB44" w14:textId="77777777" w:rsidR="00022120" w:rsidRDefault="00C02BBA">
      <w:pPr>
        <w:pStyle w:val="Answerline"/>
        <w:keepLines/>
        <w:pBdr>
          <w:bottom w:val="single" w:sz="5" w:space="1" w:color="B5C4CC"/>
          <w:between w:val="single" w:sz="5" w:space="1" w:color="B5C4CC"/>
        </w:pBdr>
        <w:spacing w:after="80"/>
      </w:pPr>
      <w:r>
        <w:t> </w:t>
      </w:r>
    </w:p>
    <w:p w14:paraId="116799D3" w14:textId="77777777" w:rsidR="0069519B" w:rsidRDefault="0069519B">
      <w:pPr>
        <w:pStyle w:val="Answerline"/>
        <w:keepLines/>
        <w:pBdr>
          <w:bottom w:val="single" w:sz="5" w:space="1" w:color="B5C4CC"/>
          <w:between w:val="single" w:sz="5" w:space="1" w:color="B5C4CC"/>
        </w:pBdr>
        <w:spacing w:after="80"/>
      </w:pPr>
    </w:p>
    <w:p w14:paraId="5BBD1037" w14:textId="38B78D3E" w:rsidR="00022120" w:rsidRDefault="00C02BBA">
      <w:pPr>
        <w:keepLines/>
        <w:spacing w:before="100" w:after="60"/>
        <w:ind w:left="331" w:hanging="331"/>
      </w:pPr>
      <w:r>
        <w:t>4. Calculate V</w:t>
      </w:r>
      <w:r>
        <w:rPr>
          <w:vertAlign w:val="subscript"/>
        </w:rPr>
        <w:t>max</w:t>
      </w:r>
      <w:r>
        <w:t xml:space="preserve">/2 using the Stage 2 </w:t>
      </w:r>
      <w:r w:rsidR="007C2EA0">
        <w:t>curve</w:t>
      </w:r>
      <w:r>
        <w:t xml:space="preserve"> and locate the corresponding C</w:t>
      </w:r>
      <w:r>
        <w:rPr>
          <w:vertAlign w:val="subscript"/>
        </w:rPr>
        <w:t>ONPG,0</w:t>
      </w:r>
      <w:r>
        <w:t xml:space="preserve"> </w:t>
      </w:r>
      <w:r w:rsidR="007C2EA0">
        <w:t>from</w:t>
      </w:r>
      <w:r>
        <w:t xml:space="preserve"> the rate curve. How does this concentration compare with K</w:t>
      </w:r>
      <w:r>
        <w:rPr>
          <w:vertAlign w:val="subscript"/>
        </w:rPr>
        <w:t>m</w:t>
      </w:r>
      <w:r>
        <w:t>?</w:t>
      </w:r>
    </w:p>
    <w:p w14:paraId="7F23F6E0" w14:textId="77777777" w:rsidR="00022120" w:rsidRDefault="00C02BBA">
      <w:pPr>
        <w:pStyle w:val="Answerline"/>
        <w:keepLines/>
        <w:pBdr>
          <w:bottom w:val="single" w:sz="5" w:space="1" w:color="B5C4CC"/>
          <w:between w:val="single" w:sz="5" w:space="1" w:color="B5C4CC"/>
        </w:pBdr>
        <w:spacing w:after="80"/>
      </w:pPr>
      <w:r>
        <w:t> </w:t>
      </w:r>
    </w:p>
    <w:p w14:paraId="21C2FAF8" w14:textId="77777777" w:rsidR="00022120" w:rsidRDefault="00C02BBA">
      <w:pPr>
        <w:pStyle w:val="Answerline"/>
        <w:keepLines/>
        <w:pBdr>
          <w:bottom w:val="single" w:sz="5" w:space="1" w:color="B5C4CC"/>
          <w:between w:val="single" w:sz="5" w:space="1" w:color="B5C4CC"/>
        </w:pBdr>
        <w:spacing w:after="80"/>
      </w:pPr>
      <w:r>
        <w:t> </w:t>
      </w:r>
    </w:p>
    <w:p w14:paraId="5022BEDB" w14:textId="77777777" w:rsidR="006863C2" w:rsidRDefault="00000000">
      <w:r>
        <w:rPr>
          <w:b/>
        </w:rPr>
        <w:t>When this stage is complete,</w:t>
      </w:r>
      <w:r>
        <w:t xml:space="preserve"> click “Continue to Stage 3” at the bottom of the simulation.</w:t>
      </w:r>
    </w:p>
    <w:p w14:paraId="6000AB54" w14:textId="77777777" w:rsidR="00022120" w:rsidRDefault="00C02BBA">
      <w:pPr>
        <w:pStyle w:val="Heading1"/>
        <w:spacing w:before="180"/>
      </w:pPr>
      <w:r>
        <w:rPr>
          <w:rFonts w:ascii="Arial" w:hAnsi="Arial"/>
          <w:sz w:val="22"/>
        </w:rPr>
        <w:t>Experiment 2: Bead-Diameter Design (Stage 3)</w:t>
      </w:r>
    </w:p>
    <w:p w14:paraId="14B99234" w14:textId="77777777" w:rsidR="00022120" w:rsidRDefault="00C02BBA">
      <w:pPr>
        <w:keepLines/>
      </w:pPr>
      <w:r>
        <w:t xml:space="preserve">Purpose: Adjust bead diameter and compare 0.6 mm and 0.3 mm against the internal effectiveness factor target </w:t>
      </w:r>
      <w:proofErr w:type="spellStart"/>
      <w:r>
        <w:t>η</w:t>
      </w:r>
      <w:r>
        <w:rPr>
          <w:vertAlign w:val="subscript"/>
        </w:rPr>
        <w:t>i</w:t>
      </w:r>
      <w:proofErr w:type="spellEnd"/>
      <w:r>
        <w:t xml:space="preserve"> ≥ 0.95.</w:t>
      </w:r>
    </w:p>
    <w:p w14:paraId="2E2AA2D1" w14:textId="77777777" w:rsidR="00022120" w:rsidRDefault="00C02BBA">
      <w:pPr>
        <w:pStyle w:val="Heading2"/>
      </w:pPr>
      <w:r>
        <w:rPr>
          <w:rFonts w:ascii="Arial" w:hAnsi="Arial"/>
          <w:sz w:val="22"/>
        </w:rPr>
        <w:t>Procedure</w:t>
      </w:r>
    </w:p>
    <w:p w14:paraId="34B5022B" w14:textId="386DEF94" w:rsidR="00022120" w:rsidRDefault="00C02BBA">
      <w:pPr>
        <w:keepLines/>
        <w:spacing w:after="80"/>
        <w:ind w:left="331" w:hanging="331"/>
      </w:pPr>
      <w:r>
        <w:t xml:space="preserve">1. In Stage 3, use the slider or </w:t>
      </w:r>
      <w:r w:rsidR="00110F0B">
        <w:t>write the exact diameter</w:t>
      </w:r>
      <w:r>
        <w:t xml:space="preserve"> </w:t>
      </w:r>
      <w:r w:rsidR="00110F0B">
        <w:t>in the box</w:t>
      </w:r>
      <w:r>
        <w:t xml:space="preserve"> to set </w:t>
      </w:r>
      <w:r w:rsidR="00E519B0">
        <w:t xml:space="preserve">4.6, 2.8, </w:t>
      </w:r>
      <w:r>
        <w:t>0.6</w:t>
      </w:r>
      <w:r w:rsidR="00E519B0">
        <w:t>, and 0.3</w:t>
      </w:r>
      <w:r>
        <w:t xml:space="preserve"> mm. Click “Save result”</w:t>
      </w:r>
      <w:r w:rsidR="00E519B0">
        <w:t xml:space="preserve"> for each one</w:t>
      </w:r>
      <w:r>
        <w:t>.</w:t>
      </w:r>
    </w:p>
    <w:p w14:paraId="1F210816" w14:textId="278532F4" w:rsidR="00022120" w:rsidRDefault="00C02BBA">
      <w:pPr>
        <w:keepLines/>
        <w:spacing w:after="80"/>
        <w:ind w:left="331" w:hanging="331"/>
      </w:pPr>
      <w:r>
        <w:t xml:space="preserve">2. </w:t>
      </w:r>
      <w:r w:rsidR="00E519B0">
        <w:t xml:space="preserve">Record the internal effectiveness factors and the surface and center ONPG concentrations for both diameters. Identify which one meets </w:t>
      </w:r>
      <m:oMath>
        <m:sSub>
          <m:sSubPr>
            <m:ctrlPr>
              <w:rPr>
                <w:rFonts w:ascii="Cambria Math" w:hAnsi="Cambria Math"/>
                <w:b/>
                <w:i/>
                <w:color w:val="0D3245"/>
                <w:sz w:val="19"/>
              </w:rPr>
            </m:ctrlPr>
          </m:sSubPr>
          <m:e>
            <m:r>
              <m:rPr>
                <m:sty m:val="bi"/>
              </m:rPr>
              <w:rPr>
                <w:rFonts w:ascii="Cambria Math" w:hAnsi="Cambria Math"/>
                <w:color w:val="0D3245"/>
                <w:sz w:val="19"/>
              </w:rPr>
              <m:t>η</m:t>
            </m:r>
          </m:e>
          <m:sub>
            <m:r>
              <m:rPr>
                <m:sty m:val="bi"/>
              </m:rPr>
              <w:rPr>
                <w:rFonts w:ascii="Cambria Math" w:hAnsi="Cambria Math"/>
                <w:color w:val="0D3245"/>
                <w:sz w:val="19"/>
                <w:vertAlign w:val="subscript"/>
              </w:rPr>
              <m:t>i</m:t>
            </m:r>
          </m:sub>
        </m:sSub>
      </m:oMath>
      <w:r w:rsidR="00E519B0">
        <w:t>≥ 0.95.</w:t>
      </w:r>
    </w:p>
    <w:p w14:paraId="513FED03" w14:textId="4F480A1C" w:rsidR="00022120" w:rsidRDefault="00C02BBA">
      <w:pPr>
        <w:keepLines/>
        <w:spacing w:after="80"/>
        <w:ind w:left="331" w:hanging="331"/>
      </w:pPr>
      <w:r>
        <w:t>3.</w:t>
      </w:r>
      <w:r w:rsidR="00E519B0">
        <w:t xml:space="preserve"> Compare the four saved surface-to-center ONPG concentration profiles.</w:t>
      </w:r>
    </w:p>
    <w:p w14:paraId="1C746EB3" w14:textId="0F86BC33" w:rsidR="00022120" w:rsidRDefault="00022120">
      <w:pPr>
        <w:keepLines/>
        <w:spacing w:after="80"/>
        <w:ind w:left="331" w:hanging="331"/>
      </w:pPr>
    </w:p>
    <w:tbl>
      <w:tblPr>
        <w:tblW w:w="0" w:type="auto"/>
        <w:jc w:val="center"/>
        <w:tblBorders>
          <w:top w:val="single" w:sz="6" w:space="0" w:color="91AAB3"/>
          <w:left w:val="single" w:sz="6" w:space="0" w:color="91AAB3"/>
          <w:bottom w:val="single" w:sz="6" w:space="0" w:color="91AAB3"/>
          <w:right w:val="single" w:sz="6" w:space="0" w:color="91AAB3"/>
          <w:insideH w:val="single" w:sz="6" w:space="0" w:color="91AAB3"/>
          <w:insideV w:val="single" w:sz="6" w:space="0" w:color="91AAB3"/>
        </w:tblBorders>
        <w:tblLayout w:type="fixed"/>
        <w:tblLook w:val="04A0" w:firstRow="1" w:lastRow="0" w:firstColumn="1" w:lastColumn="0" w:noHBand="0" w:noVBand="1"/>
      </w:tblPr>
      <w:tblGrid>
        <w:gridCol w:w="2948"/>
        <w:gridCol w:w="1417"/>
        <w:gridCol w:w="1134"/>
        <w:gridCol w:w="2098"/>
        <w:gridCol w:w="2098"/>
      </w:tblGrid>
      <w:tr w:rsidR="00022120" w14:paraId="63243A05" w14:textId="77777777">
        <w:trPr>
          <w:cantSplit/>
          <w:trHeight w:val="605"/>
          <w:tblHeader/>
          <w:jc w:val="center"/>
        </w:trPr>
        <w:tc>
          <w:tcPr>
            <w:tcW w:w="2948" w:type="dxa"/>
            <w:tcBorders>
              <w:top w:val="single" w:sz="5" w:space="0" w:color="A5BAC2"/>
              <w:left w:val="single" w:sz="5" w:space="0" w:color="A5BAC2"/>
              <w:bottom w:val="single" w:sz="5" w:space="0" w:color="A5BAC2"/>
              <w:right w:val="single" w:sz="5" w:space="0" w:color="A5BAC2"/>
            </w:tcBorders>
            <w:shd w:val="clear" w:color="auto" w:fill="E5EFF3"/>
            <w:tcMar>
              <w:top w:w="90" w:type="dxa"/>
              <w:left w:w="105" w:type="dxa"/>
              <w:bottom w:w="90" w:type="dxa"/>
              <w:right w:w="105" w:type="dxa"/>
            </w:tcMar>
            <w:vAlign w:val="center"/>
          </w:tcPr>
          <w:p w14:paraId="39C77E01" w14:textId="77777777" w:rsidR="00022120" w:rsidRDefault="00C02BBA" w:rsidP="00110F0B">
            <w:pPr>
              <w:spacing w:after="0" w:line="240" w:lineRule="auto"/>
              <w:jc w:val="center"/>
            </w:pPr>
            <w:r>
              <w:rPr>
                <w:rFonts w:ascii="Aptos" w:hAnsi="Aptos"/>
                <w:b/>
                <w:color w:val="0D3245"/>
                <w:sz w:val="19"/>
              </w:rPr>
              <w:t>Result</w:t>
            </w:r>
          </w:p>
        </w:tc>
        <w:tc>
          <w:tcPr>
            <w:tcW w:w="1417" w:type="dxa"/>
            <w:tcBorders>
              <w:top w:val="single" w:sz="5" w:space="0" w:color="A5BAC2"/>
              <w:left w:val="single" w:sz="5" w:space="0" w:color="A5BAC2"/>
              <w:bottom w:val="single" w:sz="5" w:space="0" w:color="A5BAC2"/>
              <w:right w:val="single" w:sz="5" w:space="0" w:color="A5BAC2"/>
            </w:tcBorders>
            <w:shd w:val="clear" w:color="auto" w:fill="E5EFF3"/>
            <w:tcMar>
              <w:top w:w="90" w:type="dxa"/>
              <w:left w:w="105" w:type="dxa"/>
              <w:bottom w:w="90" w:type="dxa"/>
              <w:right w:w="105" w:type="dxa"/>
            </w:tcMar>
            <w:vAlign w:val="center"/>
          </w:tcPr>
          <w:p w14:paraId="3539AFF3" w14:textId="77777777" w:rsidR="00022120" w:rsidRDefault="00C02BBA" w:rsidP="00110F0B">
            <w:pPr>
              <w:spacing w:after="0" w:line="240" w:lineRule="auto"/>
              <w:jc w:val="center"/>
            </w:pPr>
            <w:r>
              <w:rPr>
                <w:rFonts w:ascii="Aptos" w:hAnsi="Aptos"/>
                <w:b/>
                <w:color w:val="0D3245"/>
                <w:sz w:val="19"/>
              </w:rPr>
              <w:t>Diameter [mm]</w:t>
            </w:r>
          </w:p>
        </w:tc>
        <w:tc>
          <w:tcPr>
            <w:tcW w:w="1134" w:type="dxa"/>
            <w:tcBorders>
              <w:top w:val="single" w:sz="5" w:space="0" w:color="A5BAC2"/>
              <w:left w:val="single" w:sz="5" w:space="0" w:color="A5BAC2"/>
              <w:bottom w:val="single" w:sz="5" w:space="0" w:color="A5BAC2"/>
              <w:right w:val="single" w:sz="5" w:space="0" w:color="A5BAC2"/>
            </w:tcBorders>
            <w:shd w:val="clear" w:color="auto" w:fill="E5EFF3"/>
            <w:tcMar>
              <w:top w:w="90" w:type="dxa"/>
              <w:left w:w="105" w:type="dxa"/>
              <w:bottom w:w="90" w:type="dxa"/>
              <w:right w:w="105" w:type="dxa"/>
            </w:tcMar>
            <w:vAlign w:val="center"/>
          </w:tcPr>
          <w:p w14:paraId="411F8168" w14:textId="57709E7A" w:rsidR="00110F0B" w:rsidRDefault="00000000" w:rsidP="00110F0B">
            <w:pPr>
              <w:spacing w:after="0" w:line="240" w:lineRule="auto"/>
              <w:jc w:val="center"/>
              <w:rPr>
                <w:rFonts w:ascii="Aptos" w:hAnsi="Aptos"/>
                <w:b/>
                <w:color w:val="0D3245"/>
                <w:sz w:val="19"/>
              </w:rPr>
            </w:pPr>
            <m:oMathPara>
              <m:oMath>
                <m:sSub>
                  <m:sSubPr>
                    <m:ctrlPr>
                      <w:rPr>
                        <w:rFonts w:ascii="Cambria Math" w:hAnsi="Cambria Math"/>
                        <w:b/>
                        <w:i/>
                        <w:color w:val="0D3245"/>
                        <w:sz w:val="19"/>
                      </w:rPr>
                    </m:ctrlPr>
                  </m:sSubPr>
                  <m:e>
                    <m:r>
                      <m:rPr>
                        <m:sty m:val="bi"/>
                      </m:rPr>
                      <w:rPr>
                        <w:rFonts w:ascii="Cambria Math" w:hAnsi="Cambria Math"/>
                        <w:color w:val="0D3245"/>
                        <w:sz w:val="19"/>
                      </w:rPr>
                      <m:t>η</m:t>
                    </m:r>
                  </m:e>
                  <m:sub>
                    <m:r>
                      <m:rPr>
                        <m:sty m:val="bi"/>
                      </m:rPr>
                      <w:rPr>
                        <w:rFonts w:ascii="Cambria Math" w:hAnsi="Cambria Math"/>
                        <w:color w:val="0D3245"/>
                        <w:sz w:val="19"/>
                        <w:vertAlign w:val="subscript"/>
                      </w:rPr>
                      <m:t>i</m:t>
                    </m:r>
                  </m:sub>
                </m:sSub>
                <m:r>
                  <m:rPr>
                    <m:sty m:val="bi"/>
                  </m:rPr>
                  <w:rPr>
                    <w:rFonts w:ascii="Cambria Math" w:hAnsi="Cambria Math"/>
                    <w:color w:val="0D3245"/>
                    <w:sz w:val="19"/>
                  </w:rPr>
                  <m:t xml:space="preserve"> </m:t>
                </m:r>
              </m:oMath>
            </m:oMathPara>
          </w:p>
          <w:p w14:paraId="011FD0FA" w14:textId="4100713F" w:rsidR="006863C2" w:rsidRDefault="006863C2" w:rsidP="00110F0B">
            <w:pPr>
              <w:spacing w:after="0" w:line="240" w:lineRule="auto"/>
              <w:jc w:val="center"/>
            </w:pPr>
          </w:p>
        </w:tc>
        <w:tc>
          <w:tcPr>
            <w:tcW w:w="2098" w:type="dxa"/>
            <w:tcBorders>
              <w:top w:val="single" w:sz="5" w:space="0" w:color="A5BAC2"/>
              <w:left w:val="single" w:sz="5" w:space="0" w:color="A5BAC2"/>
              <w:bottom w:val="single" w:sz="5" w:space="0" w:color="A5BAC2"/>
              <w:right w:val="single" w:sz="5" w:space="0" w:color="A5BAC2"/>
            </w:tcBorders>
            <w:shd w:val="clear" w:color="auto" w:fill="E5EFF3"/>
            <w:tcMar>
              <w:top w:w="90" w:type="dxa"/>
              <w:left w:w="105" w:type="dxa"/>
              <w:bottom w:w="90" w:type="dxa"/>
              <w:right w:w="105" w:type="dxa"/>
            </w:tcMar>
            <w:vAlign w:val="center"/>
          </w:tcPr>
          <w:p w14:paraId="545A12BB" w14:textId="77777777" w:rsidR="00110F0B" w:rsidRDefault="00C02BBA" w:rsidP="00110F0B">
            <w:pPr>
              <w:spacing w:after="0" w:line="240" w:lineRule="auto"/>
              <w:jc w:val="center"/>
              <w:rPr>
                <w:rFonts w:ascii="Aptos" w:hAnsi="Aptos"/>
                <w:b/>
                <w:color w:val="0D3245"/>
                <w:sz w:val="19"/>
              </w:rPr>
            </w:pPr>
            <w:r>
              <w:rPr>
                <w:rFonts w:ascii="Aptos" w:hAnsi="Aptos"/>
                <w:b/>
                <w:color w:val="0D3245"/>
                <w:sz w:val="19"/>
              </w:rPr>
              <w:t>Surface ONPG</w:t>
            </w:r>
          </w:p>
          <w:p w14:paraId="3CA0B62D" w14:textId="19F7D95A" w:rsidR="00022120" w:rsidRDefault="00C02BBA" w:rsidP="00110F0B">
            <w:pPr>
              <w:spacing w:after="0" w:line="240" w:lineRule="auto"/>
              <w:jc w:val="center"/>
            </w:pPr>
            <w:r>
              <w:rPr>
                <w:rFonts w:ascii="Aptos" w:hAnsi="Aptos"/>
                <w:b/>
                <w:color w:val="0D3245"/>
                <w:sz w:val="19"/>
              </w:rPr>
              <w:t xml:space="preserve"> [mM]</w:t>
            </w:r>
          </w:p>
        </w:tc>
        <w:tc>
          <w:tcPr>
            <w:tcW w:w="2098" w:type="dxa"/>
            <w:tcBorders>
              <w:top w:val="single" w:sz="5" w:space="0" w:color="A5BAC2"/>
              <w:left w:val="single" w:sz="5" w:space="0" w:color="A5BAC2"/>
              <w:bottom w:val="single" w:sz="5" w:space="0" w:color="A5BAC2"/>
              <w:right w:val="single" w:sz="5" w:space="0" w:color="A5BAC2"/>
            </w:tcBorders>
            <w:shd w:val="clear" w:color="auto" w:fill="E5EFF3"/>
            <w:tcMar>
              <w:top w:w="90" w:type="dxa"/>
              <w:left w:w="105" w:type="dxa"/>
              <w:bottom w:w="90" w:type="dxa"/>
              <w:right w:w="105" w:type="dxa"/>
            </w:tcMar>
            <w:vAlign w:val="center"/>
          </w:tcPr>
          <w:p w14:paraId="35F0F6A2" w14:textId="77777777" w:rsidR="00110F0B" w:rsidRDefault="00C02BBA" w:rsidP="00110F0B">
            <w:pPr>
              <w:spacing w:after="0" w:line="240" w:lineRule="auto"/>
              <w:jc w:val="center"/>
              <w:rPr>
                <w:rFonts w:ascii="Aptos" w:hAnsi="Aptos"/>
                <w:b/>
                <w:color w:val="0D3245"/>
                <w:sz w:val="19"/>
              </w:rPr>
            </w:pPr>
            <w:r>
              <w:rPr>
                <w:rFonts w:ascii="Aptos" w:hAnsi="Aptos"/>
                <w:b/>
                <w:color w:val="0D3245"/>
                <w:sz w:val="19"/>
              </w:rPr>
              <w:t>Center ONPG</w:t>
            </w:r>
          </w:p>
          <w:p w14:paraId="7C79AE64" w14:textId="1E8D8340" w:rsidR="00022120" w:rsidRDefault="00C02BBA" w:rsidP="00110F0B">
            <w:pPr>
              <w:spacing w:after="0" w:line="240" w:lineRule="auto"/>
              <w:jc w:val="center"/>
            </w:pPr>
            <w:r>
              <w:rPr>
                <w:rFonts w:ascii="Aptos" w:hAnsi="Aptos"/>
                <w:b/>
                <w:color w:val="0D3245"/>
                <w:sz w:val="19"/>
              </w:rPr>
              <w:t xml:space="preserve"> [mM]</w:t>
            </w:r>
          </w:p>
        </w:tc>
      </w:tr>
      <w:tr w:rsidR="00022120" w14:paraId="472C6A49" w14:textId="77777777">
        <w:trPr>
          <w:cantSplit/>
          <w:trHeight w:val="475"/>
          <w:jc w:val="center"/>
        </w:trPr>
        <w:tc>
          <w:tcPr>
            <w:tcW w:w="2948" w:type="dxa"/>
            <w:tcBorders>
              <w:top w:val="single" w:sz="5" w:space="0" w:color="A5BAC2"/>
              <w:left w:val="single" w:sz="5" w:space="0" w:color="A5BAC2"/>
              <w:bottom w:val="single" w:sz="5" w:space="0" w:color="A5BAC2"/>
              <w:right w:val="single" w:sz="5" w:space="0" w:color="A5BAC2"/>
            </w:tcBorders>
            <w:shd w:val="clear" w:color="auto" w:fill="FFFFFF"/>
            <w:tcMar>
              <w:top w:w="90" w:type="dxa"/>
              <w:left w:w="105" w:type="dxa"/>
              <w:bottom w:w="90" w:type="dxa"/>
              <w:right w:w="105" w:type="dxa"/>
            </w:tcMar>
            <w:vAlign w:val="center"/>
          </w:tcPr>
          <w:p w14:paraId="7FD2D038" w14:textId="77777777" w:rsidR="00022120" w:rsidRDefault="00C02BBA">
            <w:pPr>
              <w:spacing w:after="0" w:line="240" w:lineRule="auto"/>
              <w:jc w:val="center"/>
            </w:pPr>
            <w:r>
              <w:rPr>
                <w:rFonts w:ascii="Aptos" w:hAnsi="Aptos"/>
                <w:sz w:val="19"/>
              </w:rPr>
              <w:t>Large laboratory bead</w:t>
            </w:r>
          </w:p>
        </w:tc>
        <w:tc>
          <w:tcPr>
            <w:tcW w:w="1417" w:type="dxa"/>
            <w:tcBorders>
              <w:top w:val="single" w:sz="5" w:space="0" w:color="A5BAC2"/>
              <w:left w:val="single" w:sz="5" w:space="0" w:color="A5BAC2"/>
              <w:bottom w:val="single" w:sz="5" w:space="0" w:color="A5BAC2"/>
              <w:right w:val="single" w:sz="5" w:space="0" w:color="A5BAC2"/>
            </w:tcBorders>
            <w:shd w:val="clear" w:color="auto" w:fill="FFFFFF"/>
            <w:tcMar>
              <w:top w:w="90" w:type="dxa"/>
              <w:left w:w="105" w:type="dxa"/>
              <w:bottom w:w="90" w:type="dxa"/>
              <w:right w:w="105" w:type="dxa"/>
            </w:tcMar>
            <w:vAlign w:val="center"/>
          </w:tcPr>
          <w:p w14:paraId="558ADE97" w14:textId="77777777" w:rsidR="006863C2" w:rsidRDefault="00000000">
            <w:pPr>
              <w:spacing w:after="0" w:line="240" w:lineRule="auto"/>
              <w:jc w:val="center"/>
            </w:pPr>
            <w:r>
              <w:rPr>
                <w:rFonts w:ascii="Aptos" w:hAnsi="Aptos"/>
                <w:sz w:val="19"/>
              </w:rPr>
              <w:t>4.6</w:t>
            </w:r>
          </w:p>
        </w:tc>
        <w:tc>
          <w:tcPr>
            <w:tcW w:w="1134" w:type="dxa"/>
            <w:tcBorders>
              <w:top w:val="single" w:sz="5" w:space="0" w:color="A5BAC2"/>
              <w:left w:val="single" w:sz="5" w:space="0" w:color="A5BAC2"/>
              <w:bottom w:val="single" w:sz="5" w:space="0" w:color="A5BAC2"/>
              <w:right w:val="single" w:sz="5" w:space="0" w:color="A5BAC2"/>
            </w:tcBorders>
            <w:shd w:val="clear" w:color="auto" w:fill="FFFFFF"/>
            <w:tcMar>
              <w:top w:w="90" w:type="dxa"/>
              <w:left w:w="105" w:type="dxa"/>
              <w:bottom w:w="90" w:type="dxa"/>
              <w:right w:w="105" w:type="dxa"/>
            </w:tcMar>
            <w:vAlign w:val="center"/>
          </w:tcPr>
          <w:p w14:paraId="4B8A3693" w14:textId="77777777" w:rsidR="006863C2" w:rsidRDefault="00000000">
            <w:pPr>
              <w:spacing w:after="0" w:line="240" w:lineRule="auto"/>
              <w:jc w:val="center"/>
            </w:pPr>
            <w:r>
              <w:rPr>
                <w:rFonts w:ascii="Aptos" w:hAnsi="Aptos"/>
                <w:sz w:val="19"/>
              </w:rPr>
              <w:t>0.2885</w:t>
            </w:r>
          </w:p>
        </w:tc>
        <w:tc>
          <w:tcPr>
            <w:tcW w:w="2098" w:type="dxa"/>
            <w:tcBorders>
              <w:top w:val="single" w:sz="5" w:space="0" w:color="A5BAC2"/>
              <w:left w:val="single" w:sz="5" w:space="0" w:color="A5BAC2"/>
              <w:bottom w:val="single" w:sz="5" w:space="0" w:color="A5BAC2"/>
              <w:right w:val="single" w:sz="5" w:space="0" w:color="A5BAC2"/>
            </w:tcBorders>
            <w:shd w:val="clear" w:color="auto" w:fill="FFFFFF"/>
            <w:tcMar>
              <w:top w:w="90" w:type="dxa"/>
              <w:left w:w="105" w:type="dxa"/>
              <w:bottom w:w="90" w:type="dxa"/>
              <w:right w:w="105" w:type="dxa"/>
            </w:tcMar>
            <w:vAlign w:val="center"/>
          </w:tcPr>
          <w:p w14:paraId="105C7893" w14:textId="77777777" w:rsidR="00022120" w:rsidRDefault="00022120">
            <w:pPr>
              <w:spacing w:after="0" w:line="240" w:lineRule="auto"/>
              <w:jc w:val="center"/>
            </w:pPr>
          </w:p>
        </w:tc>
        <w:tc>
          <w:tcPr>
            <w:tcW w:w="2098" w:type="dxa"/>
            <w:tcBorders>
              <w:top w:val="single" w:sz="5" w:space="0" w:color="A5BAC2"/>
              <w:left w:val="single" w:sz="5" w:space="0" w:color="A5BAC2"/>
              <w:bottom w:val="single" w:sz="5" w:space="0" w:color="A5BAC2"/>
              <w:right w:val="single" w:sz="5" w:space="0" w:color="A5BAC2"/>
            </w:tcBorders>
            <w:shd w:val="clear" w:color="auto" w:fill="FFFFFF"/>
            <w:tcMar>
              <w:top w:w="90" w:type="dxa"/>
              <w:left w:w="105" w:type="dxa"/>
              <w:bottom w:w="90" w:type="dxa"/>
              <w:right w:w="105" w:type="dxa"/>
            </w:tcMar>
            <w:vAlign w:val="center"/>
          </w:tcPr>
          <w:p w14:paraId="468A6AB5" w14:textId="77777777" w:rsidR="00022120" w:rsidRDefault="00022120">
            <w:pPr>
              <w:spacing w:after="0" w:line="240" w:lineRule="auto"/>
              <w:jc w:val="center"/>
            </w:pPr>
          </w:p>
        </w:tc>
      </w:tr>
      <w:tr w:rsidR="00022120" w14:paraId="09D5366A" w14:textId="77777777">
        <w:trPr>
          <w:cantSplit/>
          <w:trHeight w:val="475"/>
          <w:jc w:val="center"/>
        </w:trPr>
        <w:tc>
          <w:tcPr>
            <w:tcW w:w="2948" w:type="dxa"/>
            <w:tcBorders>
              <w:top w:val="single" w:sz="5" w:space="0" w:color="A5BAC2"/>
              <w:left w:val="single" w:sz="5" w:space="0" w:color="A5BAC2"/>
              <w:bottom w:val="single" w:sz="5" w:space="0" w:color="A5BAC2"/>
              <w:right w:val="single" w:sz="5" w:space="0" w:color="A5BAC2"/>
            </w:tcBorders>
            <w:shd w:val="clear" w:color="auto" w:fill="F5F8F9"/>
            <w:tcMar>
              <w:top w:w="90" w:type="dxa"/>
              <w:left w:w="105" w:type="dxa"/>
              <w:bottom w:w="90" w:type="dxa"/>
              <w:right w:w="105" w:type="dxa"/>
            </w:tcMar>
            <w:vAlign w:val="center"/>
          </w:tcPr>
          <w:p w14:paraId="0DF645C5" w14:textId="77777777" w:rsidR="00022120" w:rsidRDefault="00C02BBA">
            <w:pPr>
              <w:spacing w:after="0" w:line="240" w:lineRule="auto"/>
              <w:jc w:val="center"/>
            </w:pPr>
            <w:r>
              <w:rPr>
                <w:rFonts w:ascii="Aptos" w:hAnsi="Aptos"/>
                <w:sz w:val="19"/>
              </w:rPr>
              <w:t>Small laboratory bead</w:t>
            </w:r>
          </w:p>
        </w:tc>
        <w:tc>
          <w:tcPr>
            <w:tcW w:w="1417" w:type="dxa"/>
            <w:tcBorders>
              <w:top w:val="single" w:sz="5" w:space="0" w:color="A5BAC2"/>
              <w:left w:val="single" w:sz="5" w:space="0" w:color="A5BAC2"/>
              <w:bottom w:val="single" w:sz="5" w:space="0" w:color="A5BAC2"/>
              <w:right w:val="single" w:sz="5" w:space="0" w:color="A5BAC2"/>
            </w:tcBorders>
            <w:shd w:val="clear" w:color="auto" w:fill="F5F8F9"/>
            <w:tcMar>
              <w:top w:w="90" w:type="dxa"/>
              <w:left w:w="105" w:type="dxa"/>
              <w:bottom w:w="90" w:type="dxa"/>
              <w:right w:w="105" w:type="dxa"/>
            </w:tcMar>
            <w:vAlign w:val="center"/>
          </w:tcPr>
          <w:p w14:paraId="3BDF427A" w14:textId="77777777" w:rsidR="006863C2" w:rsidRDefault="00000000">
            <w:pPr>
              <w:spacing w:after="0" w:line="240" w:lineRule="auto"/>
              <w:jc w:val="center"/>
            </w:pPr>
            <w:r>
              <w:rPr>
                <w:rFonts w:ascii="Aptos" w:hAnsi="Aptos"/>
                <w:sz w:val="19"/>
              </w:rPr>
              <w:t>2.8</w:t>
            </w:r>
          </w:p>
        </w:tc>
        <w:tc>
          <w:tcPr>
            <w:tcW w:w="1134" w:type="dxa"/>
            <w:tcBorders>
              <w:top w:val="single" w:sz="5" w:space="0" w:color="A5BAC2"/>
              <w:left w:val="single" w:sz="5" w:space="0" w:color="A5BAC2"/>
              <w:bottom w:val="single" w:sz="5" w:space="0" w:color="A5BAC2"/>
              <w:right w:val="single" w:sz="5" w:space="0" w:color="A5BAC2"/>
            </w:tcBorders>
            <w:shd w:val="clear" w:color="auto" w:fill="F5F8F9"/>
            <w:tcMar>
              <w:top w:w="90" w:type="dxa"/>
              <w:left w:w="105" w:type="dxa"/>
              <w:bottom w:w="90" w:type="dxa"/>
              <w:right w:w="105" w:type="dxa"/>
            </w:tcMar>
            <w:vAlign w:val="center"/>
          </w:tcPr>
          <w:p w14:paraId="7F0606BA" w14:textId="77777777" w:rsidR="006863C2" w:rsidRDefault="00000000">
            <w:pPr>
              <w:spacing w:after="0" w:line="240" w:lineRule="auto"/>
              <w:jc w:val="center"/>
            </w:pPr>
            <w:r>
              <w:rPr>
                <w:rFonts w:ascii="Aptos" w:hAnsi="Aptos"/>
                <w:sz w:val="19"/>
              </w:rPr>
              <w:t>0.4890</w:t>
            </w:r>
          </w:p>
        </w:tc>
        <w:tc>
          <w:tcPr>
            <w:tcW w:w="2098" w:type="dxa"/>
            <w:tcBorders>
              <w:top w:val="single" w:sz="5" w:space="0" w:color="A5BAC2"/>
              <w:left w:val="single" w:sz="5" w:space="0" w:color="A5BAC2"/>
              <w:bottom w:val="single" w:sz="5" w:space="0" w:color="A5BAC2"/>
              <w:right w:val="single" w:sz="5" w:space="0" w:color="A5BAC2"/>
            </w:tcBorders>
            <w:shd w:val="clear" w:color="auto" w:fill="F5F8F9"/>
            <w:tcMar>
              <w:top w:w="90" w:type="dxa"/>
              <w:left w:w="105" w:type="dxa"/>
              <w:bottom w:w="90" w:type="dxa"/>
              <w:right w:w="105" w:type="dxa"/>
            </w:tcMar>
            <w:vAlign w:val="center"/>
          </w:tcPr>
          <w:p w14:paraId="253D078E" w14:textId="77777777" w:rsidR="00022120" w:rsidRDefault="00022120">
            <w:pPr>
              <w:spacing w:after="0" w:line="240" w:lineRule="auto"/>
              <w:jc w:val="center"/>
            </w:pPr>
          </w:p>
        </w:tc>
        <w:tc>
          <w:tcPr>
            <w:tcW w:w="2098" w:type="dxa"/>
            <w:tcBorders>
              <w:top w:val="single" w:sz="5" w:space="0" w:color="A5BAC2"/>
              <w:left w:val="single" w:sz="5" w:space="0" w:color="A5BAC2"/>
              <w:bottom w:val="single" w:sz="5" w:space="0" w:color="A5BAC2"/>
              <w:right w:val="single" w:sz="5" w:space="0" w:color="A5BAC2"/>
            </w:tcBorders>
            <w:shd w:val="clear" w:color="auto" w:fill="F5F8F9"/>
            <w:tcMar>
              <w:top w:w="90" w:type="dxa"/>
              <w:left w:w="105" w:type="dxa"/>
              <w:bottom w:w="90" w:type="dxa"/>
              <w:right w:w="105" w:type="dxa"/>
            </w:tcMar>
            <w:vAlign w:val="center"/>
          </w:tcPr>
          <w:p w14:paraId="3157A156" w14:textId="77777777" w:rsidR="00022120" w:rsidRDefault="00022120">
            <w:pPr>
              <w:spacing w:after="0" w:line="240" w:lineRule="auto"/>
              <w:jc w:val="center"/>
            </w:pPr>
          </w:p>
        </w:tc>
      </w:tr>
      <w:tr w:rsidR="00022120" w14:paraId="3AC6FCCE" w14:textId="77777777">
        <w:trPr>
          <w:cantSplit/>
          <w:trHeight w:val="475"/>
          <w:jc w:val="center"/>
        </w:trPr>
        <w:tc>
          <w:tcPr>
            <w:tcW w:w="2948" w:type="dxa"/>
            <w:tcBorders>
              <w:top w:val="single" w:sz="5" w:space="0" w:color="A5BAC2"/>
              <w:left w:val="single" w:sz="5" w:space="0" w:color="A5BAC2"/>
              <w:bottom w:val="single" w:sz="5" w:space="0" w:color="A5BAC2"/>
              <w:right w:val="single" w:sz="5" w:space="0" w:color="A5BAC2"/>
            </w:tcBorders>
            <w:shd w:val="clear" w:color="auto" w:fill="FFFFFF"/>
            <w:tcMar>
              <w:top w:w="90" w:type="dxa"/>
              <w:left w:w="105" w:type="dxa"/>
              <w:bottom w:w="90" w:type="dxa"/>
              <w:right w:w="105" w:type="dxa"/>
            </w:tcMar>
            <w:vAlign w:val="center"/>
          </w:tcPr>
          <w:p w14:paraId="53952FA3" w14:textId="1B66B884" w:rsidR="00022120" w:rsidRDefault="00C02BBA">
            <w:pPr>
              <w:spacing w:after="0" w:line="240" w:lineRule="auto"/>
              <w:jc w:val="center"/>
            </w:pPr>
            <w:r>
              <w:rPr>
                <w:rFonts w:ascii="Aptos" w:hAnsi="Aptos"/>
                <w:sz w:val="19"/>
              </w:rPr>
              <w:t xml:space="preserve">Assigned 0.6 mm </w:t>
            </w:r>
            <w:r w:rsidR="00110F0B">
              <w:rPr>
                <w:rFonts w:ascii="Aptos" w:hAnsi="Aptos"/>
                <w:sz w:val="19"/>
              </w:rPr>
              <w:t>bead</w:t>
            </w:r>
          </w:p>
        </w:tc>
        <w:tc>
          <w:tcPr>
            <w:tcW w:w="1417" w:type="dxa"/>
            <w:tcBorders>
              <w:top w:val="single" w:sz="5" w:space="0" w:color="A5BAC2"/>
              <w:left w:val="single" w:sz="5" w:space="0" w:color="A5BAC2"/>
              <w:bottom w:val="single" w:sz="5" w:space="0" w:color="A5BAC2"/>
              <w:right w:val="single" w:sz="5" w:space="0" w:color="A5BAC2"/>
            </w:tcBorders>
            <w:shd w:val="clear" w:color="auto" w:fill="FFFFFF"/>
            <w:tcMar>
              <w:top w:w="90" w:type="dxa"/>
              <w:left w:w="105" w:type="dxa"/>
              <w:bottom w:w="90" w:type="dxa"/>
              <w:right w:w="105" w:type="dxa"/>
            </w:tcMar>
            <w:vAlign w:val="center"/>
          </w:tcPr>
          <w:p w14:paraId="1D5163B9" w14:textId="77777777" w:rsidR="006863C2" w:rsidRDefault="00000000">
            <w:pPr>
              <w:spacing w:after="0" w:line="240" w:lineRule="auto"/>
              <w:jc w:val="center"/>
            </w:pPr>
            <w:r>
              <w:rPr>
                <w:rFonts w:ascii="Aptos" w:hAnsi="Aptos"/>
                <w:sz w:val="19"/>
              </w:rPr>
              <w:t>0.6</w:t>
            </w:r>
          </w:p>
        </w:tc>
        <w:tc>
          <w:tcPr>
            <w:tcW w:w="1134" w:type="dxa"/>
            <w:tcBorders>
              <w:top w:val="single" w:sz="5" w:space="0" w:color="A5BAC2"/>
              <w:left w:val="single" w:sz="5" w:space="0" w:color="A5BAC2"/>
              <w:bottom w:val="single" w:sz="5" w:space="0" w:color="A5BAC2"/>
              <w:right w:val="single" w:sz="5" w:space="0" w:color="A5BAC2"/>
            </w:tcBorders>
            <w:shd w:val="clear" w:color="auto" w:fill="FFFFFF"/>
            <w:tcMar>
              <w:top w:w="90" w:type="dxa"/>
              <w:left w:w="105" w:type="dxa"/>
              <w:bottom w:w="90" w:type="dxa"/>
              <w:right w:w="105" w:type="dxa"/>
            </w:tcMar>
            <w:vAlign w:val="center"/>
          </w:tcPr>
          <w:p w14:paraId="566B6C13" w14:textId="77777777" w:rsidR="00022120" w:rsidRDefault="00022120">
            <w:pPr>
              <w:spacing w:after="0" w:line="240" w:lineRule="auto"/>
              <w:jc w:val="center"/>
            </w:pPr>
          </w:p>
        </w:tc>
        <w:tc>
          <w:tcPr>
            <w:tcW w:w="2098" w:type="dxa"/>
            <w:tcBorders>
              <w:top w:val="single" w:sz="5" w:space="0" w:color="A5BAC2"/>
              <w:left w:val="single" w:sz="5" w:space="0" w:color="A5BAC2"/>
              <w:bottom w:val="single" w:sz="5" w:space="0" w:color="A5BAC2"/>
              <w:right w:val="single" w:sz="5" w:space="0" w:color="A5BAC2"/>
            </w:tcBorders>
            <w:shd w:val="clear" w:color="auto" w:fill="FFFFFF"/>
            <w:tcMar>
              <w:top w:w="90" w:type="dxa"/>
              <w:left w:w="105" w:type="dxa"/>
              <w:bottom w:w="90" w:type="dxa"/>
              <w:right w:w="105" w:type="dxa"/>
            </w:tcMar>
            <w:vAlign w:val="center"/>
          </w:tcPr>
          <w:p w14:paraId="721DF3C2" w14:textId="77777777" w:rsidR="00022120" w:rsidRDefault="00022120">
            <w:pPr>
              <w:spacing w:after="0" w:line="240" w:lineRule="auto"/>
              <w:jc w:val="center"/>
            </w:pPr>
          </w:p>
        </w:tc>
        <w:tc>
          <w:tcPr>
            <w:tcW w:w="2098" w:type="dxa"/>
            <w:tcBorders>
              <w:top w:val="single" w:sz="5" w:space="0" w:color="A5BAC2"/>
              <w:left w:val="single" w:sz="5" w:space="0" w:color="A5BAC2"/>
              <w:bottom w:val="single" w:sz="5" w:space="0" w:color="A5BAC2"/>
              <w:right w:val="single" w:sz="5" w:space="0" w:color="A5BAC2"/>
            </w:tcBorders>
            <w:shd w:val="clear" w:color="auto" w:fill="FFFFFF"/>
            <w:tcMar>
              <w:top w:w="90" w:type="dxa"/>
              <w:left w:w="105" w:type="dxa"/>
              <w:bottom w:w="90" w:type="dxa"/>
              <w:right w:w="105" w:type="dxa"/>
            </w:tcMar>
            <w:vAlign w:val="center"/>
          </w:tcPr>
          <w:p w14:paraId="021D5809" w14:textId="77777777" w:rsidR="00022120" w:rsidRDefault="00022120">
            <w:pPr>
              <w:spacing w:after="0" w:line="240" w:lineRule="auto"/>
              <w:jc w:val="center"/>
            </w:pPr>
          </w:p>
        </w:tc>
      </w:tr>
      <w:tr w:rsidR="00022120" w14:paraId="4B41C4F4" w14:textId="77777777">
        <w:trPr>
          <w:cantSplit/>
          <w:trHeight w:val="475"/>
          <w:jc w:val="center"/>
        </w:trPr>
        <w:tc>
          <w:tcPr>
            <w:tcW w:w="2948" w:type="dxa"/>
            <w:tcBorders>
              <w:top w:val="single" w:sz="5" w:space="0" w:color="A5BAC2"/>
              <w:left w:val="single" w:sz="5" w:space="0" w:color="A5BAC2"/>
              <w:bottom w:val="single" w:sz="5" w:space="0" w:color="A5BAC2"/>
              <w:right w:val="single" w:sz="5" w:space="0" w:color="A5BAC2"/>
            </w:tcBorders>
            <w:shd w:val="clear" w:color="auto" w:fill="F5F8F9"/>
            <w:tcMar>
              <w:top w:w="90" w:type="dxa"/>
              <w:left w:w="105" w:type="dxa"/>
              <w:bottom w:w="90" w:type="dxa"/>
              <w:right w:w="105" w:type="dxa"/>
            </w:tcMar>
            <w:vAlign w:val="center"/>
          </w:tcPr>
          <w:p w14:paraId="7EDD32C4" w14:textId="5E2DB14E" w:rsidR="00022120" w:rsidRDefault="00C02BBA">
            <w:pPr>
              <w:spacing w:after="0" w:line="240" w:lineRule="auto"/>
              <w:jc w:val="center"/>
            </w:pPr>
            <w:r>
              <w:rPr>
                <w:rFonts w:ascii="Aptos" w:hAnsi="Aptos"/>
                <w:sz w:val="19"/>
              </w:rPr>
              <w:t xml:space="preserve">Assigned 0.3 mm </w:t>
            </w:r>
            <w:r w:rsidR="00110F0B">
              <w:rPr>
                <w:rFonts w:ascii="Aptos" w:hAnsi="Aptos"/>
                <w:sz w:val="19"/>
              </w:rPr>
              <w:t>bead</w:t>
            </w:r>
          </w:p>
        </w:tc>
        <w:tc>
          <w:tcPr>
            <w:tcW w:w="1417" w:type="dxa"/>
            <w:tcBorders>
              <w:top w:val="single" w:sz="5" w:space="0" w:color="A5BAC2"/>
              <w:left w:val="single" w:sz="5" w:space="0" w:color="A5BAC2"/>
              <w:bottom w:val="single" w:sz="5" w:space="0" w:color="A5BAC2"/>
              <w:right w:val="single" w:sz="5" w:space="0" w:color="A5BAC2"/>
            </w:tcBorders>
            <w:shd w:val="clear" w:color="auto" w:fill="F5F8F9"/>
            <w:tcMar>
              <w:top w:w="90" w:type="dxa"/>
              <w:left w:w="105" w:type="dxa"/>
              <w:bottom w:w="90" w:type="dxa"/>
              <w:right w:w="105" w:type="dxa"/>
            </w:tcMar>
            <w:vAlign w:val="center"/>
          </w:tcPr>
          <w:p w14:paraId="06F1886F" w14:textId="77777777" w:rsidR="006863C2" w:rsidRDefault="00000000">
            <w:pPr>
              <w:spacing w:after="0" w:line="240" w:lineRule="auto"/>
              <w:jc w:val="center"/>
            </w:pPr>
            <w:r>
              <w:rPr>
                <w:rFonts w:ascii="Aptos" w:hAnsi="Aptos"/>
                <w:sz w:val="19"/>
              </w:rPr>
              <w:t>0.3</w:t>
            </w:r>
          </w:p>
        </w:tc>
        <w:tc>
          <w:tcPr>
            <w:tcW w:w="1134" w:type="dxa"/>
            <w:tcBorders>
              <w:top w:val="single" w:sz="5" w:space="0" w:color="A5BAC2"/>
              <w:left w:val="single" w:sz="5" w:space="0" w:color="A5BAC2"/>
              <w:bottom w:val="single" w:sz="5" w:space="0" w:color="A5BAC2"/>
              <w:right w:val="single" w:sz="5" w:space="0" w:color="A5BAC2"/>
            </w:tcBorders>
            <w:shd w:val="clear" w:color="auto" w:fill="F5F8F9"/>
            <w:tcMar>
              <w:top w:w="90" w:type="dxa"/>
              <w:left w:w="105" w:type="dxa"/>
              <w:bottom w:w="90" w:type="dxa"/>
              <w:right w:w="105" w:type="dxa"/>
            </w:tcMar>
            <w:vAlign w:val="center"/>
          </w:tcPr>
          <w:p w14:paraId="7B0BCE48" w14:textId="77777777" w:rsidR="00022120" w:rsidRDefault="00022120">
            <w:pPr>
              <w:spacing w:after="0" w:line="240" w:lineRule="auto"/>
              <w:jc w:val="center"/>
            </w:pPr>
          </w:p>
        </w:tc>
        <w:tc>
          <w:tcPr>
            <w:tcW w:w="2098" w:type="dxa"/>
            <w:tcBorders>
              <w:top w:val="single" w:sz="5" w:space="0" w:color="A5BAC2"/>
              <w:left w:val="single" w:sz="5" w:space="0" w:color="A5BAC2"/>
              <w:bottom w:val="single" w:sz="5" w:space="0" w:color="A5BAC2"/>
              <w:right w:val="single" w:sz="5" w:space="0" w:color="A5BAC2"/>
            </w:tcBorders>
            <w:shd w:val="clear" w:color="auto" w:fill="F5F8F9"/>
            <w:tcMar>
              <w:top w:w="90" w:type="dxa"/>
              <w:left w:w="105" w:type="dxa"/>
              <w:bottom w:w="90" w:type="dxa"/>
              <w:right w:w="105" w:type="dxa"/>
            </w:tcMar>
            <w:vAlign w:val="center"/>
          </w:tcPr>
          <w:p w14:paraId="0EF596B2" w14:textId="77777777" w:rsidR="00022120" w:rsidRDefault="00022120">
            <w:pPr>
              <w:spacing w:after="0" w:line="240" w:lineRule="auto"/>
              <w:jc w:val="center"/>
            </w:pPr>
          </w:p>
        </w:tc>
        <w:tc>
          <w:tcPr>
            <w:tcW w:w="2098" w:type="dxa"/>
            <w:tcBorders>
              <w:top w:val="single" w:sz="5" w:space="0" w:color="A5BAC2"/>
              <w:left w:val="single" w:sz="5" w:space="0" w:color="A5BAC2"/>
              <w:bottom w:val="single" w:sz="5" w:space="0" w:color="A5BAC2"/>
              <w:right w:val="single" w:sz="5" w:space="0" w:color="A5BAC2"/>
            </w:tcBorders>
            <w:shd w:val="clear" w:color="auto" w:fill="F5F8F9"/>
            <w:tcMar>
              <w:top w:w="90" w:type="dxa"/>
              <w:left w:w="105" w:type="dxa"/>
              <w:bottom w:w="90" w:type="dxa"/>
              <w:right w:w="105" w:type="dxa"/>
            </w:tcMar>
            <w:vAlign w:val="center"/>
          </w:tcPr>
          <w:p w14:paraId="7EA2EBEC" w14:textId="77777777" w:rsidR="00022120" w:rsidRDefault="00022120">
            <w:pPr>
              <w:spacing w:after="0" w:line="240" w:lineRule="auto"/>
              <w:jc w:val="center"/>
            </w:pPr>
          </w:p>
        </w:tc>
      </w:tr>
    </w:tbl>
    <w:p w14:paraId="59EE8B06" w14:textId="77777777" w:rsidR="00897636" w:rsidRDefault="00897636">
      <w:pPr>
        <w:keepLines/>
        <w:spacing w:before="200" w:after="80"/>
        <w:ind w:left="331" w:hanging="331"/>
      </w:pPr>
    </w:p>
    <w:p w14:paraId="352DA72C" w14:textId="27AD31C8" w:rsidR="00022120" w:rsidRDefault="00C02BBA">
      <w:pPr>
        <w:keepLines/>
        <w:spacing w:before="200" w:after="80"/>
        <w:ind w:left="331" w:hanging="331"/>
      </w:pPr>
      <w:r>
        <w:lastRenderedPageBreak/>
        <w:t>5. For the assigned diameter</w:t>
      </w:r>
      <w:r w:rsidR="00897636">
        <w:t>,</w:t>
      </w:r>
      <w:r>
        <w:t xml:space="preserve"> </w:t>
      </w:r>
      <w:r w:rsidR="00897636">
        <w:t>which has</w:t>
      </w:r>
      <w:r>
        <w:t xml:space="preserve"> </w:t>
      </w:r>
      <m:oMath>
        <m:sSub>
          <m:sSubPr>
            <m:ctrlPr>
              <w:rPr>
                <w:rFonts w:ascii="Cambria Math" w:hAnsi="Cambria Math"/>
                <w:b/>
                <w:i/>
                <w:color w:val="0D3245"/>
                <w:sz w:val="19"/>
              </w:rPr>
            </m:ctrlPr>
          </m:sSubPr>
          <m:e>
            <m:r>
              <m:rPr>
                <m:sty m:val="bi"/>
              </m:rPr>
              <w:rPr>
                <w:rFonts w:ascii="Cambria Math" w:hAnsi="Cambria Math"/>
                <w:color w:val="0D3245"/>
                <w:sz w:val="19"/>
              </w:rPr>
              <m:t>η</m:t>
            </m:r>
          </m:e>
          <m:sub>
            <m:r>
              <m:rPr>
                <m:sty m:val="bi"/>
              </m:rPr>
              <w:rPr>
                <w:rFonts w:ascii="Cambria Math" w:hAnsi="Cambria Math"/>
                <w:color w:val="0D3245"/>
                <w:sz w:val="19"/>
                <w:vertAlign w:val="subscript"/>
              </w:rPr>
              <m:t>i</m:t>
            </m:r>
          </m:sub>
        </m:sSub>
      </m:oMath>
      <w:r>
        <w:t>≥ 0.95</w:t>
      </w:r>
      <w:r w:rsidR="00897636">
        <w:t>?</w:t>
      </w:r>
      <w:r>
        <w:t xml:space="preserve"> </w:t>
      </w:r>
      <w:r w:rsidR="00897636">
        <w:t>What</w:t>
      </w:r>
      <w:r>
        <w:t xml:space="preserve"> is true about </w:t>
      </w:r>
      <w:r w:rsidR="00897636">
        <w:t>the</w:t>
      </w:r>
      <w:r>
        <w:t xml:space="preserve"> ONPG concentration profile?</w:t>
      </w:r>
    </w:p>
    <w:p w14:paraId="3373175B" w14:textId="77777777" w:rsidR="00022120" w:rsidRDefault="00C02BBA">
      <w:pPr>
        <w:pStyle w:val="Answerline"/>
        <w:keepLines/>
        <w:pBdr>
          <w:bottom w:val="single" w:sz="5" w:space="1" w:color="B5C4CC"/>
          <w:between w:val="single" w:sz="5" w:space="1" w:color="B5C4CC"/>
        </w:pBdr>
        <w:spacing w:after="80"/>
      </w:pPr>
      <w:r>
        <w:t> </w:t>
      </w:r>
    </w:p>
    <w:p w14:paraId="0A97DE14" w14:textId="77777777" w:rsidR="0065110B" w:rsidRDefault="0065110B">
      <w:pPr>
        <w:pStyle w:val="Answerline"/>
        <w:keepLines/>
        <w:pBdr>
          <w:bottom w:val="single" w:sz="5" w:space="1" w:color="B5C4CC"/>
          <w:between w:val="single" w:sz="5" w:space="1" w:color="B5C4CC"/>
        </w:pBdr>
        <w:spacing w:after="80"/>
      </w:pPr>
    </w:p>
    <w:p w14:paraId="451335A7" w14:textId="77777777" w:rsidR="0065110B" w:rsidRDefault="0065110B" w:rsidP="0065110B">
      <w:pPr>
        <w:keepLines/>
        <w:rPr>
          <w:rFonts w:eastAsia="Arial" w:cs="Arial"/>
          <w:sz w:val="22"/>
        </w:rPr>
      </w:pPr>
    </w:p>
    <w:p w14:paraId="0D598454" w14:textId="7F2F4EFF" w:rsidR="00022120" w:rsidRDefault="00897636" w:rsidP="0065110B">
      <w:pPr>
        <w:keepLines/>
      </w:pPr>
      <w:r w:rsidRPr="00897636">
        <w:rPr>
          <w:rFonts w:eastAsia="Arial" w:cs="Arial"/>
          <w:sz w:val="22"/>
        </w:rPr>
        <w:t xml:space="preserve">What happens to the ONPG reactant concentration profile with the largest 4.6mm and smallest 0.3 </w:t>
      </w:r>
      <w:r>
        <w:rPr>
          <w:rFonts w:eastAsia="Arial" w:cs="Arial"/>
          <w:sz w:val="22"/>
        </w:rPr>
        <w:t>mm</w:t>
      </w:r>
      <w:r w:rsidRPr="00897636">
        <w:rPr>
          <w:rFonts w:eastAsia="Arial" w:cs="Arial"/>
          <w:sz w:val="22"/>
        </w:rPr>
        <w:t xml:space="preserve"> beads</w:t>
      </w:r>
      <w:r>
        <w:rPr>
          <w:rFonts w:eastAsia="Arial" w:cs="Arial"/>
          <w:sz w:val="22"/>
        </w:rPr>
        <w:t>?</w:t>
      </w:r>
      <w:r w:rsidR="00C02BBA">
        <w:t>  </w:t>
      </w:r>
    </w:p>
    <w:p w14:paraId="3E363D51" w14:textId="77777777" w:rsidR="00022120" w:rsidRDefault="00C02BBA">
      <w:pPr>
        <w:pStyle w:val="Answerline"/>
        <w:keepNext/>
        <w:keepLines/>
        <w:pBdr>
          <w:bottom w:val="single" w:sz="5" w:space="1" w:color="B5C4CC"/>
          <w:between w:val="single" w:sz="5" w:space="1" w:color="B5C4CC"/>
        </w:pBdr>
        <w:spacing w:after="80"/>
      </w:pPr>
      <w:r>
        <w:t> </w:t>
      </w:r>
    </w:p>
    <w:p w14:paraId="41DB2C1C" w14:textId="77777777" w:rsidR="00022120" w:rsidRDefault="00C02BBA">
      <w:pPr>
        <w:pStyle w:val="Answerline"/>
        <w:keepLines/>
        <w:pBdr>
          <w:bottom w:val="single" w:sz="5" w:space="1" w:color="B5C4CC"/>
          <w:between w:val="single" w:sz="5" w:space="1" w:color="B5C4CC"/>
        </w:pBdr>
        <w:spacing w:after="80"/>
      </w:pPr>
      <w:r>
        <w:t> </w:t>
      </w:r>
    </w:p>
    <w:p w14:paraId="1038064A" w14:textId="1285BA45" w:rsidR="00022120" w:rsidRDefault="0065110B">
      <w:pPr>
        <w:keepNext/>
        <w:keepLines/>
        <w:spacing w:before="100" w:after="60"/>
        <w:ind w:left="331" w:hanging="331"/>
      </w:pPr>
      <w:r>
        <w:rPr>
          <w:bCs/>
          <w:sz w:val="22"/>
        </w:rPr>
        <w:t>6</w:t>
      </w:r>
      <w:r w:rsidR="00C02BBA" w:rsidRPr="0065110B">
        <w:rPr>
          <w:bCs/>
          <w:sz w:val="22"/>
        </w:rPr>
        <w:t>.</w:t>
      </w:r>
      <w:r w:rsidR="00C02BBA">
        <w:rPr>
          <w:b/>
          <w:sz w:val="22"/>
        </w:rPr>
        <w:t xml:space="preserve"> </w:t>
      </w:r>
      <w:r w:rsidR="00C02BBA">
        <w:rPr>
          <w:rFonts w:eastAsia="Arial" w:cs="Arial"/>
          <w:sz w:val="22"/>
        </w:rPr>
        <w:t>Would there be any detriments to choosing a very small bead diameter?</w:t>
      </w:r>
    </w:p>
    <w:p w14:paraId="50560FBC" w14:textId="77777777" w:rsidR="00022120" w:rsidRDefault="00C02BBA">
      <w:pPr>
        <w:pStyle w:val="Answerline"/>
        <w:keepNext/>
        <w:keepLines/>
        <w:pBdr>
          <w:bottom w:val="single" w:sz="5" w:space="1" w:color="B5C4CC"/>
          <w:between w:val="single" w:sz="5" w:space="1" w:color="B5C4CC"/>
        </w:pBdr>
        <w:spacing w:after="80"/>
      </w:pPr>
      <w:r>
        <w:t> </w:t>
      </w:r>
    </w:p>
    <w:p w14:paraId="10A68ABF" w14:textId="77777777" w:rsidR="00022120" w:rsidRDefault="00C02BBA">
      <w:pPr>
        <w:pStyle w:val="Answerline"/>
        <w:keepLines/>
        <w:pBdr>
          <w:bottom w:val="single" w:sz="5" w:space="1" w:color="B5C4CC"/>
          <w:between w:val="single" w:sz="5" w:space="1" w:color="B5C4CC"/>
        </w:pBdr>
        <w:spacing w:after="80"/>
      </w:pPr>
      <w:r>
        <w:t> </w:t>
      </w:r>
    </w:p>
    <w:p w14:paraId="602586FE" w14:textId="6BC2D5D8" w:rsidR="00022120" w:rsidRDefault="0065110B">
      <w:pPr>
        <w:keepNext/>
        <w:keepLines/>
        <w:spacing w:before="100" w:after="60"/>
      </w:pPr>
      <w:r>
        <w:t>7</w:t>
      </w:r>
      <w:r w:rsidR="00C02BBA">
        <w:t>. Why should we immobilize the enzyme at all if the fastest rate is when we have no beads at all, just the enzyme in solution.</w:t>
      </w:r>
    </w:p>
    <w:p w14:paraId="1AB8B4AA" w14:textId="77777777" w:rsidR="00022120" w:rsidRDefault="00C02BBA">
      <w:pPr>
        <w:pStyle w:val="Answerline"/>
        <w:keepNext/>
        <w:keepLines/>
        <w:pBdr>
          <w:bottom w:val="single" w:sz="5" w:space="1" w:color="B5C4CC"/>
          <w:between w:val="single" w:sz="5" w:space="1" w:color="B5C4CC"/>
        </w:pBdr>
        <w:spacing w:after="80"/>
      </w:pPr>
      <w:r>
        <w:t> </w:t>
      </w:r>
    </w:p>
    <w:p w14:paraId="3AF790EF" w14:textId="77777777" w:rsidR="00022120" w:rsidRDefault="00C02BBA">
      <w:pPr>
        <w:pStyle w:val="Answerline"/>
        <w:keepLines/>
        <w:pBdr>
          <w:bottom w:val="single" w:sz="5" w:space="1" w:color="B5C4CC"/>
          <w:between w:val="single" w:sz="5" w:space="1" w:color="B5C4CC"/>
        </w:pBdr>
        <w:spacing w:after="80"/>
      </w:pPr>
      <w:r>
        <w:t> </w:t>
      </w:r>
    </w:p>
    <w:p w14:paraId="467FFCFC" w14:textId="77777777" w:rsidR="006863C2" w:rsidRDefault="00000000">
      <w:r>
        <w:rPr>
          <w:b/>
        </w:rPr>
        <w:t>When this stage is complete,</w:t>
      </w:r>
      <w:r>
        <w:t xml:space="preserve"> click “Continue to Stage 4” at the bottom of the simulation.</w:t>
      </w:r>
    </w:p>
    <w:p w14:paraId="3719396C" w14:textId="77777777" w:rsidR="00022120" w:rsidRDefault="00C02BBA">
      <w:pPr>
        <w:pStyle w:val="Heading1"/>
      </w:pPr>
      <w:r>
        <w:rPr>
          <w:rFonts w:ascii="Arial" w:hAnsi="Arial"/>
          <w:sz w:val="22"/>
        </w:rPr>
        <w:t>Experiment 3: Compare the Two Bead Sizes (Stages 4–6)</w:t>
      </w:r>
    </w:p>
    <w:p w14:paraId="5DBCB0F6" w14:textId="77777777" w:rsidR="00022120" w:rsidRDefault="00C02BBA">
      <w:pPr>
        <w:keepLines/>
      </w:pPr>
      <w:r>
        <w:rPr>
          <w:sz w:val="22"/>
        </w:rPr>
        <w:t xml:space="preserve">Purpose: Compare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ONP</m:t>
            </m:r>
          </m:sub>
        </m:sSub>
      </m:oMath>
      <w:r>
        <w:rPr>
          <w:sz w:val="22"/>
        </w:rPr>
        <w:t xml:space="preserve"> vs. time for 2.8 mm and 4.6 mm beads.</w:t>
      </w:r>
    </w:p>
    <w:p w14:paraId="2ADDA735" w14:textId="77777777" w:rsidR="00022120" w:rsidRDefault="00C02BBA">
      <w:pPr>
        <w:pStyle w:val="Heading2"/>
      </w:pPr>
      <w:r>
        <w:rPr>
          <w:rFonts w:ascii="Arial" w:hAnsi="Arial"/>
          <w:sz w:val="22"/>
        </w:rPr>
        <w:t>Procedure</w:t>
      </w:r>
    </w:p>
    <w:p w14:paraId="14646DEE" w14:textId="77777777" w:rsidR="00022120" w:rsidRDefault="00C02BBA">
      <w:pPr>
        <w:keepLines/>
        <w:spacing w:after="80"/>
        <w:ind w:left="331" w:hanging="331"/>
      </w:pPr>
      <w:r>
        <w:t>1. In Stage 4 (2.8 mm beads), click “Set autosampler · six sample times.” This captures the initial reading at 0 min and schedules five more readings.</w:t>
      </w:r>
    </w:p>
    <w:p w14:paraId="6BD9F67C" w14:textId="43EFD760" w:rsidR="00022120" w:rsidRDefault="00C02BBA">
      <w:pPr>
        <w:keepLines/>
        <w:spacing w:after="80"/>
        <w:ind w:left="331" w:hanging="331"/>
      </w:pPr>
      <w:r>
        <w:t>2. Click “Start 340-min run (1</w:t>
      </w:r>
      <w:r w:rsidR="00D33AEF">
        <w:t>0 sec</w:t>
      </w:r>
      <w:r>
        <w:t xml:space="preserve"> playbac</w:t>
      </w:r>
      <w:r w:rsidR="00D33AEF">
        <w:t>k</w:t>
      </w:r>
      <w:r>
        <w:t xml:space="preserve">).” The simulated 340-minute experiment runs in </w:t>
      </w:r>
      <w:r w:rsidR="00D33AEF">
        <w:t>10</w:t>
      </w:r>
      <w:r>
        <w:t xml:space="preserve"> sec, recording ONP concentration at 0, 28, 85, 170, 255</w:t>
      </w:r>
      <w:r w:rsidR="00D33AEF">
        <w:t>,</w:t>
      </w:r>
      <w:r>
        <w:t xml:space="preserve"> and 340 equivalent lab minutes. Observe the smooth full-conversion curve.</w:t>
      </w:r>
    </w:p>
    <w:p w14:paraId="23D1E7A3" w14:textId="5B7C0DB4" w:rsidR="00022120" w:rsidRDefault="00C02BBA">
      <w:pPr>
        <w:keepLines/>
        <w:spacing w:after="80"/>
        <w:ind w:left="331" w:hanging="331"/>
      </w:pPr>
      <w:r>
        <w:t>3. Click “Continue to Stage 5” in the simulation. For the 4.6 mm beads, click “Set autosampler · six sample times,” then “Start 340-min run (1</w:t>
      </w:r>
      <w:r w:rsidR="00D33AEF">
        <w:t>0 sec</w:t>
      </w:r>
      <w:r>
        <w:t xml:space="preserve"> playback).” The same six equivalent laboratory times are recorded.</w:t>
      </w:r>
    </w:p>
    <w:p w14:paraId="46B023F8" w14:textId="77777777" w:rsidR="00022120" w:rsidRDefault="00C02BBA">
      <w:pPr>
        <w:keepLines/>
        <w:spacing w:after="80"/>
        <w:ind w:left="331" w:hanging="331"/>
      </w:pPr>
      <w:r>
        <w:t>4. Click “Continue to Stage 6” in the simulation to compare the six readings and complete ONP concentration–time curves for both bead sizes. No additional reactor run is performed in Stage 6.</w:t>
      </w:r>
    </w:p>
    <w:p w14:paraId="6E60AD12" w14:textId="439B7D14" w:rsidR="006863C2" w:rsidRDefault="00000000">
      <w:r>
        <w:t>After reading the complete procedure</w:t>
      </w:r>
      <w:r w:rsidR="0069519B">
        <w:t xml:space="preserve"> above</w:t>
      </w:r>
      <w:r>
        <w:t xml:space="preserve">, answer prediction Questions 9–11 below before </w:t>
      </w:r>
      <w:r w:rsidR="0069519B">
        <w:t>starting the simulation</w:t>
      </w:r>
      <w:r>
        <w:t xml:space="preserve"> in Stage 4. Then perform Stages 4–6 and answer the remaining comparison questions.</w:t>
      </w:r>
    </w:p>
    <w:p w14:paraId="0DDC6C6D" w14:textId="77777777" w:rsidR="00022120" w:rsidRDefault="00C02BBA">
      <w:pPr>
        <w:pStyle w:val="Heading2"/>
      </w:pPr>
      <w:r>
        <w:t>Predictions Before the Reactor Runs</w:t>
      </w:r>
    </w:p>
    <w:p w14:paraId="5C383FD4" w14:textId="5A933233" w:rsidR="00022120" w:rsidRDefault="0065110B">
      <w:pPr>
        <w:keepLines/>
        <w:spacing w:before="100" w:after="60"/>
        <w:ind w:left="331" w:hanging="331"/>
      </w:pPr>
      <w:r>
        <w:rPr>
          <w:bCs/>
          <w:sz w:val="22"/>
        </w:rPr>
        <w:t>8</w:t>
      </w:r>
      <w:r w:rsidR="00C02BBA">
        <w:rPr>
          <w:b/>
          <w:sz w:val="22"/>
        </w:rPr>
        <w:t xml:space="preserve">. </w:t>
      </w:r>
      <w:r w:rsidR="00C02BBA">
        <w:rPr>
          <w:rFonts w:eastAsia="Arial" w:cs="Arial"/>
          <w:sz w:val="22"/>
        </w:rPr>
        <w:t>Before running the simulation, which bead size do you expect to produce ONP faster, the 2.8 mm or 4.6 mm bead? Give reasons for your prediction.</w:t>
      </w:r>
    </w:p>
    <w:p w14:paraId="74F584A0" w14:textId="77777777" w:rsidR="00022120" w:rsidRDefault="00C02BBA">
      <w:pPr>
        <w:pStyle w:val="Answerline"/>
        <w:keepLines/>
        <w:pBdr>
          <w:bottom w:val="single" w:sz="5" w:space="1" w:color="B5C4CC"/>
          <w:between w:val="single" w:sz="5" w:space="1" w:color="B5C4CC"/>
        </w:pBdr>
        <w:spacing w:after="80"/>
      </w:pPr>
      <w:r>
        <w:t> </w:t>
      </w:r>
    </w:p>
    <w:p w14:paraId="09EDDB73" w14:textId="77777777" w:rsidR="00022120" w:rsidRDefault="00C02BBA">
      <w:pPr>
        <w:pStyle w:val="Answerline"/>
        <w:keepLines/>
        <w:pBdr>
          <w:bottom w:val="single" w:sz="5" w:space="1" w:color="B5C4CC"/>
          <w:between w:val="single" w:sz="5" w:space="1" w:color="B5C4CC"/>
        </w:pBdr>
        <w:spacing w:after="80"/>
      </w:pPr>
      <w:r>
        <w:lastRenderedPageBreak/>
        <w:t> </w:t>
      </w:r>
    </w:p>
    <w:p w14:paraId="05087EDB" w14:textId="36AA4447" w:rsidR="00022120" w:rsidRDefault="0065110B">
      <w:pPr>
        <w:keepNext/>
        <w:keepLines/>
        <w:spacing w:after="80"/>
        <w:ind w:left="331" w:hanging="331"/>
      </w:pPr>
      <w:r>
        <w:rPr>
          <w:bCs/>
          <w:sz w:val="22"/>
        </w:rPr>
        <w:t>9</w:t>
      </w:r>
      <w:r w:rsidR="00C02BBA">
        <w:rPr>
          <w:b/>
          <w:sz w:val="22"/>
        </w:rPr>
        <w:t xml:space="preserve">. </w:t>
      </w:r>
      <w:r w:rsidR="00C02BBA">
        <w:rPr>
          <w:rFonts w:eastAsia="Arial" w:cs="Arial"/>
          <w:sz w:val="22"/>
        </w:rPr>
        <w:t xml:space="preserve">Before running the simulation, sketch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ONP</m:t>
            </m:r>
          </m:sub>
        </m:sSub>
      </m:oMath>
      <w:r w:rsidR="00C02BBA">
        <w:rPr>
          <w:rFonts w:eastAsia="Arial" w:cs="Arial"/>
          <w:sz w:val="22"/>
        </w:rPr>
        <w:t xml:space="preserve"> versus time for both </w:t>
      </w:r>
      <w:r w:rsidR="00CC6C3F">
        <w:rPr>
          <w:rFonts w:eastAsia="Arial" w:cs="Arial"/>
          <w:sz w:val="22"/>
        </w:rPr>
        <w:t xml:space="preserve">2.8 and 4.6 </w:t>
      </w:r>
      <w:r w:rsidR="00C02BBA">
        <w:rPr>
          <w:rFonts w:eastAsia="Arial" w:cs="Arial"/>
          <w:sz w:val="22"/>
        </w:rPr>
        <w:t>bead sizes on Fig. 6.</w:t>
      </w:r>
    </w:p>
    <w:p w14:paraId="31F75440" w14:textId="77777777" w:rsidR="00022120" w:rsidRDefault="00C02BBA">
      <w:pPr>
        <w:keepNext/>
        <w:keepLines/>
        <w:spacing w:before="60" w:after="40"/>
        <w:jc w:val="center"/>
      </w:pPr>
      <w:r>
        <w:rPr>
          <w:noProof/>
        </w:rPr>
        <w:drawing>
          <wp:inline distT="0" distB="0" distL="0" distR="0" wp14:anchorId="7547B0DA" wp14:editId="5A589B3F">
            <wp:extent cx="5303520" cy="2788920"/>
            <wp:effectExtent l="0" t="0" r="0" b="0"/>
            <wp:docPr id="502" name="Editable Word 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7867FA08" w14:textId="75571C10" w:rsidR="00022120" w:rsidRDefault="00C02BBA">
      <w:pPr>
        <w:pStyle w:val="Figurecaptioncustom"/>
        <w:jc w:val="center"/>
      </w:pPr>
      <w:r>
        <w:rPr>
          <w:sz w:val="22"/>
        </w:rPr>
        <w:t xml:space="preserve">Fig. </w:t>
      </w:r>
      <w:r w:rsidR="00CC6C3F">
        <w:rPr>
          <w:sz w:val="22"/>
        </w:rPr>
        <w:t>6 Prediction</w:t>
      </w:r>
      <w:r>
        <w:rPr>
          <w:sz w:val="22"/>
        </w:rPr>
        <w:t xml:space="preserve"> for 2.8 mm and 4.6 mm beads. Label both curves.</w:t>
      </w:r>
    </w:p>
    <w:p w14:paraId="47EFFC7E" w14:textId="0D0B7E84" w:rsidR="00022120" w:rsidRDefault="0065110B">
      <w:pPr>
        <w:keepLines/>
        <w:spacing w:before="100" w:after="60"/>
        <w:ind w:left="331" w:hanging="331"/>
      </w:pPr>
      <w:r>
        <w:rPr>
          <w:bCs/>
          <w:sz w:val="22"/>
        </w:rPr>
        <w:t>10</w:t>
      </w:r>
      <w:r w:rsidR="00C02BBA">
        <w:rPr>
          <w:b/>
          <w:sz w:val="22"/>
        </w:rPr>
        <w:t xml:space="preserve">. </w:t>
      </w:r>
      <w:r w:rsidR="00C02BBA">
        <w:rPr>
          <w:rFonts w:eastAsia="Arial" w:cs="Arial"/>
          <w:sz w:val="22"/>
        </w:rPr>
        <w:t xml:space="preserve">What are the reasons you </w:t>
      </w:r>
      <w:r w:rsidR="00CC6C3F">
        <w:rPr>
          <w:rFonts w:eastAsia="Arial" w:cs="Arial"/>
          <w:sz w:val="22"/>
        </w:rPr>
        <w:t>sketched</w:t>
      </w:r>
      <w:r w:rsidR="00C02BBA">
        <w:rPr>
          <w:rFonts w:eastAsia="Arial" w:cs="Arial"/>
          <w:sz w:val="22"/>
        </w:rPr>
        <w:t xml:space="preserve"> this the way you did?</w:t>
      </w:r>
    </w:p>
    <w:p w14:paraId="5CB643B7" w14:textId="77777777" w:rsidR="00022120" w:rsidRDefault="00C02BBA">
      <w:pPr>
        <w:pStyle w:val="Answerline"/>
        <w:keepLines/>
        <w:pBdr>
          <w:bottom w:val="single" w:sz="5" w:space="1" w:color="B5C4CC"/>
          <w:between w:val="single" w:sz="5" w:space="1" w:color="B5C4CC"/>
        </w:pBdr>
        <w:spacing w:after="80"/>
      </w:pPr>
      <w:r>
        <w:t> </w:t>
      </w:r>
    </w:p>
    <w:p w14:paraId="5750AA6E" w14:textId="77777777" w:rsidR="00022120" w:rsidRDefault="00C02BBA">
      <w:pPr>
        <w:pStyle w:val="Answerline"/>
        <w:keepLines/>
        <w:pBdr>
          <w:bottom w:val="single" w:sz="5" w:space="1" w:color="B5C4CC"/>
          <w:between w:val="single" w:sz="5" w:space="1" w:color="B5C4CC"/>
        </w:pBdr>
        <w:spacing w:after="80"/>
      </w:pPr>
      <w:r>
        <w:t> </w:t>
      </w:r>
    </w:p>
    <w:p w14:paraId="4CA72DD4" w14:textId="77777777" w:rsidR="00022120" w:rsidRDefault="00C02BBA">
      <w:pPr>
        <w:pStyle w:val="Heading2"/>
      </w:pPr>
      <w:r>
        <w:t>Paired Results and Performance</w:t>
      </w:r>
    </w:p>
    <w:p w14:paraId="4495FF1F" w14:textId="77777777" w:rsidR="00022120" w:rsidRDefault="00C02BBA">
      <w:pPr>
        <w:keepLines/>
      </w:pPr>
      <w:r>
        <w:t>Record the six ONP concentrations from Stages 4 and 5 at the matching times below. Stage 6 displays the same six samples and both complete conversion responses.</w:t>
      </w:r>
    </w:p>
    <w:tbl>
      <w:tblPr>
        <w:tblW w:w="0" w:type="auto"/>
        <w:jc w:val="center"/>
        <w:tblBorders>
          <w:top w:val="single" w:sz="8" w:space="0" w:color="708492"/>
          <w:left w:val="nil"/>
          <w:bottom w:val="single" w:sz="8" w:space="0" w:color="708492"/>
          <w:right w:val="nil"/>
          <w:insideH w:val="single" w:sz="5" w:space="0" w:color="BEC9CE"/>
          <w:insideV w:val="nil"/>
        </w:tblBorders>
        <w:tblLayout w:type="fixed"/>
        <w:tblLook w:val="04A0" w:firstRow="1" w:lastRow="0" w:firstColumn="1" w:lastColumn="0" w:noHBand="0" w:noVBand="1"/>
      </w:tblPr>
      <w:tblGrid>
        <w:gridCol w:w="3005"/>
        <w:gridCol w:w="3345"/>
        <w:gridCol w:w="3345"/>
      </w:tblGrid>
      <w:tr w:rsidR="00022120" w14:paraId="694E6048" w14:textId="77777777">
        <w:trPr>
          <w:cantSplit/>
          <w:trHeight w:val="605"/>
          <w:tblHeader/>
          <w:jc w:val="center"/>
        </w:trPr>
        <w:tc>
          <w:tcPr>
            <w:tcW w:w="3005" w:type="dxa"/>
            <w:tcBorders>
              <w:top w:val="single" w:sz="5" w:space="0" w:color="A5BAC2"/>
              <w:left w:val="single" w:sz="5" w:space="0" w:color="A5BAC2"/>
              <w:bottom w:val="single" w:sz="5" w:space="0" w:color="A5BAC2"/>
              <w:right w:val="single" w:sz="5" w:space="0" w:color="A5BAC2"/>
            </w:tcBorders>
            <w:shd w:val="clear" w:color="auto" w:fill="E5EFF3"/>
            <w:tcMar>
              <w:top w:w="90" w:type="dxa"/>
              <w:left w:w="105" w:type="dxa"/>
              <w:bottom w:w="90" w:type="dxa"/>
              <w:right w:w="105" w:type="dxa"/>
            </w:tcMar>
            <w:vAlign w:val="center"/>
          </w:tcPr>
          <w:p w14:paraId="496931B0" w14:textId="77777777" w:rsidR="006863C2" w:rsidRDefault="00000000">
            <w:pPr>
              <w:spacing w:after="0" w:line="240" w:lineRule="auto"/>
            </w:pPr>
            <w:r>
              <w:rPr>
                <w:rFonts w:ascii="Aptos" w:hAnsi="Aptos"/>
                <w:b/>
                <w:color w:val="0D3245"/>
                <w:sz w:val="19"/>
              </w:rPr>
              <w:t>Equivalent lab time [min]</w:t>
            </w:r>
          </w:p>
        </w:tc>
        <w:tc>
          <w:tcPr>
            <w:tcW w:w="3345" w:type="dxa"/>
            <w:tcBorders>
              <w:top w:val="single" w:sz="5" w:space="0" w:color="A5BAC2"/>
              <w:left w:val="single" w:sz="5" w:space="0" w:color="A5BAC2"/>
              <w:bottom w:val="single" w:sz="5" w:space="0" w:color="A5BAC2"/>
              <w:right w:val="single" w:sz="5" w:space="0" w:color="A5BAC2"/>
            </w:tcBorders>
            <w:shd w:val="clear" w:color="auto" w:fill="E5EFF3"/>
            <w:tcMar>
              <w:top w:w="90" w:type="dxa"/>
              <w:left w:w="105" w:type="dxa"/>
              <w:bottom w:w="90" w:type="dxa"/>
              <w:right w:w="105" w:type="dxa"/>
            </w:tcMar>
            <w:vAlign w:val="center"/>
          </w:tcPr>
          <w:p w14:paraId="63A3F637" w14:textId="77777777" w:rsidR="006863C2" w:rsidRDefault="00000000">
            <w:pPr>
              <w:spacing w:after="0" w:line="240" w:lineRule="auto"/>
            </w:pPr>
            <w:r>
              <w:rPr>
                <w:rFonts w:ascii="Aptos" w:hAnsi="Aptos"/>
                <w:b/>
                <w:color w:val="0D3245"/>
                <w:sz w:val="19"/>
              </w:rPr>
              <w:t>ONP concentration [mM]</w:t>
            </w:r>
            <w:r>
              <w:rPr>
                <w:rFonts w:ascii="Aptos" w:hAnsi="Aptos"/>
                <w:b/>
                <w:color w:val="0D3245"/>
                <w:sz w:val="19"/>
              </w:rPr>
              <w:br/>
              <w:t>2.8 mm beads</w:t>
            </w:r>
          </w:p>
        </w:tc>
        <w:tc>
          <w:tcPr>
            <w:tcW w:w="3345" w:type="dxa"/>
            <w:tcBorders>
              <w:top w:val="single" w:sz="5" w:space="0" w:color="A5BAC2"/>
              <w:left w:val="single" w:sz="5" w:space="0" w:color="A5BAC2"/>
              <w:bottom w:val="single" w:sz="5" w:space="0" w:color="A5BAC2"/>
              <w:right w:val="single" w:sz="5" w:space="0" w:color="A5BAC2"/>
            </w:tcBorders>
            <w:shd w:val="clear" w:color="auto" w:fill="E5EFF3"/>
            <w:tcMar>
              <w:top w:w="90" w:type="dxa"/>
              <w:left w:w="105" w:type="dxa"/>
              <w:bottom w:w="90" w:type="dxa"/>
              <w:right w:w="105" w:type="dxa"/>
            </w:tcMar>
            <w:vAlign w:val="center"/>
          </w:tcPr>
          <w:p w14:paraId="24298E8C" w14:textId="77777777" w:rsidR="006863C2" w:rsidRDefault="00000000">
            <w:pPr>
              <w:spacing w:after="0" w:line="240" w:lineRule="auto"/>
            </w:pPr>
            <w:r>
              <w:rPr>
                <w:rFonts w:ascii="Aptos" w:hAnsi="Aptos"/>
                <w:b/>
                <w:color w:val="0D3245"/>
                <w:sz w:val="19"/>
              </w:rPr>
              <w:t>ONP concentration [mM]</w:t>
            </w:r>
            <w:r>
              <w:rPr>
                <w:rFonts w:ascii="Aptos" w:hAnsi="Aptos"/>
                <w:b/>
                <w:color w:val="0D3245"/>
                <w:sz w:val="19"/>
              </w:rPr>
              <w:br/>
              <w:t>4.6 mm beads</w:t>
            </w:r>
          </w:p>
        </w:tc>
      </w:tr>
      <w:tr w:rsidR="00022120" w14:paraId="04D83F4A" w14:textId="77777777">
        <w:trPr>
          <w:cantSplit/>
          <w:trHeight w:val="475"/>
          <w:jc w:val="center"/>
        </w:trPr>
        <w:tc>
          <w:tcPr>
            <w:tcW w:w="3005" w:type="dxa"/>
            <w:tcBorders>
              <w:top w:val="single" w:sz="5" w:space="0" w:color="A5BAC2"/>
              <w:left w:val="single" w:sz="5" w:space="0" w:color="A5BAC2"/>
              <w:bottom w:val="single" w:sz="5" w:space="0" w:color="A5BAC2"/>
              <w:right w:val="single" w:sz="5" w:space="0" w:color="A5BAC2"/>
            </w:tcBorders>
            <w:shd w:val="clear" w:color="auto" w:fill="FFFFFF"/>
            <w:tcMar>
              <w:top w:w="90" w:type="dxa"/>
              <w:left w:w="105" w:type="dxa"/>
              <w:bottom w:w="90" w:type="dxa"/>
              <w:right w:w="105" w:type="dxa"/>
            </w:tcMar>
            <w:vAlign w:val="center"/>
          </w:tcPr>
          <w:p w14:paraId="7ED098AC" w14:textId="77777777" w:rsidR="006863C2" w:rsidRDefault="00000000">
            <w:pPr>
              <w:spacing w:after="0" w:line="240" w:lineRule="auto"/>
              <w:jc w:val="center"/>
            </w:pPr>
            <w:r>
              <w:rPr>
                <w:rFonts w:ascii="Aptos" w:hAnsi="Aptos"/>
                <w:sz w:val="19"/>
              </w:rPr>
              <w:t>0</w:t>
            </w:r>
          </w:p>
        </w:tc>
        <w:tc>
          <w:tcPr>
            <w:tcW w:w="3345" w:type="dxa"/>
            <w:tcBorders>
              <w:top w:val="single" w:sz="5" w:space="0" w:color="A5BAC2"/>
              <w:left w:val="single" w:sz="5" w:space="0" w:color="A5BAC2"/>
              <w:bottom w:val="single" w:sz="5" w:space="0" w:color="A5BAC2"/>
              <w:right w:val="single" w:sz="5" w:space="0" w:color="A5BAC2"/>
            </w:tcBorders>
            <w:shd w:val="clear" w:color="auto" w:fill="FFFFFF"/>
            <w:tcMar>
              <w:top w:w="90" w:type="dxa"/>
              <w:left w:w="105" w:type="dxa"/>
              <w:bottom w:w="90" w:type="dxa"/>
              <w:right w:w="105" w:type="dxa"/>
            </w:tcMar>
            <w:vAlign w:val="center"/>
          </w:tcPr>
          <w:p w14:paraId="237DFB9E" w14:textId="77777777" w:rsidR="00022120" w:rsidRDefault="00C02BBA">
            <w:pPr>
              <w:spacing w:after="0" w:line="240" w:lineRule="auto"/>
              <w:jc w:val="center"/>
            </w:pPr>
            <w:r>
              <w:rPr>
                <w:rFonts w:ascii="Aptos" w:hAnsi="Aptos"/>
                <w:sz w:val="19"/>
              </w:rPr>
              <w:t>0</w:t>
            </w:r>
          </w:p>
        </w:tc>
        <w:tc>
          <w:tcPr>
            <w:tcW w:w="3345" w:type="dxa"/>
            <w:tcBorders>
              <w:top w:val="single" w:sz="5" w:space="0" w:color="A5BAC2"/>
              <w:left w:val="single" w:sz="5" w:space="0" w:color="A5BAC2"/>
              <w:bottom w:val="single" w:sz="5" w:space="0" w:color="A5BAC2"/>
              <w:right w:val="single" w:sz="5" w:space="0" w:color="A5BAC2"/>
            </w:tcBorders>
            <w:shd w:val="clear" w:color="auto" w:fill="FFFFFF"/>
            <w:tcMar>
              <w:top w:w="90" w:type="dxa"/>
              <w:left w:w="105" w:type="dxa"/>
              <w:bottom w:w="90" w:type="dxa"/>
              <w:right w:w="105" w:type="dxa"/>
            </w:tcMar>
            <w:vAlign w:val="center"/>
          </w:tcPr>
          <w:p w14:paraId="332A9D10" w14:textId="77777777" w:rsidR="00022120" w:rsidRDefault="00C02BBA">
            <w:pPr>
              <w:spacing w:after="0" w:line="240" w:lineRule="auto"/>
              <w:jc w:val="center"/>
            </w:pPr>
            <w:r>
              <w:rPr>
                <w:rFonts w:ascii="Aptos" w:hAnsi="Aptos"/>
                <w:sz w:val="19"/>
              </w:rPr>
              <w:t>0</w:t>
            </w:r>
          </w:p>
        </w:tc>
      </w:tr>
      <w:tr w:rsidR="00022120" w14:paraId="6DF9A6FC" w14:textId="77777777">
        <w:trPr>
          <w:cantSplit/>
          <w:trHeight w:val="475"/>
          <w:jc w:val="center"/>
        </w:trPr>
        <w:tc>
          <w:tcPr>
            <w:tcW w:w="3005" w:type="dxa"/>
            <w:tcBorders>
              <w:top w:val="single" w:sz="5" w:space="0" w:color="A5BAC2"/>
              <w:left w:val="single" w:sz="5" w:space="0" w:color="A5BAC2"/>
              <w:bottom w:val="single" w:sz="5" w:space="0" w:color="A5BAC2"/>
              <w:right w:val="single" w:sz="5" w:space="0" w:color="A5BAC2"/>
            </w:tcBorders>
            <w:shd w:val="clear" w:color="auto" w:fill="F5F8F9"/>
            <w:tcMar>
              <w:top w:w="90" w:type="dxa"/>
              <w:left w:w="105" w:type="dxa"/>
              <w:bottom w:w="90" w:type="dxa"/>
              <w:right w:w="105" w:type="dxa"/>
            </w:tcMar>
            <w:vAlign w:val="center"/>
          </w:tcPr>
          <w:p w14:paraId="7700B081" w14:textId="77777777" w:rsidR="006863C2" w:rsidRDefault="00000000">
            <w:pPr>
              <w:spacing w:after="0" w:line="240" w:lineRule="auto"/>
              <w:jc w:val="center"/>
            </w:pPr>
            <w:r>
              <w:rPr>
                <w:rFonts w:ascii="Aptos" w:hAnsi="Aptos"/>
                <w:sz w:val="19"/>
              </w:rPr>
              <w:t>28</w:t>
            </w:r>
          </w:p>
        </w:tc>
        <w:tc>
          <w:tcPr>
            <w:tcW w:w="3345" w:type="dxa"/>
            <w:tcBorders>
              <w:top w:val="single" w:sz="5" w:space="0" w:color="A5BAC2"/>
              <w:left w:val="single" w:sz="5" w:space="0" w:color="A5BAC2"/>
              <w:bottom w:val="single" w:sz="5" w:space="0" w:color="A5BAC2"/>
              <w:right w:val="single" w:sz="5" w:space="0" w:color="A5BAC2"/>
            </w:tcBorders>
            <w:shd w:val="clear" w:color="auto" w:fill="F5F8F9"/>
            <w:tcMar>
              <w:top w:w="90" w:type="dxa"/>
              <w:left w:w="105" w:type="dxa"/>
              <w:bottom w:w="90" w:type="dxa"/>
              <w:right w:w="105" w:type="dxa"/>
            </w:tcMar>
            <w:vAlign w:val="center"/>
          </w:tcPr>
          <w:p w14:paraId="70802EA9" w14:textId="77777777" w:rsidR="006863C2" w:rsidRDefault="006863C2">
            <w:pPr>
              <w:spacing w:after="0" w:line="240" w:lineRule="auto"/>
              <w:jc w:val="center"/>
            </w:pPr>
          </w:p>
        </w:tc>
        <w:tc>
          <w:tcPr>
            <w:tcW w:w="3345" w:type="dxa"/>
            <w:tcBorders>
              <w:top w:val="single" w:sz="5" w:space="0" w:color="A5BAC2"/>
              <w:left w:val="single" w:sz="5" w:space="0" w:color="A5BAC2"/>
              <w:bottom w:val="single" w:sz="5" w:space="0" w:color="A5BAC2"/>
              <w:right w:val="single" w:sz="5" w:space="0" w:color="A5BAC2"/>
            </w:tcBorders>
            <w:shd w:val="clear" w:color="auto" w:fill="F5F8F9"/>
            <w:tcMar>
              <w:top w:w="90" w:type="dxa"/>
              <w:left w:w="105" w:type="dxa"/>
              <w:bottom w:w="90" w:type="dxa"/>
              <w:right w:w="105" w:type="dxa"/>
            </w:tcMar>
            <w:vAlign w:val="center"/>
          </w:tcPr>
          <w:p w14:paraId="008AF585" w14:textId="77777777" w:rsidR="006863C2" w:rsidRDefault="006863C2">
            <w:pPr>
              <w:spacing w:after="0" w:line="240" w:lineRule="auto"/>
              <w:jc w:val="center"/>
            </w:pPr>
          </w:p>
        </w:tc>
      </w:tr>
      <w:tr w:rsidR="00022120" w14:paraId="6A0CB340" w14:textId="77777777">
        <w:trPr>
          <w:cantSplit/>
          <w:trHeight w:val="475"/>
          <w:jc w:val="center"/>
        </w:trPr>
        <w:tc>
          <w:tcPr>
            <w:tcW w:w="3005" w:type="dxa"/>
            <w:tcBorders>
              <w:top w:val="single" w:sz="5" w:space="0" w:color="A5BAC2"/>
              <w:left w:val="single" w:sz="5" w:space="0" w:color="A5BAC2"/>
              <w:bottom w:val="single" w:sz="5" w:space="0" w:color="A5BAC2"/>
              <w:right w:val="single" w:sz="5" w:space="0" w:color="A5BAC2"/>
            </w:tcBorders>
            <w:shd w:val="clear" w:color="auto" w:fill="FFFFFF"/>
            <w:tcMar>
              <w:top w:w="90" w:type="dxa"/>
              <w:left w:w="105" w:type="dxa"/>
              <w:bottom w:w="90" w:type="dxa"/>
              <w:right w:w="105" w:type="dxa"/>
            </w:tcMar>
            <w:vAlign w:val="center"/>
          </w:tcPr>
          <w:p w14:paraId="1D88102E" w14:textId="77777777" w:rsidR="006863C2" w:rsidRDefault="00000000">
            <w:pPr>
              <w:spacing w:after="0" w:line="240" w:lineRule="auto"/>
              <w:jc w:val="center"/>
            </w:pPr>
            <w:r>
              <w:rPr>
                <w:rFonts w:ascii="Aptos" w:hAnsi="Aptos"/>
                <w:sz w:val="19"/>
              </w:rPr>
              <w:t>85</w:t>
            </w:r>
          </w:p>
        </w:tc>
        <w:tc>
          <w:tcPr>
            <w:tcW w:w="3345" w:type="dxa"/>
            <w:tcBorders>
              <w:top w:val="single" w:sz="5" w:space="0" w:color="A5BAC2"/>
              <w:left w:val="single" w:sz="5" w:space="0" w:color="A5BAC2"/>
              <w:bottom w:val="single" w:sz="5" w:space="0" w:color="A5BAC2"/>
              <w:right w:val="single" w:sz="5" w:space="0" w:color="A5BAC2"/>
            </w:tcBorders>
            <w:shd w:val="clear" w:color="auto" w:fill="FFFFFF"/>
            <w:tcMar>
              <w:top w:w="90" w:type="dxa"/>
              <w:left w:w="105" w:type="dxa"/>
              <w:bottom w:w="90" w:type="dxa"/>
              <w:right w:w="105" w:type="dxa"/>
            </w:tcMar>
            <w:vAlign w:val="center"/>
          </w:tcPr>
          <w:p w14:paraId="07E172AE" w14:textId="77777777" w:rsidR="006863C2" w:rsidRDefault="006863C2">
            <w:pPr>
              <w:spacing w:after="0" w:line="240" w:lineRule="auto"/>
              <w:jc w:val="center"/>
            </w:pPr>
          </w:p>
        </w:tc>
        <w:tc>
          <w:tcPr>
            <w:tcW w:w="3345" w:type="dxa"/>
            <w:tcBorders>
              <w:top w:val="single" w:sz="5" w:space="0" w:color="A5BAC2"/>
              <w:left w:val="single" w:sz="5" w:space="0" w:color="A5BAC2"/>
              <w:bottom w:val="single" w:sz="5" w:space="0" w:color="A5BAC2"/>
              <w:right w:val="single" w:sz="5" w:space="0" w:color="A5BAC2"/>
            </w:tcBorders>
            <w:shd w:val="clear" w:color="auto" w:fill="FFFFFF"/>
            <w:tcMar>
              <w:top w:w="90" w:type="dxa"/>
              <w:left w:w="105" w:type="dxa"/>
              <w:bottom w:w="90" w:type="dxa"/>
              <w:right w:w="105" w:type="dxa"/>
            </w:tcMar>
            <w:vAlign w:val="center"/>
          </w:tcPr>
          <w:p w14:paraId="6EF93900" w14:textId="77777777" w:rsidR="006863C2" w:rsidRDefault="006863C2">
            <w:pPr>
              <w:spacing w:after="0" w:line="240" w:lineRule="auto"/>
              <w:jc w:val="center"/>
            </w:pPr>
          </w:p>
        </w:tc>
      </w:tr>
      <w:tr w:rsidR="00022120" w14:paraId="49129AD6" w14:textId="77777777">
        <w:trPr>
          <w:cantSplit/>
          <w:trHeight w:val="475"/>
          <w:jc w:val="center"/>
        </w:trPr>
        <w:tc>
          <w:tcPr>
            <w:tcW w:w="3005" w:type="dxa"/>
            <w:tcBorders>
              <w:top w:val="single" w:sz="5" w:space="0" w:color="A5BAC2"/>
              <w:left w:val="single" w:sz="5" w:space="0" w:color="A5BAC2"/>
              <w:bottom w:val="single" w:sz="5" w:space="0" w:color="A5BAC2"/>
              <w:right w:val="single" w:sz="5" w:space="0" w:color="A5BAC2"/>
            </w:tcBorders>
            <w:shd w:val="clear" w:color="auto" w:fill="F5F8F9"/>
            <w:tcMar>
              <w:top w:w="90" w:type="dxa"/>
              <w:left w:w="105" w:type="dxa"/>
              <w:bottom w:w="90" w:type="dxa"/>
              <w:right w:w="105" w:type="dxa"/>
            </w:tcMar>
            <w:vAlign w:val="center"/>
          </w:tcPr>
          <w:p w14:paraId="0445A101" w14:textId="77777777" w:rsidR="006863C2" w:rsidRDefault="00000000">
            <w:pPr>
              <w:spacing w:after="0" w:line="240" w:lineRule="auto"/>
              <w:jc w:val="center"/>
            </w:pPr>
            <w:r>
              <w:rPr>
                <w:rFonts w:ascii="Aptos" w:hAnsi="Aptos"/>
                <w:sz w:val="19"/>
              </w:rPr>
              <w:t>170</w:t>
            </w:r>
          </w:p>
        </w:tc>
        <w:tc>
          <w:tcPr>
            <w:tcW w:w="3345" w:type="dxa"/>
            <w:tcBorders>
              <w:top w:val="single" w:sz="5" w:space="0" w:color="A5BAC2"/>
              <w:left w:val="single" w:sz="5" w:space="0" w:color="A5BAC2"/>
              <w:bottom w:val="single" w:sz="5" w:space="0" w:color="A5BAC2"/>
              <w:right w:val="single" w:sz="5" w:space="0" w:color="A5BAC2"/>
            </w:tcBorders>
            <w:shd w:val="clear" w:color="auto" w:fill="F5F8F9"/>
            <w:tcMar>
              <w:top w:w="90" w:type="dxa"/>
              <w:left w:w="105" w:type="dxa"/>
              <w:bottom w:w="90" w:type="dxa"/>
              <w:right w:w="105" w:type="dxa"/>
            </w:tcMar>
            <w:vAlign w:val="center"/>
          </w:tcPr>
          <w:p w14:paraId="7E3E5569" w14:textId="77777777" w:rsidR="006863C2" w:rsidRDefault="006863C2">
            <w:pPr>
              <w:spacing w:after="0" w:line="240" w:lineRule="auto"/>
              <w:jc w:val="center"/>
            </w:pPr>
          </w:p>
        </w:tc>
        <w:tc>
          <w:tcPr>
            <w:tcW w:w="3345" w:type="dxa"/>
            <w:tcBorders>
              <w:top w:val="single" w:sz="5" w:space="0" w:color="A5BAC2"/>
              <w:left w:val="single" w:sz="5" w:space="0" w:color="A5BAC2"/>
              <w:bottom w:val="single" w:sz="5" w:space="0" w:color="A5BAC2"/>
              <w:right w:val="single" w:sz="5" w:space="0" w:color="A5BAC2"/>
            </w:tcBorders>
            <w:shd w:val="clear" w:color="auto" w:fill="F5F8F9"/>
            <w:tcMar>
              <w:top w:w="90" w:type="dxa"/>
              <w:left w:w="105" w:type="dxa"/>
              <w:bottom w:w="90" w:type="dxa"/>
              <w:right w:w="105" w:type="dxa"/>
            </w:tcMar>
            <w:vAlign w:val="center"/>
          </w:tcPr>
          <w:p w14:paraId="385FAA3C" w14:textId="77777777" w:rsidR="006863C2" w:rsidRDefault="006863C2">
            <w:pPr>
              <w:spacing w:after="0" w:line="240" w:lineRule="auto"/>
              <w:jc w:val="center"/>
            </w:pPr>
          </w:p>
        </w:tc>
      </w:tr>
      <w:tr w:rsidR="00022120" w14:paraId="7C41C7AC" w14:textId="77777777">
        <w:trPr>
          <w:cantSplit/>
          <w:trHeight w:val="475"/>
          <w:jc w:val="center"/>
        </w:trPr>
        <w:tc>
          <w:tcPr>
            <w:tcW w:w="3005" w:type="dxa"/>
            <w:tcBorders>
              <w:top w:val="single" w:sz="5" w:space="0" w:color="A5BAC2"/>
              <w:left w:val="single" w:sz="5" w:space="0" w:color="A5BAC2"/>
              <w:bottom w:val="single" w:sz="5" w:space="0" w:color="A5BAC2"/>
              <w:right w:val="single" w:sz="5" w:space="0" w:color="A5BAC2"/>
            </w:tcBorders>
            <w:shd w:val="clear" w:color="auto" w:fill="FFFFFF"/>
            <w:tcMar>
              <w:top w:w="90" w:type="dxa"/>
              <w:left w:w="105" w:type="dxa"/>
              <w:bottom w:w="90" w:type="dxa"/>
              <w:right w:w="105" w:type="dxa"/>
            </w:tcMar>
            <w:vAlign w:val="center"/>
          </w:tcPr>
          <w:p w14:paraId="69CAD1D1" w14:textId="77777777" w:rsidR="006863C2" w:rsidRDefault="00000000">
            <w:pPr>
              <w:spacing w:after="0" w:line="240" w:lineRule="auto"/>
              <w:jc w:val="center"/>
            </w:pPr>
            <w:r>
              <w:rPr>
                <w:rFonts w:ascii="Aptos" w:hAnsi="Aptos"/>
                <w:sz w:val="19"/>
              </w:rPr>
              <w:t>255</w:t>
            </w:r>
          </w:p>
        </w:tc>
        <w:tc>
          <w:tcPr>
            <w:tcW w:w="3345" w:type="dxa"/>
            <w:tcBorders>
              <w:top w:val="single" w:sz="5" w:space="0" w:color="A5BAC2"/>
              <w:left w:val="single" w:sz="5" w:space="0" w:color="A5BAC2"/>
              <w:bottom w:val="single" w:sz="5" w:space="0" w:color="A5BAC2"/>
              <w:right w:val="single" w:sz="5" w:space="0" w:color="A5BAC2"/>
            </w:tcBorders>
            <w:shd w:val="clear" w:color="auto" w:fill="FFFFFF"/>
            <w:tcMar>
              <w:top w:w="90" w:type="dxa"/>
              <w:left w:w="105" w:type="dxa"/>
              <w:bottom w:w="90" w:type="dxa"/>
              <w:right w:w="105" w:type="dxa"/>
            </w:tcMar>
            <w:vAlign w:val="center"/>
          </w:tcPr>
          <w:p w14:paraId="24E0231B" w14:textId="77777777" w:rsidR="006863C2" w:rsidRDefault="006863C2">
            <w:pPr>
              <w:spacing w:after="0" w:line="240" w:lineRule="auto"/>
              <w:jc w:val="center"/>
            </w:pPr>
          </w:p>
        </w:tc>
        <w:tc>
          <w:tcPr>
            <w:tcW w:w="3345" w:type="dxa"/>
            <w:tcBorders>
              <w:top w:val="single" w:sz="5" w:space="0" w:color="A5BAC2"/>
              <w:left w:val="single" w:sz="5" w:space="0" w:color="A5BAC2"/>
              <w:bottom w:val="single" w:sz="5" w:space="0" w:color="A5BAC2"/>
              <w:right w:val="single" w:sz="5" w:space="0" w:color="A5BAC2"/>
            </w:tcBorders>
            <w:shd w:val="clear" w:color="auto" w:fill="FFFFFF"/>
            <w:tcMar>
              <w:top w:w="90" w:type="dxa"/>
              <w:left w:w="105" w:type="dxa"/>
              <w:bottom w:w="90" w:type="dxa"/>
              <w:right w:w="105" w:type="dxa"/>
            </w:tcMar>
            <w:vAlign w:val="center"/>
          </w:tcPr>
          <w:p w14:paraId="45AF9707" w14:textId="77777777" w:rsidR="006863C2" w:rsidRDefault="006863C2">
            <w:pPr>
              <w:spacing w:after="0" w:line="240" w:lineRule="auto"/>
              <w:jc w:val="center"/>
            </w:pPr>
          </w:p>
        </w:tc>
      </w:tr>
      <w:tr w:rsidR="00022120" w14:paraId="1D65337D" w14:textId="77777777">
        <w:trPr>
          <w:cantSplit/>
          <w:trHeight w:val="475"/>
          <w:jc w:val="center"/>
        </w:trPr>
        <w:tc>
          <w:tcPr>
            <w:tcW w:w="3005" w:type="dxa"/>
            <w:tcBorders>
              <w:top w:val="single" w:sz="5" w:space="0" w:color="A5BAC2"/>
              <w:left w:val="single" w:sz="5" w:space="0" w:color="A5BAC2"/>
              <w:bottom w:val="single" w:sz="5" w:space="0" w:color="A5BAC2"/>
              <w:right w:val="single" w:sz="5" w:space="0" w:color="A5BAC2"/>
            </w:tcBorders>
            <w:shd w:val="clear" w:color="auto" w:fill="F5F8F9"/>
            <w:tcMar>
              <w:top w:w="90" w:type="dxa"/>
              <w:left w:w="105" w:type="dxa"/>
              <w:bottom w:w="90" w:type="dxa"/>
              <w:right w:w="105" w:type="dxa"/>
            </w:tcMar>
            <w:vAlign w:val="center"/>
          </w:tcPr>
          <w:p w14:paraId="0296136A" w14:textId="77777777" w:rsidR="006863C2" w:rsidRDefault="00000000">
            <w:pPr>
              <w:spacing w:after="0" w:line="240" w:lineRule="auto"/>
              <w:jc w:val="center"/>
            </w:pPr>
            <w:r>
              <w:rPr>
                <w:rFonts w:ascii="Aptos" w:hAnsi="Aptos"/>
                <w:sz w:val="19"/>
              </w:rPr>
              <w:t>340</w:t>
            </w:r>
          </w:p>
        </w:tc>
        <w:tc>
          <w:tcPr>
            <w:tcW w:w="3345" w:type="dxa"/>
            <w:tcBorders>
              <w:top w:val="single" w:sz="5" w:space="0" w:color="A5BAC2"/>
              <w:left w:val="single" w:sz="5" w:space="0" w:color="A5BAC2"/>
              <w:bottom w:val="single" w:sz="5" w:space="0" w:color="A5BAC2"/>
              <w:right w:val="single" w:sz="5" w:space="0" w:color="A5BAC2"/>
            </w:tcBorders>
            <w:shd w:val="clear" w:color="auto" w:fill="F5F8F9"/>
            <w:tcMar>
              <w:top w:w="90" w:type="dxa"/>
              <w:left w:w="105" w:type="dxa"/>
              <w:bottom w:w="90" w:type="dxa"/>
              <w:right w:w="105" w:type="dxa"/>
            </w:tcMar>
            <w:vAlign w:val="center"/>
          </w:tcPr>
          <w:p w14:paraId="52737BC9" w14:textId="77777777" w:rsidR="006863C2" w:rsidRDefault="006863C2">
            <w:pPr>
              <w:spacing w:after="0" w:line="240" w:lineRule="auto"/>
              <w:jc w:val="center"/>
            </w:pPr>
          </w:p>
        </w:tc>
        <w:tc>
          <w:tcPr>
            <w:tcW w:w="3345" w:type="dxa"/>
            <w:tcBorders>
              <w:top w:val="single" w:sz="5" w:space="0" w:color="A5BAC2"/>
              <w:left w:val="single" w:sz="5" w:space="0" w:color="A5BAC2"/>
              <w:bottom w:val="single" w:sz="5" w:space="0" w:color="A5BAC2"/>
              <w:right w:val="single" w:sz="5" w:space="0" w:color="A5BAC2"/>
            </w:tcBorders>
            <w:shd w:val="clear" w:color="auto" w:fill="F5F8F9"/>
            <w:tcMar>
              <w:top w:w="90" w:type="dxa"/>
              <w:left w:w="105" w:type="dxa"/>
              <w:bottom w:w="90" w:type="dxa"/>
              <w:right w:w="105" w:type="dxa"/>
            </w:tcMar>
            <w:vAlign w:val="center"/>
          </w:tcPr>
          <w:p w14:paraId="3360A34B" w14:textId="77777777" w:rsidR="006863C2" w:rsidRDefault="006863C2">
            <w:pPr>
              <w:spacing w:after="0" w:line="240" w:lineRule="auto"/>
              <w:jc w:val="center"/>
            </w:pPr>
          </w:p>
        </w:tc>
      </w:tr>
    </w:tbl>
    <w:p w14:paraId="4E750193" w14:textId="7DD88BBA" w:rsidR="00022120" w:rsidRDefault="0065110B">
      <w:pPr>
        <w:keepLines/>
        <w:spacing w:before="100" w:after="60"/>
        <w:ind w:left="331" w:hanging="331"/>
      </w:pPr>
      <w:r>
        <w:rPr>
          <w:bCs/>
          <w:sz w:val="22"/>
        </w:rPr>
        <w:lastRenderedPageBreak/>
        <w:t>11</w:t>
      </w:r>
      <w:r w:rsidR="00C02BBA">
        <w:rPr>
          <w:b/>
          <w:sz w:val="22"/>
        </w:rPr>
        <w:t xml:space="preserve">. </w:t>
      </w:r>
      <w:r w:rsidR="00C02BBA">
        <w:rPr>
          <w:rFonts w:eastAsia="Arial" w:cs="Arial"/>
          <w:sz w:val="22"/>
        </w:rPr>
        <w:t xml:space="preserve">At the same </w:t>
      </w:r>
      <w:proofErr w:type="gramStart"/>
      <w:r w:rsidR="00C02BBA">
        <w:rPr>
          <w:rFonts w:eastAsia="Arial" w:cs="Arial"/>
          <w:sz w:val="22"/>
        </w:rPr>
        <w:t>time points</w:t>
      </w:r>
      <w:proofErr w:type="gramEnd"/>
      <w:r w:rsidR="00C02BBA">
        <w:rPr>
          <w:rFonts w:eastAsia="Arial" w:cs="Arial"/>
          <w:sz w:val="22"/>
        </w:rPr>
        <w:t>, which bead size produced the higher ONP concentration? Cite one pair of values from the table, e.g., at 170 min.</w:t>
      </w:r>
    </w:p>
    <w:p w14:paraId="79CA42F5" w14:textId="77777777" w:rsidR="00022120" w:rsidRDefault="00C02BBA">
      <w:pPr>
        <w:pStyle w:val="Answerline"/>
        <w:keepLines/>
        <w:pBdr>
          <w:bottom w:val="single" w:sz="5" w:space="1" w:color="B5C4CC"/>
          <w:between w:val="single" w:sz="5" w:space="1" w:color="B5C4CC"/>
        </w:pBdr>
        <w:spacing w:after="80"/>
      </w:pPr>
      <w:r>
        <w:t> </w:t>
      </w:r>
    </w:p>
    <w:p w14:paraId="5F77BA0C" w14:textId="77777777" w:rsidR="00022120" w:rsidRDefault="00C02BBA">
      <w:pPr>
        <w:pStyle w:val="Answerline"/>
        <w:keepLines/>
        <w:pBdr>
          <w:bottom w:val="single" w:sz="5" w:space="1" w:color="B5C4CC"/>
          <w:between w:val="single" w:sz="5" w:space="1" w:color="B5C4CC"/>
        </w:pBdr>
        <w:spacing w:after="80"/>
      </w:pPr>
      <w:r>
        <w:t> </w:t>
      </w:r>
    </w:p>
    <w:p w14:paraId="0F2940BE" w14:textId="77777777" w:rsidR="00022120" w:rsidRDefault="00C02BBA">
      <w:pPr>
        <w:pStyle w:val="Heading2"/>
      </w:pPr>
      <w:r>
        <w:t>Bead-Size Comparison and Internal Mass Transfer</w:t>
      </w:r>
    </w:p>
    <w:p w14:paraId="3CA57F75" w14:textId="77777777" w:rsidR="00022120" w:rsidRDefault="00C02BBA">
      <w:pPr>
        <w:keepLines/>
      </w:pPr>
      <w:r>
        <w:rPr>
          <w:sz w:val="22"/>
        </w:rPr>
        <w:t>Use the Stage 6 comparison screen and record the summary values.</w:t>
      </w:r>
    </w:p>
    <w:tbl>
      <w:tblPr>
        <w:tblW w:w="0" w:type="auto"/>
        <w:jc w:val="center"/>
        <w:tblBorders>
          <w:top w:val="single" w:sz="8" w:space="0" w:color="708492"/>
          <w:left w:val="nil"/>
          <w:bottom w:val="single" w:sz="8" w:space="0" w:color="708492"/>
          <w:right w:val="nil"/>
          <w:insideH w:val="single" w:sz="5" w:space="0" w:color="BEC9CE"/>
          <w:insideV w:val="nil"/>
        </w:tblBorders>
        <w:tblLayout w:type="fixed"/>
        <w:tblLook w:val="04A0" w:firstRow="1" w:lastRow="0" w:firstColumn="1" w:lastColumn="0" w:noHBand="0" w:noVBand="1"/>
      </w:tblPr>
      <w:tblGrid>
        <w:gridCol w:w="1984"/>
        <w:gridCol w:w="2438"/>
        <w:gridCol w:w="2438"/>
        <w:gridCol w:w="2835"/>
      </w:tblGrid>
      <w:tr w:rsidR="00022120" w14:paraId="4A3F86D5" w14:textId="77777777">
        <w:trPr>
          <w:cantSplit/>
          <w:trHeight w:val="605"/>
          <w:tblHeader/>
          <w:jc w:val="center"/>
        </w:trPr>
        <w:tc>
          <w:tcPr>
            <w:tcW w:w="1984" w:type="dxa"/>
            <w:tcBorders>
              <w:top w:val="single" w:sz="5" w:space="0" w:color="A5BAC2"/>
              <w:left w:val="single" w:sz="5" w:space="0" w:color="A5BAC2"/>
              <w:bottom w:val="single" w:sz="5" w:space="0" w:color="A5BAC2"/>
              <w:right w:val="single" w:sz="5" w:space="0" w:color="A5BAC2"/>
            </w:tcBorders>
            <w:shd w:val="clear" w:color="auto" w:fill="E5EFF3"/>
            <w:tcMar>
              <w:top w:w="90" w:type="dxa"/>
              <w:left w:w="105" w:type="dxa"/>
              <w:bottom w:w="90" w:type="dxa"/>
              <w:right w:w="105" w:type="dxa"/>
            </w:tcMar>
            <w:vAlign w:val="center"/>
          </w:tcPr>
          <w:p w14:paraId="34177B74" w14:textId="77777777" w:rsidR="006863C2" w:rsidRDefault="00000000" w:rsidP="001E63F5">
            <w:pPr>
              <w:spacing w:after="0" w:line="240" w:lineRule="auto"/>
              <w:jc w:val="center"/>
            </w:pPr>
            <w:r>
              <w:rPr>
                <w:rFonts w:ascii="Aptos" w:hAnsi="Aptos"/>
                <w:b/>
                <w:color w:val="0D3245"/>
                <w:sz w:val="19"/>
              </w:rPr>
              <w:t>Bead diameter [mm]</w:t>
            </w:r>
          </w:p>
        </w:tc>
        <w:tc>
          <w:tcPr>
            <w:tcW w:w="2438" w:type="dxa"/>
            <w:tcBorders>
              <w:top w:val="single" w:sz="5" w:space="0" w:color="A5BAC2"/>
              <w:left w:val="single" w:sz="5" w:space="0" w:color="A5BAC2"/>
              <w:bottom w:val="single" w:sz="5" w:space="0" w:color="A5BAC2"/>
              <w:right w:val="single" w:sz="5" w:space="0" w:color="A5BAC2"/>
            </w:tcBorders>
            <w:shd w:val="clear" w:color="auto" w:fill="E5EFF3"/>
            <w:tcMar>
              <w:top w:w="90" w:type="dxa"/>
              <w:left w:w="105" w:type="dxa"/>
              <w:bottom w:w="90" w:type="dxa"/>
              <w:right w:w="105" w:type="dxa"/>
            </w:tcMar>
            <w:vAlign w:val="center"/>
          </w:tcPr>
          <w:p w14:paraId="03E7E3B7" w14:textId="77777777" w:rsidR="006863C2" w:rsidRDefault="00000000" w:rsidP="001E63F5">
            <w:pPr>
              <w:spacing w:after="0" w:line="240" w:lineRule="auto"/>
              <w:jc w:val="center"/>
            </w:pPr>
            <w:r>
              <w:rPr>
                <w:rFonts w:ascii="Aptos" w:hAnsi="Aptos"/>
                <w:b/>
                <w:color w:val="0D3245"/>
                <w:sz w:val="19"/>
              </w:rPr>
              <w:t>Initial rate [mM/min]</w:t>
            </w:r>
          </w:p>
        </w:tc>
        <w:tc>
          <w:tcPr>
            <w:tcW w:w="2438" w:type="dxa"/>
            <w:tcBorders>
              <w:top w:val="single" w:sz="5" w:space="0" w:color="A5BAC2"/>
              <w:left w:val="single" w:sz="5" w:space="0" w:color="A5BAC2"/>
              <w:bottom w:val="single" w:sz="5" w:space="0" w:color="A5BAC2"/>
              <w:right w:val="single" w:sz="5" w:space="0" w:color="A5BAC2"/>
            </w:tcBorders>
            <w:shd w:val="clear" w:color="auto" w:fill="E5EFF3"/>
            <w:tcMar>
              <w:top w:w="90" w:type="dxa"/>
              <w:left w:w="105" w:type="dxa"/>
              <w:bottom w:w="90" w:type="dxa"/>
              <w:right w:w="105" w:type="dxa"/>
            </w:tcMar>
            <w:vAlign w:val="center"/>
          </w:tcPr>
          <w:p w14:paraId="72179D66" w14:textId="77777777" w:rsidR="006863C2" w:rsidRDefault="00000000" w:rsidP="001E63F5">
            <w:pPr>
              <w:spacing w:after="0" w:line="240" w:lineRule="auto"/>
              <w:jc w:val="center"/>
            </w:pPr>
            <w:r>
              <w:rPr>
                <w:rFonts w:ascii="Aptos" w:hAnsi="Aptos"/>
                <w:b/>
                <w:color w:val="0D3245"/>
                <w:sz w:val="19"/>
              </w:rPr>
              <w:t>Final conversion [%]</w:t>
            </w:r>
          </w:p>
        </w:tc>
        <w:tc>
          <w:tcPr>
            <w:tcW w:w="2835" w:type="dxa"/>
            <w:tcBorders>
              <w:top w:val="single" w:sz="5" w:space="0" w:color="A5BAC2"/>
              <w:left w:val="single" w:sz="5" w:space="0" w:color="A5BAC2"/>
              <w:bottom w:val="single" w:sz="5" w:space="0" w:color="A5BAC2"/>
              <w:right w:val="single" w:sz="5" w:space="0" w:color="A5BAC2"/>
            </w:tcBorders>
            <w:shd w:val="clear" w:color="auto" w:fill="E5EFF3"/>
            <w:tcMar>
              <w:top w:w="90" w:type="dxa"/>
              <w:left w:w="105" w:type="dxa"/>
              <w:bottom w:w="90" w:type="dxa"/>
              <w:right w:w="105" w:type="dxa"/>
            </w:tcMar>
            <w:vAlign w:val="center"/>
          </w:tcPr>
          <w:p w14:paraId="0EFE3B8F" w14:textId="2DA9048A" w:rsidR="006863C2" w:rsidRDefault="00000000" w:rsidP="001E63F5">
            <w:pPr>
              <w:spacing w:after="0" w:line="240" w:lineRule="auto"/>
              <w:jc w:val="center"/>
            </w:pPr>
            <w:r>
              <w:rPr>
                <w:rFonts w:ascii="Aptos" w:hAnsi="Aptos"/>
                <w:b/>
                <w:color w:val="0D3245"/>
                <w:sz w:val="19"/>
              </w:rPr>
              <w:t xml:space="preserve">Internal effectiveness factor </w:t>
            </w:r>
            <m:oMath>
              <m:sSub>
                <m:sSubPr>
                  <m:ctrlPr>
                    <w:rPr>
                      <w:rFonts w:ascii="Cambria Math" w:hAnsi="Cambria Math"/>
                      <w:b/>
                      <w:i/>
                      <w:color w:val="0D3245"/>
                      <w:sz w:val="19"/>
                    </w:rPr>
                  </m:ctrlPr>
                </m:sSubPr>
                <m:e>
                  <m:r>
                    <m:rPr>
                      <m:sty m:val="bi"/>
                    </m:rPr>
                    <w:rPr>
                      <w:rFonts w:ascii="Cambria Math" w:hAnsi="Cambria Math"/>
                      <w:color w:val="0D3245"/>
                      <w:sz w:val="19"/>
                    </w:rPr>
                    <m:t>η</m:t>
                  </m:r>
                </m:e>
                <m:sub>
                  <m:r>
                    <m:rPr>
                      <m:sty m:val="bi"/>
                    </m:rPr>
                    <w:rPr>
                      <w:rFonts w:ascii="Cambria Math" w:hAnsi="Cambria Math"/>
                      <w:color w:val="0D3245"/>
                      <w:sz w:val="19"/>
                      <w:vertAlign w:val="subscript"/>
                    </w:rPr>
                    <m:t>i</m:t>
                  </m:r>
                </m:sub>
              </m:sSub>
              <m:r>
                <m:rPr>
                  <m:sty m:val="bi"/>
                </m:rPr>
                <w:rPr>
                  <w:rFonts w:ascii="Cambria Math" w:hAnsi="Cambria Math"/>
                  <w:color w:val="0D3245"/>
                  <w:sz w:val="19"/>
                </w:rPr>
                <m:t xml:space="preserve"> </m:t>
              </m:r>
            </m:oMath>
            <w:r>
              <w:rPr>
                <w:rFonts w:ascii="Aptos" w:hAnsi="Aptos"/>
                <w:b/>
                <w:color w:val="0D3245"/>
                <w:sz w:val="19"/>
              </w:rPr>
              <w:t>[–]</w:t>
            </w:r>
          </w:p>
        </w:tc>
      </w:tr>
      <w:tr w:rsidR="00022120" w14:paraId="6FABBA56" w14:textId="77777777">
        <w:trPr>
          <w:cantSplit/>
          <w:trHeight w:val="475"/>
          <w:jc w:val="center"/>
        </w:trPr>
        <w:tc>
          <w:tcPr>
            <w:tcW w:w="1984" w:type="dxa"/>
            <w:tcBorders>
              <w:top w:val="single" w:sz="5" w:space="0" w:color="A5BAC2"/>
              <w:left w:val="single" w:sz="5" w:space="0" w:color="A5BAC2"/>
              <w:bottom w:val="single" w:sz="5" w:space="0" w:color="A5BAC2"/>
              <w:right w:val="single" w:sz="5" w:space="0" w:color="A5BAC2"/>
            </w:tcBorders>
            <w:shd w:val="clear" w:color="auto" w:fill="FFFFFF"/>
            <w:tcMar>
              <w:top w:w="90" w:type="dxa"/>
              <w:left w:w="105" w:type="dxa"/>
              <w:bottom w:w="90" w:type="dxa"/>
              <w:right w:w="105" w:type="dxa"/>
            </w:tcMar>
            <w:vAlign w:val="center"/>
          </w:tcPr>
          <w:p w14:paraId="022487D4" w14:textId="77777777" w:rsidR="00022120" w:rsidRDefault="00C02BBA">
            <w:pPr>
              <w:spacing w:after="0" w:line="240" w:lineRule="auto"/>
              <w:jc w:val="center"/>
            </w:pPr>
            <w:r>
              <w:rPr>
                <w:rFonts w:ascii="Aptos" w:hAnsi="Aptos"/>
                <w:sz w:val="19"/>
              </w:rPr>
              <w:t>2.8</w:t>
            </w:r>
          </w:p>
        </w:tc>
        <w:tc>
          <w:tcPr>
            <w:tcW w:w="2438" w:type="dxa"/>
            <w:tcBorders>
              <w:top w:val="single" w:sz="5" w:space="0" w:color="A5BAC2"/>
              <w:left w:val="single" w:sz="5" w:space="0" w:color="A5BAC2"/>
              <w:bottom w:val="single" w:sz="5" w:space="0" w:color="A5BAC2"/>
              <w:right w:val="single" w:sz="5" w:space="0" w:color="A5BAC2"/>
            </w:tcBorders>
            <w:shd w:val="clear" w:color="auto" w:fill="FFFFFF"/>
            <w:tcMar>
              <w:top w:w="90" w:type="dxa"/>
              <w:left w:w="105" w:type="dxa"/>
              <w:bottom w:w="90" w:type="dxa"/>
              <w:right w:w="105" w:type="dxa"/>
            </w:tcMar>
            <w:vAlign w:val="center"/>
          </w:tcPr>
          <w:p w14:paraId="4E7B7973" w14:textId="77777777" w:rsidR="00022120" w:rsidRDefault="00022120">
            <w:pPr>
              <w:spacing w:after="0" w:line="240" w:lineRule="auto"/>
              <w:jc w:val="center"/>
            </w:pPr>
          </w:p>
        </w:tc>
        <w:tc>
          <w:tcPr>
            <w:tcW w:w="2438" w:type="dxa"/>
            <w:tcBorders>
              <w:top w:val="single" w:sz="5" w:space="0" w:color="A5BAC2"/>
              <w:left w:val="single" w:sz="5" w:space="0" w:color="A5BAC2"/>
              <w:bottom w:val="single" w:sz="5" w:space="0" w:color="A5BAC2"/>
              <w:right w:val="single" w:sz="5" w:space="0" w:color="A5BAC2"/>
            </w:tcBorders>
            <w:shd w:val="clear" w:color="auto" w:fill="FFFFFF"/>
            <w:tcMar>
              <w:top w:w="90" w:type="dxa"/>
              <w:left w:w="105" w:type="dxa"/>
              <w:bottom w:w="90" w:type="dxa"/>
              <w:right w:w="105" w:type="dxa"/>
            </w:tcMar>
            <w:vAlign w:val="center"/>
          </w:tcPr>
          <w:p w14:paraId="71EF1BC6" w14:textId="77777777" w:rsidR="00022120" w:rsidRDefault="00022120">
            <w:pPr>
              <w:spacing w:after="0" w:line="240" w:lineRule="auto"/>
              <w:jc w:val="center"/>
            </w:pPr>
          </w:p>
        </w:tc>
        <w:tc>
          <w:tcPr>
            <w:tcW w:w="2835" w:type="dxa"/>
            <w:tcBorders>
              <w:top w:val="single" w:sz="5" w:space="0" w:color="A5BAC2"/>
              <w:left w:val="single" w:sz="5" w:space="0" w:color="A5BAC2"/>
              <w:bottom w:val="single" w:sz="5" w:space="0" w:color="A5BAC2"/>
              <w:right w:val="single" w:sz="5" w:space="0" w:color="A5BAC2"/>
            </w:tcBorders>
            <w:shd w:val="clear" w:color="auto" w:fill="FFFFFF"/>
            <w:tcMar>
              <w:top w:w="90" w:type="dxa"/>
              <w:left w:w="105" w:type="dxa"/>
              <w:bottom w:w="90" w:type="dxa"/>
              <w:right w:w="105" w:type="dxa"/>
            </w:tcMar>
            <w:vAlign w:val="center"/>
          </w:tcPr>
          <w:p w14:paraId="7D097A74" w14:textId="77777777" w:rsidR="00022120" w:rsidRDefault="00022120">
            <w:pPr>
              <w:spacing w:after="0" w:line="240" w:lineRule="auto"/>
              <w:jc w:val="center"/>
            </w:pPr>
          </w:p>
        </w:tc>
      </w:tr>
      <w:tr w:rsidR="00022120" w14:paraId="6D749A8F" w14:textId="77777777">
        <w:trPr>
          <w:cantSplit/>
          <w:trHeight w:val="475"/>
          <w:jc w:val="center"/>
        </w:trPr>
        <w:tc>
          <w:tcPr>
            <w:tcW w:w="1984" w:type="dxa"/>
            <w:tcBorders>
              <w:top w:val="single" w:sz="5" w:space="0" w:color="A5BAC2"/>
              <w:left w:val="single" w:sz="5" w:space="0" w:color="A5BAC2"/>
              <w:bottom w:val="single" w:sz="5" w:space="0" w:color="A5BAC2"/>
              <w:right w:val="single" w:sz="5" w:space="0" w:color="A5BAC2"/>
            </w:tcBorders>
            <w:shd w:val="clear" w:color="auto" w:fill="F5F8F9"/>
            <w:tcMar>
              <w:top w:w="90" w:type="dxa"/>
              <w:left w:w="105" w:type="dxa"/>
              <w:bottom w:w="90" w:type="dxa"/>
              <w:right w:w="105" w:type="dxa"/>
            </w:tcMar>
            <w:vAlign w:val="center"/>
          </w:tcPr>
          <w:p w14:paraId="2A185B5F" w14:textId="77777777" w:rsidR="00022120" w:rsidRDefault="00C02BBA">
            <w:pPr>
              <w:spacing w:after="0" w:line="240" w:lineRule="auto"/>
              <w:jc w:val="center"/>
            </w:pPr>
            <w:r>
              <w:rPr>
                <w:rFonts w:ascii="Aptos" w:hAnsi="Aptos"/>
                <w:sz w:val="19"/>
              </w:rPr>
              <w:t>4.6</w:t>
            </w:r>
          </w:p>
        </w:tc>
        <w:tc>
          <w:tcPr>
            <w:tcW w:w="2438" w:type="dxa"/>
            <w:tcBorders>
              <w:top w:val="single" w:sz="5" w:space="0" w:color="A5BAC2"/>
              <w:left w:val="single" w:sz="5" w:space="0" w:color="A5BAC2"/>
              <w:bottom w:val="single" w:sz="5" w:space="0" w:color="A5BAC2"/>
              <w:right w:val="single" w:sz="5" w:space="0" w:color="A5BAC2"/>
            </w:tcBorders>
            <w:shd w:val="clear" w:color="auto" w:fill="F5F8F9"/>
            <w:tcMar>
              <w:top w:w="90" w:type="dxa"/>
              <w:left w:w="105" w:type="dxa"/>
              <w:bottom w:w="90" w:type="dxa"/>
              <w:right w:w="105" w:type="dxa"/>
            </w:tcMar>
            <w:vAlign w:val="center"/>
          </w:tcPr>
          <w:p w14:paraId="0376152C" w14:textId="77777777" w:rsidR="00022120" w:rsidRDefault="00022120">
            <w:pPr>
              <w:spacing w:after="0" w:line="240" w:lineRule="auto"/>
              <w:jc w:val="center"/>
            </w:pPr>
          </w:p>
        </w:tc>
        <w:tc>
          <w:tcPr>
            <w:tcW w:w="2438" w:type="dxa"/>
            <w:tcBorders>
              <w:top w:val="single" w:sz="5" w:space="0" w:color="A5BAC2"/>
              <w:left w:val="single" w:sz="5" w:space="0" w:color="A5BAC2"/>
              <w:bottom w:val="single" w:sz="5" w:space="0" w:color="A5BAC2"/>
              <w:right w:val="single" w:sz="5" w:space="0" w:color="A5BAC2"/>
            </w:tcBorders>
            <w:shd w:val="clear" w:color="auto" w:fill="F5F8F9"/>
            <w:tcMar>
              <w:top w:w="90" w:type="dxa"/>
              <w:left w:w="105" w:type="dxa"/>
              <w:bottom w:w="90" w:type="dxa"/>
              <w:right w:w="105" w:type="dxa"/>
            </w:tcMar>
            <w:vAlign w:val="center"/>
          </w:tcPr>
          <w:p w14:paraId="6416DB4D" w14:textId="77777777" w:rsidR="00022120" w:rsidRDefault="00022120">
            <w:pPr>
              <w:spacing w:after="0" w:line="240" w:lineRule="auto"/>
              <w:jc w:val="center"/>
            </w:pPr>
          </w:p>
        </w:tc>
        <w:tc>
          <w:tcPr>
            <w:tcW w:w="2835" w:type="dxa"/>
            <w:tcBorders>
              <w:top w:val="single" w:sz="5" w:space="0" w:color="A5BAC2"/>
              <w:left w:val="single" w:sz="5" w:space="0" w:color="A5BAC2"/>
              <w:bottom w:val="single" w:sz="5" w:space="0" w:color="A5BAC2"/>
              <w:right w:val="single" w:sz="5" w:space="0" w:color="A5BAC2"/>
            </w:tcBorders>
            <w:shd w:val="clear" w:color="auto" w:fill="F5F8F9"/>
            <w:tcMar>
              <w:top w:w="90" w:type="dxa"/>
              <w:left w:w="105" w:type="dxa"/>
              <w:bottom w:w="90" w:type="dxa"/>
              <w:right w:w="105" w:type="dxa"/>
            </w:tcMar>
            <w:vAlign w:val="center"/>
          </w:tcPr>
          <w:p w14:paraId="5BE7FA27" w14:textId="77777777" w:rsidR="00022120" w:rsidRDefault="00022120">
            <w:pPr>
              <w:spacing w:after="0" w:line="240" w:lineRule="auto"/>
              <w:jc w:val="center"/>
            </w:pPr>
          </w:p>
        </w:tc>
      </w:tr>
    </w:tbl>
    <w:p w14:paraId="6FBE685C" w14:textId="23B6D88D" w:rsidR="00D33AEF" w:rsidRDefault="00D33AEF">
      <w:pPr>
        <w:keepLines/>
        <w:spacing w:before="100" w:after="60"/>
        <w:ind w:left="331" w:hanging="331"/>
      </w:pPr>
      <w:r>
        <w:t>Note:</w:t>
      </w:r>
      <w:r w:rsidRPr="00D33AEF">
        <w:t xml:space="preserve"> For both </w:t>
      </w:r>
      <w:r>
        <w:t>bead</w:t>
      </w:r>
      <w:r w:rsidRPr="00D33AEF">
        <w:t xml:space="preserve"> sizes the reactor has the same total amount of enzyme</w:t>
      </w:r>
      <w:r>
        <w:t>.</w:t>
      </w:r>
    </w:p>
    <w:p w14:paraId="2D5A4B79" w14:textId="44258DD1" w:rsidR="00022120" w:rsidRDefault="00C02BBA">
      <w:pPr>
        <w:keepLines/>
        <w:spacing w:before="100" w:after="60"/>
        <w:ind w:left="331" w:hanging="331"/>
      </w:pPr>
      <w:r>
        <w:t>1</w:t>
      </w:r>
      <w:r w:rsidR="0065110B">
        <w:t>2</w:t>
      </w:r>
      <w:r>
        <w:t xml:space="preserve">. </w:t>
      </w:r>
      <w:r w:rsidR="00D33AEF" w:rsidRPr="00D33AEF">
        <w:t xml:space="preserve">Or the full diced bed reactions shown in stages 4 and five </w:t>
      </w:r>
      <w:r w:rsidR="00D33AEF">
        <w:t>where bead</w:t>
      </w:r>
      <w:r w:rsidR="00D33AEF" w:rsidRPr="00D33AEF">
        <w:t xml:space="preserve"> size leads to a faster conversion of ONPG to </w:t>
      </w:r>
      <w:r w:rsidR="00D33AEF">
        <w:t>colored</w:t>
      </w:r>
      <w:r w:rsidR="00D33AEF" w:rsidRPr="00D33AEF">
        <w:t xml:space="preserve"> O</w:t>
      </w:r>
      <w:r w:rsidR="00D33AEF">
        <w:t>NP?</w:t>
      </w:r>
    </w:p>
    <w:p w14:paraId="7C0E2D9B" w14:textId="77777777" w:rsidR="00022120" w:rsidRDefault="00C02BBA">
      <w:pPr>
        <w:pStyle w:val="Answerline"/>
        <w:keepLines/>
        <w:pBdr>
          <w:bottom w:val="single" w:sz="5" w:space="1" w:color="B5C4CC"/>
          <w:between w:val="single" w:sz="5" w:space="1" w:color="B5C4CC"/>
        </w:pBdr>
        <w:spacing w:after="80"/>
      </w:pPr>
      <w:r>
        <w:t> </w:t>
      </w:r>
    </w:p>
    <w:p w14:paraId="46F88C8B" w14:textId="77777777" w:rsidR="00022120" w:rsidRDefault="00C02BBA">
      <w:pPr>
        <w:pStyle w:val="Answerline"/>
        <w:keepLines/>
        <w:pBdr>
          <w:bottom w:val="single" w:sz="5" w:space="1" w:color="B5C4CC"/>
          <w:between w:val="single" w:sz="5" w:space="1" w:color="B5C4CC"/>
        </w:pBdr>
        <w:spacing w:after="80"/>
      </w:pPr>
      <w:r>
        <w:t> </w:t>
      </w:r>
    </w:p>
    <w:p w14:paraId="48348670" w14:textId="77777777" w:rsidR="00022120" w:rsidRDefault="00C02BBA">
      <w:pPr>
        <w:pStyle w:val="Heading2"/>
      </w:pPr>
      <w:r>
        <w:t>Internal Concentration and Effectiveness</w:t>
      </w:r>
    </w:p>
    <w:p w14:paraId="22165DA4" w14:textId="77777777" w:rsidR="00022120" w:rsidRDefault="00C02BBA">
      <w:pPr>
        <w:keepLines/>
      </w:pPr>
      <w:r>
        <w:t xml:space="preserve">The internal effectiveness factor, </w:t>
      </w:r>
      <w:proofErr w:type="spellStart"/>
      <w:r>
        <w:t>η</w:t>
      </w:r>
      <w:r>
        <w:rPr>
          <w:vertAlign w:val="subscript"/>
        </w:rPr>
        <w:t>i</w:t>
      </w:r>
      <w:proofErr w:type="spellEnd"/>
      <w:r>
        <w:t>, is the integrated whole-</w:t>
      </w:r>
      <w:proofErr w:type="spellStart"/>
      <w:r>
        <w:t>bead</w:t>
      </w:r>
      <w:proofErr w:type="spellEnd"/>
      <w:r>
        <w:t xml:space="preserve"> reaction rate divided by the rate expected if the entire bead were at its surface ONPG concentration. A smaller </w:t>
      </w:r>
      <w:proofErr w:type="spellStart"/>
      <w:r>
        <w:t>η</w:t>
      </w:r>
      <w:r>
        <w:rPr>
          <w:vertAlign w:val="subscript"/>
        </w:rPr>
        <w:t>i</w:t>
      </w:r>
      <w:proofErr w:type="spellEnd"/>
      <w:r>
        <w:t xml:space="preserve"> indicates stronger internal diffusion limitations.</w:t>
      </w:r>
    </w:p>
    <w:p w14:paraId="4F132615" w14:textId="5F07B108" w:rsidR="00022120" w:rsidRDefault="00C02BBA">
      <w:pPr>
        <w:keepLines/>
      </w:pPr>
      <w:r>
        <w:rPr>
          <w:sz w:val="22"/>
        </w:rPr>
        <w:t xml:space="preserve">Smaller beads have more external area per total bead volume, </w:t>
      </w:r>
      <w:r w:rsidR="00CE649F">
        <w:rPr>
          <w:sz w:val="22"/>
        </w:rPr>
        <w:t>allowing beads to see a higher concentration overall</w:t>
      </w:r>
      <w:r>
        <w:rPr>
          <w:sz w:val="22"/>
        </w:rPr>
        <w:t>. ONPG is consumed in the outer region of a bead; if diffusion cannot replenish it quickly enough, the inner region receives little ONPG</w:t>
      </w:r>
      <w:r w:rsidR="00D33AEF">
        <w:rPr>
          <w:sz w:val="22"/>
        </w:rPr>
        <w:t>,</w:t>
      </w:r>
      <w:r w:rsidR="00CE649F">
        <w:rPr>
          <w:sz w:val="22"/>
        </w:rPr>
        <w:t xml:space="preserve"> which </w:t>
      </w:r>
      <w:r w:rsidR="00D33AEF">
        <w:rPr>
          <w:sz w:val="22"/>
        </w:rPr>
        <w:t>reduces</w:t>
      </w:r>
      <w:r w:rsidR="00CE649F">
        <w:rPr>
          <w:sz w:val="22"/>
        </w:rPr>
        <w:t xml:space="preserve"> the reaction rate in the interior</w:t>
      </w:r>
      <w:r>
        <w:rPr>
          <w:sz w:val="22"/>
        </w:rPr>
        <w:t>.</w:t>
      </w:r>
    </w:p>
    <w:p w14:paraId="2CA8D4BD" w14:textId="7AD1BF75" w:rsidR="00022120" w:rsidRDefault="0065110B">
      <w:pPr>
        <w:keepLines/>
        <w:spacing w:before="100" w:after="60"/>
        <w:ind w:left="331" w:hanging="331"/>
      </w:pPr>
      <w:r>
        <w:rPr>
          <w:bCs/>
        </w:rPr>
        <w:t>13</w:t>
      </w:r>
      <w:r w:rsidR="00C02BBA">
        <w:rPr>
          <w:b/>
        </w:rPr>
        <w:t xml:space="preserve">. </w:t>
      </w:r>
      <w:r w:rsidR="00C02BBA">
        <w:t>Which bead has the greater percentage decrease in ONPG concentration from its surface to its center? For each bead, calculate 100 × (C</w:t>
      </w:r>
      <w:r w:rsidR="00C02BBA">
        <w:rPr>
          <w:vertAlign w:val="subscript"/>
        </w:rPr>
        <w:t>s</w:t>
      </w:r>
      <w:r w:rsidR="00C02BBA">
        <w:t xml:space="preserve"> − C</w:t>
      </w:r>
      <w:r w:rsidR="00C02BBA">
        <w:rPr>
          <w:vertAlign w:val="subscript"/>
        </w:rPr>
        <w:t>c</w:t>
      </w:r>
      <w:r w:rsidR="00C02BBA">
        <w:t>) / C</w:t>
      </w:r>
      <w:r w:rsidR="00C02BBA">
        <w:rPr>
          <w:vertAlign w:val="subscript"/>
        </w:rPr>
        <w:t>s</w:t>
      </w:r>
      <w:r w:rsidR="00C02BBA">
        <w:t>, where C</w:t>
      </w:r>
      <w:r w:rsidR="00C02BBA">
        <w:rPr>
          <w:vertAlign w:val="subscript"/>
        </w:rPr>
        <w:t>s</w:t>
      </w:r>
      <w:r w:rsidR="00C02BBA">
        <w:t xml:space="preserve"> and C</w:t>
      </w:r>
      <w:r w:rsidR="00C02BBA">
        <w:rPr>
          <w:vertAlign w:val="subscript"/>
        </w:rPr>
        <w:t>c</w:t>
      </w:r>
      <w:r w:rsidR="00C02BBA">
        <w:t xml:space="preserve"> are the surface and center ONPG concentrations, respectively.</w:t>
      </w:r>
    </w:p>
    <w:p w14:paraId="63F619B8" w14:textId="77777777" w:rsidR="00022120" w:rsidRDefault="00C02BBA">
      <w:pPr>
        <w:pStyle w:val="Answerline"/>
        <w:keepLines/>
        <w:pBdr>
          <w:bottom w:val="single" w:sz="5" w:space="1" w:color="B5C4CC"/>
          <w:between w:val="single" w:sz="5" w:space="1" w:color="B5C4CC"/>
        </w:pBdr>
        <w:spacing w:after="80"/>
      </w:pPr>
      <w:r>
        <w:t> </w:t>
      </w:r>
    </w:p>
    <w:p w14:paraId="7345977C" w14:textId="77777777" w:rsidR="00022120" w:rsidRDefault="00C02BBA">
      <w:pPr>
        <w:pStyle w:val="Answerline"/>
        <w:keepLines/>
        <w:pBdr>
          <w:bottom w:val="single" w:sz="5" w:space="1" w:color="B5C4CC"/>
          <w:between w:val="single" w:sz="5" w:space="1" w:color="B5C4CC"/>
        </w:pBdr>
        <w:spacing w:after="80"/>
      </w:pPr>
      <w:r>
        <w:t> </w:t>
      </w:r>
    </w:p>
    <w:p w14:paraId="4FD1629D" w14:textId="4911AB89" w:rsidR="00022120" w:rsidRDefault="0065110B">
      <w:pPr>
        <w:keepLines/>
        <w:spacing w:after="80"/>
        <w:ind w:left="331" w:hanging="331"/>
      </w:pPr>
      <w:r>
        <w:rPr>
          <w:bCs/>
          <w:sz w:val="22"/>
        </w:rPr>
        <w:t>14</w:t>
      </w:r>
      <w:r w:rsidR="00C02BBA">
        <w:rPr>
          <w:b/>
          <w:sz w:val="22"/>
        </w:rPr>
        <w:t xml:space="preserve">. </w:t>
      </w:r>
      <w:r w:rsidR="00C02BBA">
        <w:rPr>
          <w:rFonts w:eastAsia="Arial" w:cs="Arial"/>
          <w:sz w:val="22"/>
        </w:rPr>
        <w:t xml:space="preserve">What is happening to ONPG inside the larger bead compared to the smaller bead? Look at </w:t>
      </w:r>
      <m:oMath>
        <m:r>
          <m:rPr>
            <m:sty m:val="p"/>
          </m:rPr>
          <w:rPr>
            <w:rFonts w:ascii="Cambria Math" w:hAnsi="Cambria Math"/>
            <w:sz w:val="22"/>
          </w:rPr>
          <m:t>r/R</m:t>
        </m:r>
      </m:oMath>
      <w:r w:rsidR="00C02BBA">
        <w:rPr>
          <w:rFonts w:eastAsia="Arial" w:cs="Arial"/>
          <w:sz w:val="22"/>
        </w:rPr>
        <w:t xml:space="preserve"> = 0.6. Hints: </w:t>
      </w:r>
    </w:p>
    <w:p w14:paraId="2EC0F089" w14:textId="77777777" w:rsidR="00022120" w:rsidRDefault="00C02BBA">
      <w:pPr>
        <w:keepLines/>
        <w:ind w:left="360"/>
      </w:pPr>
      <w:r>
        <w:rPr>
          <w:rFonts w:eastAsia="Arial" w:cs="Arial"/>
          <w:sz w:val="22"/>
        </w:rPr>
        <w:t xml:space="preserve">What is the concentration of the ONPG for the larger bead at </w:t>
      </w:r>
      <m:oMath>
        <m:r>
          <m:rPr>
            <m:sty m:val="p"/>
          </m:rPr>
          <w:rPr>
            <w:rFonts w:ascii="Cambria Math" w:hAnsi="Cambria Math"/>
            <w:sz w:val="22"/>
          </w:rPr>
          <m:t>r/R</m:t>
        </m:r>
      </m:oMath>
      <w:r>
        <w:rPr>
          <w:rFonts w:eastAsia="Arial" w:cs="Arial"/>
          <w:sz w:val="22"/>
        </w:rPr>
        <w:t xml:space="preserve"> = 0.6 compared to the smaller bead?</w:t>
      </w:r>
    </w:p>
    <w:p w14:paraId="3AD886E5" w14:textId="77777777" w:rsidR="00022120" w:rsidRDefault="00C02BBA">
      <w:pPr>
        <w:pStyle w:val="Answerline"/>
        <w:keepLines/>
        <w:pBdr>
          <w:bottom w:val="single" w:sz="5" w:space="1" w:color="B5C4CC"/>
          <w:between w:val="single" w:sz="5" w:space="1" w:color="B5C4CC"/>
        </w:pBdr>
        <w:spacing w:after="80"/>
      </w:pPr>
      <w:r>
        <w:t> </w:t>
      </w:r>
    </w:p>
    <w:p w14:paraId="1FBBD1D7" w14:textId="77777777" w:rsidR="00022120" w:rsidRDefault="00C02BBA">
      <w:pPr>
        <w:keepLines/>
        <w:ind w:left="360"/>
      </w:pPr>
      <w:r>
        <w:rPr>
          <w:rFonts w:eastAsia="Arial" w:cs="Arial"/>
          <w:sz w:val="22"/>
        </w:rPr>
        <w:lastRenderedPageBreak/>
        <w:t xml:space="preserve">If the concentration in one case is higher what happens to the reaction rate inside the bead at the same </w:t>
      </w:r>
      <m:oMath>
        <m:r>
          <m:rPr>
            <m:sty m:val="p"/>
          </m:rPr>
          <w:rPr>
            <w:rFonts w:ascii="Cambria Math" w:hAnsi="Cambria Math"/>
            <w:sz w:val="22"/>
          </w:rPr>
          <m:t>r/R</m:t>
        </m:r>
      </m:oMath>
      <w:r>
        <w:rPr>
          <w:rFonts w:eastAsia="Arial" w:cs="Arial"/>
          <w:sz w:val="22"/>
        </w:rPr>
        <w:t>? Consider mass action effects where larger concentrations mean more frequent molecular collisions.</w:t>
      </w:r>
    </w:p>
    <w:p w14:paraId="036DE5FF" w14:textId="77777777" w:rsidR="00022120" w:rsidRDefault="00C02BBA">
      <w:pPr>
        <w:pStyle w:val="Answerline"/>
        <w:keepLines/>
        <w:pBdr>
          <w:bottom w:val="single" w:sz="5" w:space="1" w:color="B5C4CC"/>
          <w:between w:val="single" w:sz="5" w:space="1" w:color="B5C4CC"/>
        </w:pBdr>
        <w:spacing w:after="80"/>
      </w:pPr>
      <w:r>
        <w:t> </w:t>
      </w:r>
    </w:p>
    <w:p w14:paraId="2A1D26A7" w14:textId="77777777" w:rsidR="00022120" w:rsidRDefault="00C02BBA">
      <w:pPr>
        <w:pStyle w:val="Answerline"/>
        <w:keepLines/>
        <w:pBdr>
          <w:bottom w:val="single" w:sz="5" w:space="1" w:color="B5C4CC"/>
          <w:between w:val="single" w:sz="5" w:space="1" w:color="B5C4CC"/>
        </w:pBdr>
        <w:spacing w:after="80"/>
      </w:pPr>
      <w:r>
        <w:t> </w:t>
      </w:r>
    </w:p>
    <w:p w14:paraId="3B60A54B" w14:textId="77777777" w:rsidR="00022120" w:rsidRDefault="00C02BBA">
      <w:pPr>
        <w:keepLines/>
        <w:ind w:left="360"/>
      </w:pPr>
      <w:r>
        <w:rPr>
          <w:rFonts w:eastAsia="Arial" w:cs="Arial"/>
          <w:sz w:val="22"/>
        </w:rPr>
        <w:t xml:space="preserve">If ONPG concentration is very low below </w:t>
      </w:r>
      <m:oMath>
        <m:r>
          <m:rPr>
            <m:sty m:val="p"/>
          </m:rPr>
          <w:rPr>
            <w:rFonts w:ascii="Cambria Math" w:hAnsi="Cambria Math"/>
            <w:sz w:val="22"/>
          </w:rPr>
          <m:t>r/R</m:t>
        </m:r>
      </m:oMath>
      <w:r>
        <w:rPr>
          <w:rFonts w:eastAsia="Arial" w:cs="Arial"/>
          <w:sz w:val="22"/>
        </w:rPr>
        <w:t xml:space="preserve"> = 0.6 what happens to the reaction rate there?</w:t>
      </w:r>
    </w:p>
    <w:p w14:paraId="05B1F2CF" w14:textId="77777777" w:rsidR="00022120" w:rsidRDefault="00C02BBA">
      <w:pPr>
        <w:pStyle w:val="Answerline"/>
        <w:keepLines/>
        <w:pBdr>
          <w:bottom w:val="single" w:sz="5" w:space="1" w:color="B5C4CC"/>
          <w:between w:val="single" w:sz="5" w:space="1" w:color="B5C4CC"/>
        </w:pBdr>
        <w:spacing w:after="80"/>
      </w:pPr>
      <w:r>
        <w:t> </w:t>
      </w:r>
    </w:p>
    <w:p w14:paraId="16BCAA65" w14:textId="77777777" w:rsidR="00022120" w:rsidRDefault="00C02BBA">
      <w:pPr>
        <w:keepLines/>
        <w:ind w:left="360"/>
      </w:pPr>
      <w:r>
        <w:rPr>
          <w:rFonts w:eastAsia="Arial" w:cs="Arial"/>
          <w:sz w:val="22"/>
        </w:rPr>
        <w:t xml:space="preserve"> How is that difference reflected in </w:t>
      </w:r>
      <m:oMath>
        <m:sSub>
          <m:sSubPr>
            <m:ctrlPr>
              <w:rPr>
                <w:rFonts w:ascii="Cambria Math" w:hAnsi="Cambria Math"/>
              </w:rPr>
            </m:ctrlPr>
          </m:sSubPr>
          <m:e>
            <m:r>
              <m:rPr>
                <m:sty m:val="p"/>
              </m:rPr>
              <w:rPr>
                <w:rFonts w:ascii="Cambria Math" w:hAnsi="Cambria Math"/>
              </w:rPr>
              <m:t>η</m:t>
            </m:r>
          </m:e>
          <m:sub>
            <m:r>
              <m:rPr>
                <m:sty m:val="p"/>
              </m:rPr>
              <w:rPr>
                <w:rFonts w:ascii="Cambria Math" w:hAnsi="Cambria Math"/>
              </w:rPr>
              <m:t>i</m:t>
            </m:r>
          </m:sub>
        </m:sSub>
      </m:oMath>
      <w:r>
        <w:rPr>
          <w:rFonts w:eastAsia="Arial" w:cs="Arial"/>
          <w:sz w:val="22"/>
        </w:rPr>
        <w:t>?</w:t>
      </w:r>
    </w:p>
    <w:p w14:paraId="5EE1AB33" w14:textId="77777777" w:rsidR="00022120" w:rsidRDefault="00C02BBA">
      <w:pPr>
        <w:pStyle w:val="Answerline"/>
        <w:keepLines/>
        <w:pBdr>
          <w:bottom w:val="single" w:sz="5" w:space="1" w:color="B5C4CC"/>
          <w:between w:val="single" w:sz="5" w:space="1" w:color="B5C4CC"/>
        </w:pBdr>
        <w:spacing w:after="80"/>
      </w:pPr>
      <w:r>
        <w:t> </w:t>
      </w:r>
    </w:p>
    <w:p w14:paraId="12719A73" w14:textId="77777777" w:rsidR="00022120" w:rsidRDefault="00C02BBA">
      <w:pPr>
        <w:pStyle w:val="Answerline"/>
        <w:keepLines/>
        <w:pBdr>
          <w:bottom w:val="single" w:sz="5" w:space="1" w:color="B5C4CC"/>
          <w:between w:val="single" w:sz="5" w:space="1" w:color="B5C4CC"/>
        </w:pBdr>
        <w:spacing w:after="80"/>
      </w:pPr>
      <w:r>
        <w:t> </w:t>
      </w:r>
    </w:p>
    <w:p w14:paraId="2B3ED5DE" w14:textId="451CB4E8" w:rsidR="00022120" w:rsidRDefault="0065110B">
      <w:pPr>
        <w:keepLines/>
        <w:spacing w:before="100" w:after="60"/>
        <w:ind w:left="331" w:hanging="331"/>
      </w:pPr>
      <w:r>
        <w:rPr>
          <w:bCs/>
          <w:sz w:val="22"/>
        </w:rPr>
        <w:t>15</w:t>
      </w:r>
      <w:r w:rsidR="00C02BBA">
        <w:rPr>
          <w:b/>
          <w:sz w:val="22"/>
        </w:rPr>
        <w:t xml:space="preserve">. </w:t>
      </w:r>
      <w:r w:rsidR="00C02BBA">
        <w:rPr>
          <w:rFonts w:eastAsia="Arial" w:cs="Arial"/>
          <w:sz w:val="22"/>
        </w:rPr>
        <w:t>Return to your prediction before Experiment 3. What would you keep or revise after comparing the two runs?</w:t>
      </w:r>
    </w:p>
    <w:p w14:paraId="249F5FF2" w14:textId="77777777" w:rsidR="00022120" w:rsidRDefault="00C02BBA">
      <w:pPr>
        <w:pStyle w:val="Answerline"/>
        <w:keepLines/>
        <w:pBdr>
          <w:bottom w:val="single" w:sz="5" w:space="1" w:color="B5C4CC"/>
          <w:between w:val="single" w:sz="5" w:space="1" w:color="B5C4CC"/>
        </w:pBdr>
        <w:spacing w:after="80"/>
      </w:pPr>
      <w:r>
        <w:t> </w:t>
      </w:r>
    </w:p>
    <w:p w14:paraId="11308688" w14:textId="77777777" w:rsidR="00022120" w:rsidRDefault="00C02BBA">
      <w:pPr>
        <w:pStyle w:val="Answerline"/>
        <w:keepLines/>
        <w:pBdr>
          <w:bottom w:val="single" w:sz="5" w:space="1" w:color="B5C4CC"/>
          <w:between w:val="single" w:sz="5" w:space="1" w:color="B5C4CC"/>
        </w:pBdr>
        <w:spacing w:after="80"/>
      </w:pPr>
      <w:r>
        <w:t> </w:t>
      </w:r>
    </w:p>
    <w:p w14:paraId="0DA5CB0D" w14:textId="77777777" w:rsidR="00022120" w:rsidRDefault="00C02BBA">
      <w:pPr>
        <w:pStyle w:val="Heading1"/>
        <w:pageBreakBefore/>
        <w:spacing w:after="140"/>
      </w:pPr>
      <w:r>
        <w:rPr>
          <w:rFonts w:ascii="Arial" w:hAnsi="Arial"/>
          <w:sz w:val="22"/>
        </w:rPr>
        <w:lastRenderedPageBreak/>
        <w:t>Homework Questions</w:t>
      </w:r>
    </w:p>
    <w:p w14:paraId="2C6B7BAE" w14:textId="77777777" w:rsidR="00022120" w:rsidRDefault="00C02BBA">
      <w:pPr>
        <w:keepLines/>
        <w:spacing w:after="180"/>
      </w:pPr>
      <w:r>
        <w:t>Complete these problems after using the simulation. Show the equations, values, units and reasoning used in your answers. Use all seven Stage 1 initial rates in the kinetics and reciprocal-plot questions.</w:t>
      </w:r>
    </w:p>
    <w:p w14:paraId="32748067" w14:textId="77777777" w:rsidR="00022120" w:rsidRDefault="00C02BBA">
      <w:pPr>
        <w:pStyle w:val="Smallnote"/>
        <w:spacing w:before="160" w:after="100"/>
      </w:pPr>
      <w:r>
        <w:t>Submission note: Clearly label each answer and include units. Attach extra calculation space if needed.</w:t>
      </w:r>
    </w:p>
    <w:p w14:paraId="3A6EC01E" w14:textId="451F6356" w:rsidR="006863C2" w:rsidRDefault="00000000">
      <w:pPr>
        <w:pStyle w:val="HomeworkQuestion"/>
      </w:pPr>
      <w:r>
        <w:t>Question 1. For free β-galactosidase, ONPG is the substrate</w:t>
      </w:r>
      <w:r w:rsidR="00D33AEF">
        <w:t>,</w:t>
      </w:r>
      <w:r>
        <w:t xml:space="preserve"> and ONP is the measured product. Use the initial-rate equation below (not a full mechanism derivation).</w:t>
      </w:r>
    </w:p>
    <w:p w14:paraId="45CD0A6D" w14:textId="77777777" w:rsidR="006863C2" w:rsidRDefault="00000000">
      <w:pPr>
        <w:spacing w:after="140"/>
        <w:jc w:val="center"/>
      </w:pPr>
      <m:oMathPara>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0</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V</m:t>
                  </m:r>
                </m:e>
                <m:sub>
                  <m:r>
                    <m:rPr>
                      <m:sty m:val="p"/>
                    </m:rPr>
                    <w:rPr>
                      <w:rFonts w:ascii="Cambria Math" w:hAnsi="Cambria Math"/>
                    </w:rPr>
                    <m:t>max</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ONPG,0</m:t>
                  </m:r>
                </m:sub>
              </m:sSub>
            </m:num>
            <m:den>
              <m:sSub>
                <m:sSubPr>
                  <m:ctrlPr>
                    <w:rPr>
                      <w:rFonts w:ascii="Cambria Math" w:hAnsi="Cambria Math"/>
                    </w:rPr>
                  </m:ctrlPr>
                </m:sSubPr>
                <m:e>
                  <m:r>
                    <m:rPr>
                      <m:sty m:val="p"/>
                    </m:rPr>
                    <w:rPr>
                      <w:rFonts w:ascii="Cambria Math" w:hAnsi="Cambria Math"/>
                    </w:rPr>
                    <m:t>K</m:t>
                  </m:r>
                </m:e>
                <m:sub>
                  <m:r>
                    <m:rPr>
                      <m:sty m:val="p"/>
                    </m:rPr>
                    <w:rPr>
                      <w:rFonts w:ascii="Cambria Math" w:hAnsi="Cambria Math"/>
                    </w:rPr>
                    <m:t>m</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ONPG,0</m:t>
                  </m:r>
                </m:sub>
              </m:sSub>
            </m:den>
          </m:f>
        </m:oMath>
      </m:oMathPara>
    </w:p>
    <w:p w14:paraId="6615D508" w14:textId="77777777" w:rsidR="006863C2" w:rsidRDefault="00000000">
      <w:r>
        <w:t>a. Define V</w:t>
      </w:r>
      <w:r>
        <w:rPr>
          <w:vertAlign w:val="subscript"/>
        </w:rPr>
        <w:t>max</w:t>
      </w:r>
      <w:r>
        <w:t xml:space="preserve"> (mM/s) and K</w:t>
      </w:r>
      <w:r>
        <w:rPr>
          <w:vertAlign w:val="subscript"/>
        </w:rPr>
        <w:t>m</w:t>
      </w:r>
      <w:r>
        <w:t xml:space="preserve"> (mM), including their physical meaning.</w:t>
      </w:r>
    </w:p>
    <w:p w14:paraId="6E9A8126" w14:textId="77777777" w:rsidR="006863C2" w:rsidRDefault="00000000">
      <w:r>
        <w:t>b. Take the reciprocal of the ONPG equation and identify the slope m and intercept b of a plot of 1/v</w:t>
      </w:r>
      <w:r>
        <w:rPr>
          <w:vertAlign w:val="subscript"/>
        </w:rPr>
        <w:t>0</w:t>
      </w:r>
      <w:r>
        <w:t xml:space="preserve"> against 1/C</w:t>
      </w:r>
      <w:r>
        <w:rPr>
          <w:vertAlign w:val="subscript"/>
        </w:rPr>
        <w:t>ONPG,0</w:t>
      </w:r>
      <w:r>
        <w:t>.</w:t>
      </w:r>
    </w:p>
    <w:p w14:paraId="38598890" w14:textId="77777777" w:rsidR="006863C2" w:rsidRPr="00D33AEF" w:rsidRDefault="00000000">
      <w:pPr>
        <w:spacing w:after="140"/>
        <w:jc w:val="center"/>
      </w:pPr>
      <m:oMathPara>
        <m:oMath>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m:rPr>
                      <m:sty m:val="p"/>
                    </m:rPr>
                    <w:rPr>
                      <w:rFonts w:ascii="Cambria Math" w:hAnsi="Cambria Math"/>
                    </w:rPr>
                    <m:t>v</m:t>
                  </m:r>
                </m:e>
                <m:sub>
                  <m:r>
                    <m:rPr>
                      <m:sty m:val="p"/>
                    </m:rPr>
                    <w:rPr>
                      <w:rFonts w:ascii="Cambria Math" w:hAnsi="Cambria Math"/>
                    </w:rPr>
                    <m:t>0</m:t>
                  </m:r>
                </m:sub>
              </m:sSub>
            </m:den>
          </m:f>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K</m:t>
                  </m:r>
                </m:e>
                <m:sub>
                  <m:r>
                    <m:rPr>
                      <m:sty m:val="p"/>
                    </m:rPr>
                    <w:rPr>
                      <w:rFonts w:ascii="Cambria Math" w:hAnsi="Cambria Math"/>
                    </w:rPr>
                    <m:t>m</m:t>
                  </m:r>
                </m:sub>
              </m:sSub>
            </m:num>
            <m:den>
              <m:sSub>
                <m:sSubPr>
                  <m:ctrlPr>
                    <w:rPr>
                      <w:rFonts w:ascii="Cambria Math" w:hAnsi="Cambria Math"/>
                    </w:rPr>
                  </m:ctrlPr>
                </m:sSubPr>
                <m:e>
                  <m:r>
                    <m:rPr>
                      <m:sty m:val="p"/>
                    </m:rPr>
                    <w:rPr>
                      <w:rFonts w:ascii="Cambria Math" w:hAnsi="Cambria Math"/>
                    </w:rPr>
                    <m:t>V</m:t>
                  </m:r>
                </m:e>
                <m:sub>
                  <m:r>
                    <m:rPr>
                      <m:sty m:val="p"/>
                    </m:rPr>
                    <w:rPr>
                      <w:rFonts w:ascii="Cambria Math" w:hAnsi="Cambria Math"/>
                    </w:rPr>
                    <m:t>max</m:t>
                  </m:r>
                </m:sub>
              </m:sSub>
            </m:den>
          </m:f>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m:rPr>
                      <m:sty m:val="p"/>
                    </m:rPr>
                    <w:rPr>
                      <w:rFonts w:ascii="Cambria Math" w:hAnsi="Cambria Math"/>
                    </w:rPr>
                    <m:t>C</m:t>
                  </m:r>
                </m:e>
                <m:sub>
                  <m:r>
                    <m:rPr>
                      <m:sty m:val="p"/>
                    </m:rPr>
                    <w:rPr>
                      <w:rFonts w:ascii="Cambria Math" w:hAnsi="Cambria Math"/>
                    </w:rPr>
                    <m:t>ONPG,0</m:t>
                  </m:r>
                </m:sub>
              </m:sSub>
            </m:den>
          </m:f>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m:rPr>
                      <m:sty m:val="p"/>
                    </m:rPr>
                    <w:rPr>
                      <w:rFonts w:ascii="Cambria Math" w:hAnsi="Cambria Math"/>
                    </w:rPr>
                    <m:t>V</m:t>
                  </m:r>
                </m:e>
                <m:sub>
                  <m:r>
                    <m:rPr>
                      <m:sty m:val="p"/>
                    </m:rPr>
                    <w:rPr>
                      <w:rFonts w:ascii="Cambria Math" w:hAnsi="Cambria Math"/>
                    </w:rPr>
                    <m:t>max</m:t>
                  </m:r>
                </m:sub>
              </m:sSub>
            </m:den>
          </m:f>
        </m:oMath>
      </m:oMathPara>
    </w:p>
    <w:p w14:paraId="7BD41BDC" w14:textId="75208601" w:rsidR="00D33AEF" w:rsidRDefault="00D33AEF">
      <w:pPr>
        <w:spacing w:after="140"/>
        <w:jc w:val="center"/>
      </w:pPr>
      <m:oMathPara>
        <m:oMath>
          <m:r>
            <w:rPr>
              <w:rFonts w:ascii="Cambria Math" w:hAnsi="Cambria Math"/>
            </w:rPr>
            <m:t>y=(m×x)+b</m:t>
          </m:r>
        </m:oMath>
      </m:oMathPara>
    </w:p>
    <w:p w14:paraId="5DD8DC98" w14:textId="105B87CF" w:rsidR="006863C2" w:rsidRDefault="00000000">
      <w:proofErr w:type="gramStart"/>
      <w:r>
        <w:t>c.</w:t>
      </w:r>
      <w:r w:rsidR="00D33AEF">
        <w:t xml:space="preserve"> </w:t>
      </w:r>
      <w:r>
        <w:t>Write</w:t>
      </w:r>
      <w:proofErr w:type="gramEnd"/>
      <w:r>
        <w:t xml:space="preserve"> two short expressions for calculating V</w:t>
      </w:r>
      <w:r>
        <w:rPr>
          <w:vertAlign w:val="subscript"/>
        </w:rPr>
        <w:t>max</w:t>
      </w:r>
      <w:r>
        <w:t xml:space="preserve"> and K</w:t>
      </w:r>
      <w:r>
        <w:rPr>
          <w:vertAlign w:val="subscript"/>
        </w:rPr>
        <w:t>m</w:t>
      </w:r>
      <w:r>
        <w:t xml:space="preserve"> from the reciprocal-plot slope and intercept.</w:t>
      </w:r>
    </w:p>
    <w:p w14:paraId="63939CB7" w14:textId="77777777" w:rsidR="006863C2" w:rsidRDefault="00000000">
      <w:pPr>
        <w:spacing w:after="140"/>
        <w:jc w:val="center"/>
      </w:pPr>
      <m:oMathPara>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max</m:t>
              </m: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1</m:t>
              </m:r>
            </m:num>
            <m:den>
              <m:r>
                <m:rPr>
                  <m:sty m:val="p"/>
                </m:rPr>
                <w:rPr>
                  <w:rFonts w:ascii="Cambria Math" w:hAnsi="Cambria Math"/>
                </w:rPr>
                <m:t>b</m:t>
              </m:r>
            </m:den>
          </m:f>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K</m:t>
              </m:r>
            </m:e>
            <m:sub>
              <m:r>
                <m:rPr>
                  <m:sty m:val="p"/>
                </m:rPr>
                <w:rPr>
                  <w:rFonts w:ascii="Cambria Math" w:hAnsi="Cambria Math"/>
                </w:rPr>
                <m:t>m</m:t>
              </m: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m</m:t>
              </m:r>
            </m:num>
            <m:den>
              <m:r>
                <m:rPr>
                  <m:sty m:val="p"/>
                </m:rPr>
                <w:rPr>
                  <w:rFonts w:ascii="Cambria Math" w:hAnsi="Cambria Math"/>
                </w:rPr>
                <m:t>b</m:t>
              </m:r>
            </m:den>
          </m:f>
        </m:oMath>
      </m:oMathPara>
    </w:p>
    <w:p w14:paraId="30F00F18" w14:textId="77777777" w:rsidR="006863C2" w:rsidRDefault="00000000">
      <w:r>
        <w:t>Calculations and interpretation:</w:t>
      </w:r>
    </w:p>
    <w:p w14:paraId="047FD3CE" w14:textId="77777777" w:rsidR="006863C2" w:rsidRDefault="006863C2"/>
    <w:p w14:paraId="36ED2F46" w14:textId="77777777" w:rsidR="006863C2" w:rsidRDefault="006863C2"/>
    <w:p w14:paraId="443B5510" w14:textId="77777777" w:rsidR="00022120" w:rsidRDefault="00C02BBA">
      <w:pPr>
        <w:pStyle w:val="HomeworkQuestion"/>
        <w:ind w:left="331" w:hanging="331"/>
      </w:pPr>
      <w:r>
        <w:t>Question 2. Using all seven Stage 1 initial rates (0.622–39.8 mM), plot 1/v</w:t>
      </w:r>
      <w:r>
        <w:rPr>
          <w:vertAlign w:val="subscript"/>
        </w:rPr>
        <w:t>0</w:t>
      </w:r>
      <w:r>
        <w:t xml:space="preserve"> versus 1/C</w:t>
      </w:r>
      <w:r>
        <w:rPr>
          <w:vertAlign w:val="subscript"/>
        </w:rPr>
        <w:t>ONPG,0</w:t>
      </w:r>
      <w:r>
        <w:t xml:space="preserve"> on Fig. 7 and fit a straight line. Calculate V</w:t>
      </w:r>
      <w:r>
        <w:rPr>
          <w:vertAlign w:val="subscript"/>
        </w:rPr>
        <w:t>max</w:t>
      </w:r>
      <w:r>
        <w:t xml:space="preserve"> and K</w:t>
      </w:r>
      <w:r>
        <w:rPr>
          <w:vertAlign w:val="subscript"/>
        </w:rPr>
        <w:t>m</w:t>
      </w:r>
      <w:r>
        <w:t xml:space="preserve"> from the fitted slope and intercept.</w:t>
      </w:r>
    </w:p>
    <w:p w14:paraId="333B2F57" w14:textId="77777777" w:rsidR="00022120" w:rsidRDefault="00C02BBA">
      <w:pPr>
        <w:keepLines/>
      </w:pPr>
      <w:r>
        <w:t>Slope, m [s]: __________________       Intercept, b [s/mM]: __________________</w:t>
      </w:r>
    </w:p>
    <w:p w14:paraId="0093DEFF" w14:textId="77777777" w:rsidR="00022120" w:rsidRDefault="00C02BBA">
      <w:pPr>
        <w:keepNext/>
        <w:jc w:val="center"/>
      </w:pPr>
      <w:r>
        <w:rPr>
          <w:noProof/>
        </w:rPr>
        <w:drawing>
          <wp:inline distT="0" distB="0" distL="0" distR="0" wp14:anchorId="180FBE15" wp14:editId="2EFBD870">
            <wp:extent cx="5303520" cy="2788920"/>
            <wp:effectExtent l="0" t="0" r="0" b="0"/>
            <wp:docPr id="140" name="Figure 7 editable reciprocal axes"/>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3DE8D91" w14:textId="77777777" w:rsidR="00022120" w:rsidRDefault="00C02BBA">
      <w:pPr>
        <w:pStyle w:val="Figurecaptioncustom"/>
        <w:jc w:val="center"/>
      </w:pPr>
      <w:r>
        <w:t>Fig. 7. Reciprocal plot for all seven Stage 1 initial rates.</w:t>
      </w:r>
    </w:p>
    <w:p w14:paraId="4BE9BE9B" w14:textId="77777777" w:rsidR="00022120" w:rsidRDefault="00C02BBA">
      <w:pPr>
        <w:keepLines/>
      </w:pPr>
      <w:r>
        <w:t>Calculated V</w:t>
      </w:r>
      <w:r>
        <w:rPr>
          <w:vertAlign w:val="subscript"/>
        </w:rPr>
        <w:t>max</w:t>
      </w:r>
      <w:r>
        <w:t xml:space="preserve"> [mM/s</w:t>
      </w:r>
      <w:proofErr w:type="gramStart"/>
      <w:r>
        <w:t>]: _</w:t>
      </w:r>
      <w:proofErr w:type="gramEnd"/>
      <w:r>
        <w:t>_____________       K</w:t>
      </w:r>
      <w:r>
        <w:rPr>
          <w:vertAlign w:val="subscript"/>
        </w:rPr>
        <w:t>m</w:t>
      </w:r>
      <w:r>
        <w:t xml:space="preserve"> [mM]: ______________</w:t>
      </w:r>
    </w:p>
    <w:p w14:paraId="56C1312B" w14:textId="77777777" w:rsidR="00022120" w:rsidRDefault="00C02BBA">
      <w:pPr>
        <w:pStyle w:val="HomeworkQuestion"/>
        <w:spacing w:after="100"/>
      </w:pPr>
      <w:r>
        <w:lastRenderedPageBreak/>
        <w:t>Question 3. Compare the rates at 9.95, 19.9 and 39.8 mM ONPG. The 39.8 mM value is model-generated. Explain why additional substrate produces only a small increase in rate near saturation.</w:t>
      </w:r>
    </w:p>
    <w:p w14:paraId="4C881BE8" w14:textId="77777777" w:rsidR="00022120" w:rsidRDefault="00C02BBA">
      <w:pPr>
        <w:pStyle w:val="Answerline"/>
        <w:keepLines/>
        <w:pBdr>
          <w:bottom w:val="single" w:sz="5" w:space="1" w:color="B5C4CC"/>
          <w:between w:val="single" w:sz="5" w:space="1" w:color="B5C4CC"/>
        </w:pBdr>
        <w:spacing w:after="80"/>
      </w:pPr>
      <w:r>
        <w:t> </w:t>
      </w:r>
    </w:p>
    <w:p w14:paraId="1CA37298" w14:textId="77777777" w:rsidR="00022120" w:rsidRDefault="00C02BBA">
      <w:pPr>
        <w:pStyle w:val="Answerline"/>
        <w:keepLines/>
        <w:pBdr>
          <w:bottom w:val="single" w:sz="5" w:space="1" w:color="B5C4CC"/>
          <w:between w:val="single" w:sz="5" w:space="1" w:color="B5C4CC"/>
        </w:pBdr>
        <w:spacing w:after="80"/>
      </w:pPr>
      <w:r>
        <w:t> </w:t>
      </w:r>
    </w:p>
    <w:p w14:paraId="456FE67E" w14:textId="77777777" w:rsidR="00022120" w:rsidRDefault="00C02BBA">
      <w:pPr>
        <w:pStyle w:val="Answerline"/>
        <w:keepLines/>
        <w:pBdr>
          <w:bottom w:val="single" w:sz="5" w:space="1" w:color="B5C4CC"/>
          <w:between w:val="single" w:sz="5" w:space="1" w:color="B5C4CC"/>
        </w:pBdr>
        <w:spacing w:after="80"/>
      </w:pPr>
      <w:r>
        <w:t> </w:t>
      </w:r>
    </w:p>
    <w:p w14:paraId="70EA4F3B" w14:textId="77777777" w:rsidR="00022120" w:rsidRDefault="00C02BBA">
      <w:pPr>
        <w:pStyle w:val="Answerline"/>
        <w:keepLines/>
        <w:pBdr>
          <w:bottom w:val="single" w:sz="5" w:space="1" w:color="B5C4CC"/>
          <w:between w:val="single" w:sz="5" w:space="1" w:color="B5C4CC"/>
        </w:pBdr>
        <w:spacing w:after="80"/>
      </w:pPr>
      <w:r>
        <w:t> </w:t>
      </w:r>
    </w:p>
    <w:sectPr w:rsidR="00022120" w:rsidSect="00034616">
      <w:headerReference w:type="default" r:id="rId18"/>
      <w:footerReference w:type="default" r:id="rId19"/>
      <w:pgSz w:w="12240" w:h="15840"/>
      <w:pgMar w:top="1094" w:right="1181" w:bottom="994" w:left="1181" w:header="432"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19B40" w14:textId="77777777" w:rsidR="00CA22BE" w:rsidRDefault="00CA22BE">
      <w:pPr>
        <w:spacing w:after="0" w:line="240" w:lineRule="auto"/>
      </w:pPr>
      <w:r>
        <w:separator/>
      </w:r>
    </w:p>
  </w:endnote>
  <w:endnote w:type="continuationSeparator" w:id="0">
    <w:p w14:paraId="64628BC9" w14:textId="77777777" w:rsidR="00CA22BE" w:rsidRDefault="00CA22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7D27E" w14:textId="77777777" w:rsidR="00022120" w:rsidRDefault="00C02BBA">
    <w:pPr>
      <w:pStyle w:val="Footer"/>
      <w:jc w:val="right"/>
    </w:pPr>
    <w:r>
      <w:rPr>
        <w:color w:val="17344B"/>
        <w:sz w:val="16"/>
      </w:rPr>
      <w:t xml:space="preserve">ONPG bead reactor worksheet   •   Page </w:t>
    </w:r>
    <w:r>
      <w:fldChar w:fldCharType="begin"/>
    </w:r>
    <w:r>
      <w:instrText>PAGE</w:instrText>
    </w:r>
    <w:r>
      <w:fldChar w:fldCharType="separate"/>
    </w:r>
    <w:r w:rsidR="0090177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B2B18" w14:textId="77777777" w:rsidR="00CA22BE" w:rsidRDefault="00CA22BE">
      <w:pPr>
        <w:spacing w:after="0" w:line="240" w:lineRule="auto"/>
      </w:pPr>
      <w:r>
        <w:separator/>
      </w:r>
    </w:p>
  </w:footnote>
  <w:footnote w:type="continuationSeparator" w:id="0">
    <w:p w14:paraId="76E65AEB" w14:textId="77777777" w:rsidR="00CA22BE" w:rsidRDefault="00CA22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CB11A" w14:textId="77777777" w:rsidR="00022120" w:rsidRDefault="00C02BBA">
    <w:pPr>
      <w:pStyle w:val="Smallnote"/>
      <w:spacing w:after="0"/>
      <w:jc w:val="right"/>
    </w:pPr>
    <w:r>
      <w:rPr>
        <w:color w:val="0F6570"/>
        <w:sz w:val="16"/>
      </w:rPr>
      <w:t xml:space="preserve">WASHINGTON STATE </w:t>
    </w:r>
    <w:proofErr w:type="gramStart"/>
    <w:r>
      <w:rPr>
        <w:color w:val="0F6570"/>
        <w:sz w:val="16"/>
      </w:rPr>
      <w:t>UNIVERSITY  |</w:t>
    </w:r>
    <w:proofErr w:type="gramEnd"/>
    <w:r>
      <w:rPr>
        <w:color w:val="0F6570"/>
        <w:sz w:val="16"/>
      </w:rPr>
      <w:t xml:space="preserve">  CHEMICAL ENGINEERING VIRTUAL LAB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0594435">
    <w:abstractNumId w:val="8"/>
  </w:num>
  <w:num w:numId="2" w16cid:durableId="1982731015">
    <w:abstractNumId w:val="6"/>
  </w:num>
  <w:num w:numId="3" w16cid:durableId="690959853">
    <w:abstractNumId w:val="5"/>
  </w:num>
  <w:num w:numId="4" w16cid:durableId="1675722090">
    <w:abstractNumId w:val="4"/>
  </w:num>
  <w:num w:numId="5" w16cid:durableId="759066853">
    <w:abstractNumId w:val="7"/>
  </w:num>
  <w:num w:numId="6" w16cid:durableId="706487122">
    <w:abstractNumId w:val="3"/>
  </w:num>
  <w:num w:numId="7" w16cid:durableId="1639603866">
    <w:abstractNumId w:val="2"/>
  </w:num>
  <w:num w:numId="8" w16cid:durableId="445008764">
    <w:abstractNumId w:val="1"/>
  </w:num>
  <w:num w:numId="9" w16cid:durableId="119558161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anwie, Bernard J">
    <w15:presenceInfo w15:providerId="AD" w15:userId="S::bvanwie@wsu.edu::258f7e1a-0e05-4536-baec-94b2f865aab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2120"/>
    <w:rsid w:val="00034616"/>
    <w:rsid w:val="0006063C"/>
    <w:rsid w:val="00101826"/>
    <w:rsid w:val="00110F0B"/>
    <w:rsid w:val="0011172B"/>
    <w:rsid w:val="0015074B"/>
    <w:rsid w:val="001E63F5"/>
    <w:rsid w:val="0029639D"/>
    <w:rsid w:val="00326F90"/>
    <w:rsid w:val="003B4496"/>
    <w:rsid w:val="00542ADC"/>
    <w:rsid w:val="0064762A"/>
    <w:rsid w:val="0065110B"/>
    <w:rsid w:val="006863C2"/>
    <w:rsid w:val="0069519B"/>
    <w:rsid w:val="006967E9"/>
    <w:rsid w:val="0078005B"/>
    <w:rsid w:val="007C2EA0"/>
    <w:rsid w:val="00866CD8"/>
    <w:rsid w:val="00897636"/>
    <w:rsid w:val="008E27E2"/>
    <w:rsid w:val="00901776"/>
    <w:rsid w:val="00A55B1F"/>
    <w:rsid w:val="00AA1D8D"/>
    <w:rsid w:val="00B47730"/>
    <w:rsid w:val="00C02BBA"/>
    <w:rsid w:val="00CA22BE"/>
    <w:rsid w:val="00CB0664"/>
    <w:rsid w:val="00CC48EA"/>
    <w:rsid w:val="00CC6C3F"/>
    <w:rsid w:val="00CE649F"/>
    <w:rsid w:val="00D33AEF"/>
    <w:rsid w:val="00E50BDB"/>
    <w:rsid w:val="00E519B0"/>
    <w:rsid w:val="00EB4B6C"/>
    <w:rsid w:val="00FC693F"/>
    <w:rsid w:val="177BA10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A9AC1D"/>
  <w14:defaultImageDpi w14:val="300"/>
  <w15:docId w15:val="{2F37602A-F19D-42E2-9354-A6D81A931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90" w:line="271" w:lineRule="auto"/>
    </w:pPr>
    <w:rPr>
      <w:rFonts w:ascii="Arial" w:hAnsi="Arial"/>
      <w:color w:val="1F2F3C"/>
      <w:sz w:val="21"/>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14354A"/>
      <w:sz w:val="2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17344B"/>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b/>
      <w:bCs/>
      <w:color w:val="1734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color w:val="17344B"/>
      <w:spacing w:val="5"/>
      <w:kern w:val="28"/>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custom">
    <w:name w:val="Figure caption custom"/>
    <w:basedOn w:val="Normal"/>
    <w:pPr>
      <w:spacing w:before="60" w:after="160"/>
    </w:pPr>
    <w:rPr>
      <w:b/>
      <w:color w:val="17344B"/>
      <w:sz w:val="18"/>
    </w:rPr>
  </w:style>
  <w:style w:type="paragraph" w:customStyle="1" w:styleId="Smallnote">
    <w:name w:val="Small note"/>
    <w:basedOn w:val="Normal"/>
    <w:pPr>
      <w:spacing w:after="80"/>
    </w:pPr>
    <w:rPr>
      <w:color w:val="1B2933"/>
      <w:sz w:val="18"/>
    </w:rPr>
  </w:style>
  <w:style w:type="paragraph" w:customStyle="1" w:styleId="HomeworkQuestion">
    <w:name w:val="Homework Question"/>
    <w:basedOn w:val="Normal"/>
    <w:pPr>
      <w:keepLines/>
      <w:spacing w:before="180" w:after="80"/>
    </w:pPr>
    <w:rPr>
      <w:b/>
    </w:rPr>
  </w:style>
  <w:style w:type="paragraph" w:customStyle="1" w:styleId="HomeworkNote">
    <w:name w:val="Homework Note"/>
    <w:basedOn w:val="Normal"/>
    <w:pPr>
      <w:spacing w:after="100"/>
    </w:pPr>
  </w:style>
  <w:style w:type="paragraph" w:customStyle="1" w:styleId="Answerline">
    <w:name w:val="Answer line"/>
    <w:pPr>
      <w:spacing w:after="60" w:line="420" w:lineRule="exact"/>
      <w:ind w:left="187" w:right="86"/>
    </w:pPr>
    <w:rPr>
      <w:rFonts w:ascii="Arial" w:hAnsi="Arial"/>
      <w:color w:val="283948"/>
      <w:sz w:val="20"/>
    </w:rPr>
  </w:style>
  <w:style w:type="paragraph" w:styleId="Revision">
    <w:name w:val="Revision"/>
    <w:hidden/>
    <w:uiPriority w:val="99"/>
    <w:semiHidden/>
    <w:rsid w:val="00901776"/>
    <w:pPr>
      <w:spacing w:after="0" w:line="240" w:lineRule="auto"/>
    </w:pPr>
    <w:rPr>
      <w:rFonts w:ascii="Arial" w:hAnsi="Arial"/>
      <w:color w:val="1F2F3C"/>
      <w:sz w:val="21"/>
    </w:rPr>
  </w:style>
  <w:style w:type="character" w:styleId="CommentReference">
    <w:name w:val="annotation reference"/>
    <w:basedOn w:val="DefaultParagraphFont"/>
    <w:uiPriority w:val="99"/>
    <w:semiHidden/>
    <w:unhideWhenUsed/>
    <w:rsid w:val="00901776"/>
    <w:rPr>
      <w:sz w:val="16"/>
      <w:szCs w:val="16"/>
    </w:rPr>
  </w:style>
  <w:style w:type="paragraph" w:styleId="CommentText">
    <w:name w:val="annotation text"/>
    <w:basedOn w:val="Normal"/>
    <w:link w:val="CommentTextChar"/>
    <w:uiPriority w:val="99"/>
    <w:unhideWhenUsed/>
    <w:rsid w:val="00901776"/>
    <w:pPr>
      <w:spacing w:line="240" w:lineRule="auto"/>
    </w:pPr>
    <w:rPr>
      <w:sz w:val="20"/>
      <w:szCs w:val="20"/>
    </w:rPr>
  </w:style>
  <w:style w:type="character" w:customStyle="1" w:styleId="CommentTextChar">
    <w:name w:val="Comment Text Char"/>
    <w:basedOn w:val="DefaultParagraphFont"/>
    <w:link w:val="CommentText"/>
    <w:uiPriority w:val="99"/>
    <w:rsid w:val="00901776"/>
    <w:rPr>
      <w:rFonts w:ascii="Arial" w:hAnsi="Arial"/>
      <w:color w:val="1F2F3C"/>
      <w:sz w:val="20"/>
      <w:szCs w:val="20"/>
    </w:rPr>
  </w:style>
  <w:style w:type="paragraph" w:styleId="CommentSubject">
    <w:name w:val="annotation subject"/>
    <w:basedOn w:val="CommentText"/>
    <w:next w:val="CommentText"/>
    <w:link w:val="CommentSubjectChar"/>
    <w:uiPriority w:val="99"/>
    <w:semiHidden/>
    <w:unhideWhenUsed/>
    <w:rsid w:val="00901776"/>
    <w:rPr>
      <w:b/>
      <w:bCs/>
    </w:rPr>
  </w:style>
  <w:style w:type="character" w:customStyle="1" w:styleId="CommentSubjectChar">
    <w:name w:val="Comment Subject Char"/>
    <w:basedOn w:val="CommentTextChar"/>
    <w:link w:val="CommentSubject"/>
    <w:uiPriority w:val="99"/>
    <w:semiHidden/>
    <w:rsid w:val="00901776"/>
    <w:rPr>
      <w:rFonts w:ascii="Arial" w:hAnsi="Arial"/>
      <w:b/>
      <w:bCs/>
      <w:color w:val="1F2F3C"/>
      <w:sz w:val="20"/>
      <w:szCs w:val="20"/>
    </w:rPr>
  </w:style>
  <w:style w:type="paragraph" w:styleId="NormalWeb">
    <w:name w:val="Normal (Web)"/>
    <w:basedOn w:val="Normal"/>
    <w:uiPriority w:val="99"/>
    <w:semiHidden/>
    <w:unhideWhenUsed/>
    <w:rsid w:val="007C2EA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chart" Target="charts/chart4.xml"/><Relationship Id="rId2" Type="http://schemas.openxmlformats.org/officeDocument/2006/relationships/customXml" Target="../customXml/item2.xml"/><Relationship Id="rId16" Type="http://schemas.openxmlformats.org/officeDocument/2006/relationships/chart" Target="charts/chart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chart" Target="charts/chart2.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hart" Target="charts/chart1.xml"/><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1"/>
  <c:style val="2"/>
  <c:chart>
    <c:autoTitleDeleted val="1"/>
    <c:plotArea>
      <c:layout/>
      <c:scatterChart>
        <c:scatterStyle val="lineMarker"/>
        <c:varyColors val="0"/>
        <c:ser>
          <c:idx val="0"/>
          <c:order val="0"/>
          <c:tx>
            <c:strRef>
              <c:f>Sheet1!$B$1</c:f>
              <c:strCache>
                <c:ptCount val="1"/>
                <c:pt idx="0">
                  <c:v>Measured calibration data</c:v>
                </c:pt>
              </c:strCache>
            </c:strRef>
          </c:tx>
          <c:spPr>
            <a:ln w="22000">
              <a:noFill/>
            </a:ln>
          </c:spPr>
          <c:marker>
            <c:symbol val="circle"/>
            <c:size val="7"/>
            <c:spPr>
              <a:solidFill>
                <a:srgbClr val="21648A"/>
              </a:solidFill>
            </c:spPr>
          </c:marker>
          <c:xVal>
            <c:numRef>
              <c:f>Sheet1!$A$2:$A$9</c:f>
              <c:numCache>
                <c:formatCode>General</c:formatCode>
                <c:ptCount val="8"/>
                <c:pt idx="0">
                  <c:v>0</c:v>
                </c:pt>
                <c:pt idx="1">
                  <c:v>0.05</c:v>
                </c:pt>
                <c:pt idx="2">
                  <c:v>0.1</c:v>
                </c:pt>
                <c:pt idx="3">
                  <c:v>0.2</c:v>
                </c:pt>
                <c:pt idx="4">
                  <c:v>0.4</c:v>
                </c:pt>
                <c:pt idx="5">
                  <c:v>0.6</c:v>
                </c:pt>
                <c:pt idx="6">
                  <c:v>0.8</c:v>
                </c:pt>
                <c:pt idx="7">
                  <c:v>1.2</c:v>
                </c:pt>
              </c:numCache>
            </c:numRef>
          </c:xVal>
          <c:yVal>
            <c:numRef>
              <c:f>Sheet1!$B$2:$B$9</c:f>
              <c:numCache>
                <c:formatCode>General</c:formatCode>
                <c:ptCount val="8"/>
                <c:pt idx="0">
                  <c:v>0</c:v>
                </c:pt>
                <c:pt idx="1">
                  <c:v>0.24179999999999999</c:v>
                </c:pt>
                <c:pt idx="2">
                  <c:v>0.45629999999999998</c:v>
                </c:pt>
                <c:pt idx="3">
                  <c:v>0.78249999999999997</c:v>
                </c:pt>
                <c:pt idx="4">
                  <c:v>1.3798999999999999</c:v>
                </c:pt>
                <c:pt idx="5">
                  <c:v>2.1698</c:v>
                </c:pt>
                <c:pt idx="6">
                  <c:v>2.8024</c:v>
                </c:pt>
                <c:pt idx="7">
                  <c:v>3.9983</c:v>
                </c:pt>
              </c:numCache>
            </c:numRef>
          </c:yVal>
          <c:smooth val="0"/>
          <c:extLst>
            <c:ext xmlns:c16="http://schemas.microsoft.com/office/drawing/2014/chart" uri="{C3380CC4-5D6E-409C-BE32-E72D297353CC}">
              <c16:uniqueId val="{00000000-2964-4D2A-89D0-BA7EB8CE55E9}"/>
            </c:ext>
          </c:extLst>
        </c:ser>
        <c:ser>
          <c:idx val="1"/>
          <c:order val="1"/>
          <c:tx>
            <c:strRef>
              <c:f>Sheet1!$C$1</c:f>
              <c:strCache>
                <c:ptCount val="1"/>
                <c:pt idx="0">
                  <c:v>y = 3.4337x (R² = 0.9982)</c:v>
                </c:pt>
              </c:strCache>
            </c:strRef>
          </c:tx>
          <c:spPr>
            <a:ln w="22000">
              <a:solidFill>
                <a:srgbClr val="21648A"/>
              </a:solidFill>
              <a:prstDash val="dot"/>
            </a:ln>
          </c:spPr>
          <c:marker>
            <c:symbol val="none"/>
          </c:marker>
          <c:xVal>
            <c:numRef>
              <c:f>Sheet1!$A$2:$A$9</c:f>
              <c:numCache>
                <c:formatCode>General</c:formatCode>
                <c:ptCount val="8"/>
                <c:pt idx="0">
                  <c:v>0</c:v>
                </c:pt>
                <c:pt idx="1">
                  <c:v>0.05</c:v>
                </c:pt>
                <c:pt idx="2">
                  <c:v>0.1</c:v>
                </c:pt>
                <c:pt idx="3">
                  <c:v>0.2</c:v>
                </c:pt>
                <c:pt idx="4">
                  <c:v>0.4</c:v>
                </c:pt>
                <c:pt idx="5">
                  <c:v>0.6</c:v>
                </c:pt>
                <c:pt idx="6">
                  <c:v>0.8</c:v>
                </c:pt>
                <c:pt idx="7">
                  <c:v>1.2</c:v>
                </c:pt>
              </c:numCache>
            </c:numRef>
          </c:xVal>
          <c:yVal>
            <c:numRef>
              <c:f>Sheet1!$C$2:$C$9</c:f>
              <c:numCache>
                <c:formatCode>General</c:formatCode>
                <c:ptCount val="8"/>
                <c:pt idx="0">
                  <c:v>0</c:v>
                </c:pt>
                <c:pt idx="1">
                  <c:v>0.171685956645</c:v>
                </c:pt>
                <c:pt idx="2">
                  <c:v>0.34337191328900002</c:v>
                </c:pt>
                <c:pt idx="3">
                  <c:v>0.68674382657900002</c:v>
                </c:pt>
                <c:pt idx="4">
                  <c:v>1.3734876531569999</c:v>
                </c:pt>
                <c:pt idx="5">
                  <c:v>2.0602314797360002</c:v>
                </c:pt>
                <c:pt idx="6">
                  <c:v>2.746975306315</c:v>
                </c:pt>
                <c:pt idx="7">
                  <c:v>4.1204629594720004</c:v>
                </c:pt>
              </c:numCache>
            </c:numRef>
          </c:yVal>
          <c:smooth val="0"/>
          <c:extLst>
            <c:ext xmlns:c16="http://schemas.microsoft.com/office/drawing/2014/chart" uri="{C3380CC4-5D6E-409C-BE32-E72D297353CC}">
              <c16:uniqueId val="{00000001-2964-4D2A-89D0-BA7EB8CE55E9}"/>
            </c:ext>
          </c:extLst>
        </c:ser>
        <c:dLbls>
          <c:showLegendKey val="0"/>
          <c:showVal val="0"/>
          <c:showCatName val="0"/>
          <c:showSerName val="0"/>
          <c:showPercent val="0"/>
          <c:showBubbleSize val="0"/>
        </c:dLbls>
        <c:axId val="-2128940872"/>
        <c:axId val="-2129643912"/>
      </c:scatterChart>
      <c:valAx>
        <c:axId val="-2128940872"/>
        <c:scaling>
          <c:orientation val="minMax"/>
          <c:max val="1.3"/>
          <c:min val="0"/>
        </c:scaling>
        <c:delete val="0"/>
        <c:axPos val="b"/>
        <c:title>
          <c:tx>
            <c:rich>
              <a:bodyPr/>
              <a:lstStyle/>
              <a:p>
                <a:r>
                  <a:rPr lang="en-US" sz="1100">
                    <a:latin typeface="Arial"/>
                  </a:rPr>
                  <a:t>C</a:t>
                </a:r>
                <a:r>
                  <a:rPr lang="en-US" sz="900" baseline="-25000">
                    <a:latin typeface="Arial"/>
                  </a:rPr>
                  <a:t>ONP</a:t>
                </a:r>
                <a:r>
                  <a:rPr lang="en-US" sz="1100">
                    <a:latin typeface="Arial"/>
                  </a:rPr>
                  <a:t> [mM]</a:t>
                </a:r>
              </a:p>
            </c:rich>
          </c:tx>
          <c:overlay val="0"/>
        </c:title>
        <c:numFmt formatCode="General" sourceLinked="1"/>
        <c:majorTickMark val="out"/>
        <c:minorTickMark val="none"/>
        <c:tickLblPos val="nextTo"/>
        <c:txPr>
          <a:bodyPr/>
          <a:lstStyle/>
          <a:p>
            <a:pPr>
              <a:defRPr sz="1100">
                <a:latin typeface="Arial"/>
              </a:defRPr>
            </a:pPr>
            <a:endParaRPr lang="en-US"/>
          </a:p>
        </c:txPr>
        <c:crossAx val="-2129643912"/>
        <c:crosses val="autoZero"/>
        <c:crossBetween val="midCat"/>
        <c:majorUnit val="0.2"/>
      </c:valAx>
      <c:valAx>
        <c:axId val="-2129643912"/>
        <c:scaling>
          <c:orientation val="minMax"/>
          <c:max val="4.5"/>
          <c:min val="0"/>
        </c:scaling>
        <c:delete val="0"/>
        <c:axPos val="l"/>
        <c:title>
          <c:tx>
            <c:rich>
              <a:bodyPr/>
              <a:lstStyle/>
              <a:p>
                <a:r>
                  <a:rPr lang="en-US" sz="1100">
                    <a:latin typeface="Arial"/>
                  </a:rPr>
                  <a:t>ABS</a:t>
                </a:r>
                <a:r>
                  <a:rPr lang="en-US" sz="900" baseline="-25000">
                    <a:latin typeface="Arial"/>
                  </a:rPr>
                  <a:t>415</a:t>
                </a:r>
                <a:r>
                  <a:rPr lang="en-US" sz="1100">
                    <a:latin typeface="Arial"/>
                  </a:rPr>
                  <a:t> [−]</a:t>
                </a:r>
              </a:p>
            </c:rich>
          </c:tx>
          <c:overlay val="0"/>
        </c:title>
        <c:numFmt formatCode="General" sourceLinked="1"/>
        <c:majorTickMark val="out"/>
        <c:minorTickMark val="none"/>
        <c:tickLblPos val="nextTo"/>
        <c:txPr>
          <a:bodyPr/>
          <a:lstStyle/>
          <a:p>
            <a:pPr>
              <a:defRPr sz="1100">
                <a:latin typeface="Arial"/>
              </a:defRPr>
            </a:pPr>
            <a:endParaRPr lang="en-US"/>
          </a:p>
        </c:txPr>
        <c:crossAx val="-2128940872"/>
        <c:crosses val="autoZero"/>
        <c:crossBetween val="midCat"/>
        <c:majorUnit val="0.5"/>
      </c:valAx>
    </c:plotArea>
    <c:plotVisOnly val="1"/>
    <c:dispBlanksAs val="gap"/>
    <c:showDLblsOverMax val="0"/>
  </c:chart>
  <c:txPr>
    <a:bodyPr/>
    <a:lstStyle/>
    <a:p>
      <a:pPr>
        <a:defRPr sz="1800"/>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1"/>
  <c:style val="2"/>
  <c:chart>
    <c:autoTitleDeleted val="1"/>
    <c:plotArea>
      <c:layout/>
      <c:scatterChart>
        <c:scatterStyle val="lineMarker"/>
        <c:varyColors val="0"/>
        <c:ser>
          <c:idx val="0"/>
          <c:order val="0"/>
          <c:tx>
            <c:strRef>
              <c:f>Sheet1!$B$1</c:f>
              <c:strCache>
                <c:ptCount val="1"/>
                <c:pt idx="0">
                  <c:v>Student prediction</c:v>
                </c:pt>
              </c:strCache>
            </c:strRef>
          </c:tx>
          <c:spPr>
            <a:ln>
              <a:noFill/>
            </a:ln>
          </c:spPr>
          <c:marker>
            <c:symbol val="none"/>
          </c:marker>
          <c:xVal>
            <c:numRef>
              <c:f>Sheet1!$A$2:$A$3</c:f>
              <c:numCache>
                <c:formatCode>General</c:formatCode>
                <c:ptCount val="2"/>
                <c:pt idx="0">
                  <c:v>0</c:v>
                </c:pt>
                <c:pt idx="1">
                  <c:v>19.899999999999999</c:v>
                </c:pt>
              </c:numCache>
            </c:numRef>
          </c:xVal>
          <c:yVal>
            <c:numRef>
              <c:f>Sheet1!$B$2:$B$3</c:f>
              <c:numCache>
                <c:formatCode>General</c:formatCode>
                <c:ptCount val="2"/>
                <c:pt idx="0">
                  <c:v>0</c:v>
                </c:pt>
                <c:pt idx="1">
                  <c:v>0</c:v>
                </c:pt>
              </c:numCache>
            </c:numRef>
          </c:yVal>
          <c:smooth val="0"/>
          <c:extLst>
            <c:ext xmlns:c16="http://schemas.microsoft.com/office/drawing/2014/chart" uri="{C3380CC4-5D6E-409C-BE32-E72D297353CC}">
              <c16:uniqueId val="{00000000-23AA-4E24-B55C-ADF87DDE3725}"/>
            </c:ext>
          </c:extLst>
        </c:ser>
        <c:dLbls>
          <c:showLegendKey val="0"/>
          <c:showVal val="0"/>
          <c:showCatName val="0"/>
          <c:showSerName val="0"/>
          <c:showPercent val="0"/>
          <c:showBubbleSize val="0"/>
        </c:dLbls>
        <c:axId val="-2128940872"/>
        <c:axId val="-2129643912"/>
      </c:scatterChart>
      <c:valAx>
        <c:axId val="-2128940872"/>
        <c:scaling>
          <c:orientation val="minMax"/>
          <c:max val="40"/>
          <c:min val="0"/>
        </c:scaling>
        <c:delete val="0"/>
        <c:axPos val="b"/>
        <c:title>
          <c:tx>
            <c:rich>
              <a:bodyPr/>
              <a:lstStyle/>
              <a:p>
                <a:r>
                  <a:rPr lang="en-US" sz="1100">
                    <a:latin typeface="Arial"/>
                  </a:rPr>
                  <a:t>C</a:t>
                </a:r>
                <a:r>
                  <a:rPr lang="en-US" sz="900" baseline="-25000">
                    <a:latin typeface="Arial"/>
                  </a:rPr>
                  <a:t>ONPG,0</a:t>
                </a:r>
                <a:r>
                  <a:rPr lang="en-US" sz="1100">
                    <a:latin typeface="Arial"/>
                  </a:rPr>
                  <a:t> [mM]</a:t>
                </a:r>
              </a:p>
            </c:rich>
          </c:tx>
          <c:overlay val="0"/>
        </c:title>
        <c:numFmt formatCode="General" sourceLinked="1"/>
        <c:majorTickMark val="out"/>
        <c:minorTickMark val="none"/>
        <c:tickLblPos val="nextTo"/>
        <c:txPr>
          <a:bodyPr/>
          <a:lstStyle/>
          <a:p>
            <a:pPr>
              <a:defRPr sz="1100">
                <a:latin typeface="Arial"/>
              </a:defRPr>
            </a:pPr>
            <a:endParaRPr lang="en-US"/>
          </a:p>
        </c:txPr>
        <c:crossAx val="-2129643912"/>
        <c:crosses val="autoZero"/>
        <c:crossBetween val="midCat"/>
        <c:majorUnit val="10"/>
      </c:valAx>
      <c:valAx>
        <c:axId val="-2129643912"/>
        <c:scaling>
          <c:orientation val="minMax"/>
          <c:max val="2.5000000000000001E-3"/>
          <c:min val="0"/>
        </c:scaling>
        <c:delete val="0"/>
        <c:axPos val="l"/>
        <c:title>
          <c:tx>
            <c:rich>
              <a:bodyPr/>
              <a:lstStyle/>
              <a:p>
                <a:r>
                  <a:rPr lang="en-US" sz="1100">
                    <a:latin typeface="Arial"/>
                  </a:rPr>
                  <a:t>v</a:t>
                </a:r>
                <a:r>
                  <a:rPr lang="en-US" sz="900" baseline="-25000">
                    <a:latin typeface="Arial"/>
                  </a:rPr>
                  <a:t>0</a:t>
                </a:r>
                <a:r>
                  <a:rPr lang="en-US" sz="1100">
                    <a:latin typeface="Arial"/>
                  </a:rPr>
                  <a:t> [mM/s]</a:t>
                </a:r>
              </a:p>
            </c:rich>
          </c:tx>
          <c:overlay val="0"/>
        </c:title>
        <c:numFmt formatCode="General" sourceLinked="1"/>
        <c:majorTickMark val="out"/>
        <c:minorTickMark val="none"/>
        <c:tickLblPos val="nextTo"/>
        <c:txPr>
          <a:bodyPr/>
          <a:lstStyle/>
          <a:p>
            <a:pPr>
              <a:defRPr sz="1100">
                <a:latin typeface="Arial"/>
              </a:defRPr>
            </a:pPr>
            <a:endParaRPr lang="en-US"/>
          </a:p>
        </c:txPr>
        <c:crossAx val="-2128940872"/>
        <c:crosses val="autoZero"/>
        <c:crossBetween val="midCat"/>
        <c:majorUnit val="5.0000000000000001E-4"/>
      </c:valAx>
    </c:plotArea>
    <c:plotVisOnly val="1"/>
    <c:dispBlanksAs val="gap"/>
    <c:showDLblsOverMax val="0"/>
  </c:chart>
  <c:txPr>
    <a:bodyPr/>
    <a:lstStyle/>
    <a:p>
      <a:pPr>
        <a:defRPr sz="1800"/>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1"/>
  <c:style val="2"/>
  <c:chart>
    <c:autoTitleDeleted val="1"/>
    <c:plotArea>
      <c:layout/>
      <c:scatterChart>
        <c:scatterStyle val="lineMarker"/>
        <c:varyColors val="0"/>
        <c:ser>
          <c:idx val="0"/>
          <c:order val="0"/>
          <c:tx>
            <c:strRef>
              <c:f>Sheet1!$B$1</c:f>
              <c:strCache>
                <c:ptCount val="1"/>
                <c:pt idx="0">
                  <c:v>Student prediction</c:v>
                </c:pt>
              </c:strCache>
            </c:strRef>
          </c:tx>
          <c:spPr>
            <a:ln>
              <a:noFill/>
            </a:ln>
          </c:spPr>
          <c:marker>
            <c:symbol val="none"/>
          </c:marker>
          <c:xVal>
            <c:numRef>
              <c:f>Sheet1!$A$2:$A$3</c:f>
              <c:numCache>
                <c:formatCode>General</c:formatCode>
                <c:ptCount val="2"/>
                <c:pt idx="0">
                  <c:v>0</c:v>
                </c:pt>
                <c:pt idx="1">
                  <c:v>340</c:v>
                </c:pt>
              </c:numCache>
            </c:numRef>
          </c:xVal>
          <c:yVal>
            <c:numRef>
              <c:f>Sheet1!$B$2:$B$3</c:f>
              <c:numCache>
                <c:formatCode>General</c:formatCode>
                <c:ptCount val="2"/>
                <c:pt idx="0">
                  <c:v>0</c:v>
                </c:pt>
                <c:pt idx="1">
                  <c:v>0</c:v>
                </c:pt>
              </c:numCache>
            </c:numRef>
          </c:yVal>
          <c:smooth val="0"/>
          <c:extLst>
            <c:ext xmlns:c16="http://schemas.microsoft.com/office/drawing/2014/chart" uri="{C3380CC4-5D6E-409C-BE32-E72D297353CC}">
              <c16:uniqueId val="{00000000-35B6-4895-B66C-E48E9C7977CC}"/>
            </c:ext>
          </c:extLst>
        </c:ser>
        <c:dLbls>
          <c:showLegendKey val="0"/>
          <c:showVal val="0"/>
          <c:showCatName val="0"/>
          <c:showSerName val="0"/>
          <c:showPercent val="0"/>
          <c:showBubbleSize val="0"/>
        </c:dLbls>
        <c:axId val="-2128940872"/>
        <c:axId val="-2129643912"/>
      </c:scatterChart>
      <c:valAx>
        <c:axId val="-2128940872"/>
        <c:scaling>
          <c:orientation val="minMax"/>
          <c:max val="340"/>
          <c:min val="0"/>
        </c:scaling>
        <c:delete val="0"/>
        <c:axPos val="b"/>
        <c:title>
          <c:tx>
            <c:rich>
              <a:bodyPr/>
              <a:lstStyle/>
              <a:p>
                <a:r>
                  <a:rPr lang="en-US" sz="1100">
                    <a:latin typeface="Arial"/>
                  </a:rPr>
                  <a:t>Equivalent laboratory time [min]</a:t>
                </a:r>
              </a:p>
            </c:rich>
          </c:tx>
          <c:overlay val="0"/>
        </c:title>
        <c:numFmt formatCode="General" sourceLinked="1"/>
        <c:majorTickMark val="out"/>
        <c:minorTickMark val="none"/>
        <c:tickLblPos val="nextTo"/>
        <c:txPr>
          <a:bodyPr/>
          <a:lstStyle/>
          <a:p>
            <a:pPr>
              <a:defRPr sz="1100">
                <a:latin typeface="Arial"/>
              </a:defRPr>
            </a:pPr>
            <a:endParaRPr lang="en-US"/>
          </a:p>
        </c:txPr>
        <c:crossAx val="-2129643912"/>
        <c:crosses val="autoZero"/>
        <c:crossBetween val="midCat"/>
        <c:majorUnit val="85"/>
      </c:valAx>
      <c:valAx>
        <c:axId val="-2129643912"/>
        <c:scaling>
          <c:orientation val="minMax"/>
          <c:max val="0.8"/>
          <c:min val="0"/>
        </c:scaling>
        <c:delete val="0"/>
        <c:axPos val="l"/>
        <c:title>
          <c:tx>
            <c:rich>
              <a:bodyPr/>
              <a:lstStyle/>
              <a:p>
                <a:r>
                  <a:rPr lang="en-US" sz="1100">
                    <a:latin typeface="Arial"/>
                  </a:rPr>
                  <a:t>C</a:t>
                </a:r>
                <a:r>
                  <a:rPr lang="en-US" sz="900" baseline="-25000">
                    <a:latin typeface="Arial"/>
                  </a:rPr>
                  <a:t>ONP</a:t>
                </a:r>
                <a:r>
                  <a:rPr lang="en-US" sz="1100">
                    <a:latin typeface="Arial"/>
                  </a:rPr>
                  <a:t> [mM]</a:t>
                </a:r>
              </a:p>
            </c:rich>
          </c:tx>
          <c:overlay val="0"/>
        </c:title>
        <c:numFmt formatCode="General" sourceLinked="1"/>
        <c:majorTickMark val="out"/>
        <c:minorTickMark val="none"/>
        <c:tickLblPos val="nextTo"/>
        <c:txPr>
          <a:bodyPr/>
          <a:lstStyle/>
          <a:p>
            <a:pPr>
              <a:defRPr sz="1100">
                <a:latin typeface="Arial"/>
              </a:defRPr>
            </a:pPr>
            <a:endParaRPr lang="en-US"/>
          </a:p>
        </c:txPr>
        <c:crossAx val="-2128940872"/>
        <c:crosses val="autoZero"/>
        <c:crossBetween val="midCat"/>
        <c:majorUnit val="0.2"/>
      </c:valAx>
    </c:plotArea>
    <c:plotVisOnly val="1"/>
    <c:dispBlanksAs val="gap"/>
    <c:showDLblsOverMax val="0"/>
  </c:chart>
  <c:txPr>
    <a:bodyPr/>
    <a:lstStyle/>
    <a:p>
      <a:pPr>
        <a:defRPr sz="1800"/>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1"/>
  <c:style val="2"/>
  <c:chart>
    <c:autoTitleDeleted val="1"/>
    <c:plotArea>
      <c:layout/>
      <c:scatterChart>
        <c:scatterStyle val="lineMarker"/>
        <c:varyColors val="0"/>
        <c:ser>
          <c:idx val="0"/>
          <c:order val="0"/>
          <c:tx>
            <c:strRef>
              <c:f>Sheet1!$B$1</c:f>
              <c:strCache>
                <c:ptCount val="1"/>
                <c:pt idx="0">
                  <c:v>Student prediction</c:v>
                </c:pt>
              </c:strCache>
            </c:strRef>
          </c:tx>
          <c:spPr>
            <a:ln>
              <a:noFill/>
            </a:ln>
          </c:spPr>
          <c:marker>
            <c:symbol val="none"/>
          </c:marker>
          <c:xVal>
            <c:numRef>
              <c:f>Sheet1!$A$2:$A$3</c:f>
            </c:numRef>
          </c:xVal>
          <c:yVal>
            <c:numRef>
              <c:f>Sheet1!$B$2:$B$3</c:f>
            </c:numRef>
          </c:yVal>
          <c:smooth val="0"/>
          <c:extLst>
            <c:ext xmlns:c16="http://schemas.microsoft.com/office/drawing/2014/chart" uri="{C3380CC4-5D6E-409C-BE32-E72D297353CC}">
              <c16:uniqueId val="{00000000-31BE-4379-A160-89F1881203BB}"/>
            </c:ext>
          </c:extLst>
        </c:ser>
        <c:dLbls>
          <c:showLegendKey val="0"/>
          <c:showVal val="0"/>
          <c:showCatName val="0"/>
          <c:showSerName val="0"/>
          <c:showPercent val="0"/>
          <c:showBubbleSize val="0"/>
        </c:dLbls>
        <c:axId val="-2128940872"/>
        <c:axId val="-2129643912"/>
      </c:scatterChart>
      <c:valAx>
        <c:axId val="-2128940872"/>
        <c:scaling>
          <c:orientation val="minMax"/>
          <c:max val="1.8"/>
          <c:min val="0"/>
        </c:scaling>
        <c:delete val="0"/>
        <c:axPos val="b"/>
        <c:title>
          <c:tx>
            <c:rich>
              <a:bodyPr/>
              <a:lstStyle/>
              <a:p>
                <a:r>
                  <a:rPr lang="en-US" sz="1100">
                    <a:latin typeface="Arial"/>
                  </a:rPr>
                  <a:t>1/C</a:t>
                </a:r>
                <a:r>
                  <a:rPr lang="en-US" sz="900" baseline="-25000">
                    <a:latin typeface="Arial"/>
                  </a:rPr>
                  <a:t>ONPG,0</a:t>
                </a:r>
                <a:r>
                  <a:rPr lang="en-US" sz="1100">
                    <a:latin typeface="Arial"/>
                  </a:rPr>
                  <a:t> [mM⁻¹]</a:t>
                </a:r>
              </a:p>
            </c:rich>
          </c:tx>
          <c:overlay val="0"/>
        </c:title>
        <c:numFmt formatCode="General" sourceLinked="1"/>
        <c:majorTickMark val="out"/>
        <c:minorTickMark val="none"/>
        <c:tickLblPos val="nextTo"/>
        <c:txPr>
          <a:bodyPr/>
          <a:lstStyle/>
          <a:p>
            <a:pPr>
              <a:defRPr sz="1100">
                <a:latin typeface="Arial"/>
              </a:defRPr>
            </a:pPr>
            <a:endParaRPr lang="en-US"/>
          </a:p>
        </c:txPr>
        <c:crossAx val="-2129643912"/>
        <c:crosses val="autoZero"/>
        <c:crossBetween val="midCat"/>
        <c:majorUnit val="0.3"/>
      </c:valAx>
      <c:valAx>
        <c:axId val="-2129643912"/>
        <c:scaling>
          <c:orientation val="minMax"/>
          <c:max val="1600"/>
          <c:min val="0"/>
        </c:scaling>
        <c:delete val="0"/>
        <c:axPos val="l"/>
        <c:title>
          <c:tx>
            <c:rich>
              <a:bodyPr/>
              <a:lstStyle/>
              <a:p>
                <a:r>
                  <a:rPr lang="en-US" sz="1100">
                    <a:latin typeface="Arial"/>
                  </a:rPr>
                  <a:t>1/v</a:t>
                </a:r>
                <a:r>
                  <a:rPr lang="en-US" sz="900" baseline="-25000">
                    <a:latin typeface="Arial"/>
                  </a:rPr>
                  <a:t>0</a:t>
                </a:r>
                <a:r>
                  <a:rPr lang="en-US" sz="1100">
                    <a:latin typeface="Arial"/>
                  </a:rPr>
                  <a:t> [s/mM]</a:t>
                </a:r>
              </a:p>
            </c:rich>
          </c:tx>
          <c:overlay val="0"/>
        </c:title>
        <c:numFmt formatCode="General" sourceLinked="1"/>
        <c:majorTickMark val="out"/>
        <c:minorTickMark val="none"/>
        <c:tickLblPos val="nextTo"/>
        <c:txPr>
          <a:bodyPr/>
          <a:lstStyle/>
          <a:p>
            <a:pPr>
              <a:defRPr sz="1100">
                <a:latin typeface="Arial"/>
              </a:defRPr>
            </a:pPr>
            <a:endParaRPr lang="en-US"/>
          </a:p>
        </c:txPr>
        <c:crossAx val="-2128940872"/>
        <c:crosses val="autoZero"/>
        <c:crossBetween val="midCat"/>
        <c:majorUnit val="400"/>
      </c:valAx>
    </c:plotArea>
    <c:plotVisOnly val="1"/>
    <c:dispBlanksAs val="gap"/>
    <c:showDLblsOverMax val="0"/>
  </c:chart>
  <c:txPr>
    <a:bodyPr/>
    <a:lstStyle/>
    <a:p>
      <a:pPr>
        <a:defRPr sz="1800"/>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37341b61-bf69-4ecb-abd4-542b74be1465" xsi:nil="true"/>
    <lcf76f155ced4ddcb4097134ff3c332f xmlns="9bcad664-a72d-40fc-9865-0cb46556d555">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932399C4B9AE64CAE958B5D78C7AB0A" ma:contentTypeVersion="19" ma:contentTypeDescription="Create a new document." ma:contentTypeScope="" ma:versionID="02de93b022bb1f13d82c72564eb710f6">
  <xsd:schema xmlns:xsd="http://www.w3.org/2001/XMLSchema" xmlns:xs="http://www.w3.org/2001/XMLSchema" xmlns:p="http://schemas.microsoft.com/office/2006/metadata/properties" xmlns:ns2="9bcad664-a72d-40fc-9865-0cb46556d555" xmlns:ns3="37341b61-bf69-4ecb-abd4-542b74be1465" targetNamespace="http://schemas.microsoft.com/office/2006/metadata/properties" ma:root="true" ma:fieldsID="1c450d158e0024869ffbb3c314750d85" ns2:_="" ns3:_="">
    <xsd:import namespace="9bcad664-a72d-40fc-9865-0cb46556d555"/>
    <xsd:import namespace="37341b61-bf69-4ecb-abd4-542b74be146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MediaServiceObjectDetectorVersions" minOccurs="0"/>
                <xsd:element ref="ns2:lcf76f155ced4ddcb4097134ff3c332f" minOccurs="0"/>
                <xsd:element ref="ns3:TaxCatchAll"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cad664-a72d-40fc-9865-0cb46556d5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31da502c-7e40-4002-9fa7-8e5645d13f89" ma:termSetId="09814cd3-568e-fe90-9814-8d621ff8fb84" ma:anchorId="fba54fb3-c3e1-fe81-a776-ca4b69148c4d" ma:open="true" ma:isKeyword="false">
      <xsd:complexType>
        <xsd:sequence>
          <xsd:element ref="pc:Terms" minOccurs="0" maxOccurs="1"/>
        </xsd:sequence>
      </xsd:complex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7341b61-bf69-4ecb-abd4-542b74be146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25c7cac3-ebd3-404c-ae6c-d18efc78375d}" ma:internalName="TaxCatchAll" ma:showField="CatchAllData" ma:web="37341b61-bf69-4ecb-abd4-542b74be14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9565EA-C66B-49FD-89E0-D6F7978213E9}">
  <ds:schemaRefs>
    <ds:schemaRef ds:uri="http://schemas.microsoft.com/sharepoint/v3/contenttype/forms"/>
  </ds:schemaRefs>
</ds:datastoreItem>
</file>

<file path=customXml/itemProps2.xml><?xml version="1.0" encoding="utf-8"?>
<ds:datastoreItem xmlns:ds="http://schemas.openxmlformats.org/officeDocument/2006/customXml" ds:itemID="{BC4570F3-5E88-462C-844F-A3ED2BB201C4}">
  <ds:schemaRefs>
    <ds:schemaRef ds:uri="http://schemas.microsoft.com/office/2006/metadata/properties"/>
    <ds:schemaRef ds:uri="http://schemas.microsoft.com/office/infopath/2007/PartnerControls"/>
    <ds:schemaRef ds:uri="37341b61-bf69-4ecb-abd4-542b74be1465"/>
    <ds:schemaRef ds:uri="9bcad664-a72d-40fc-9865-0cb46556d555"/>
  </ds:schemaRefs>
</ds:datastoreItem>
</file>

<file path=customXml/itemProps3.xml><?xml version="1.0" encoding="utf-8"?>
<ds:datastoreItem xmlns:ds="http://schemas.openxmlformats.org/officeDocument/2006/customXml" ds:itemID="{41FB67AC-48D6-498C-A925-4AF7F64F07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cad664-a72d-40fc-9865-0cb46556d555"/>
    <ds:schemaRef ds:uri="37341b61-bf69-4ecb-abd4-542b74be14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12</Pages>
  <Words>1977</Words>
  <Characters>11272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ONPG Bead Reactor, Enzyme Kinetics and Internal Diffusion</vt:lpstr>
    </vt:vector>
  </TitlesOfParts>
  <Manager/>
  <Company/>
  <LinksUpToDate>false</LinksUpToDate>
  <CharactersWithSpaces>13223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ONPG Bead Reactor, Enzyme Kinetics and Internal Diffusion</dc:title>
  <dc:subject>Student virtual laboratory worksheet — professionally formatted and editable</dc:subject>
  <dc:creator>Faraz Rahimi;David B. Thiessen;Bernard J. Van Wie</dc:creator>
  <cp:keywords/>
  <dc:description>generated by python-docx</dc:description>
  <cp:lastModifiedBy>Rahimi, Faraz</cp:lastModifiedBy>
  <cp:revision>11</cp:revision>
  <dcterms:created xsi:type="dcterms:W3CDTF">2026-10-22T00:12:00Z</dcterms:created>
  <dcterms:modified xsi:type="dcterms:W3CDTF">2026-10-29T05:45:00Z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0x010100D932399C4B9AE64CAE958B5D78C7AB0A</vt:lpwstr>
  </property>
  <property fmtid="{D5CDD505-2E9C-101B-9397-08002B2CF9AE}" pid="3" name="MediaServiceImageTags">
    <vt:lpwstr/>
  </property>
  <property fmtid="{D5CDD505-2E9C-101B-9397-08002B2CF9AE}" pid="4" name="GrammarlyDocumentId">
    <vt:lpwstr>b6a46b56dbadad89578e2731be5410f9b2226d792fa58e37189c662a2ff8ec9c</vt:lpwstr>
  </property>
</Properties>
</file>