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Catatan Pertumbuhan IHSG dan Krisis yang Dilalui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Periode</w:t>
            </w:r>
          </w:p>
        </w:tc>
        <w:tc>
          <w:tcPr>
            <w:tcW w:type="dxa" w:w="2880"/>
          </w:tcPr>
          <w:p>
            <w:r>
              <w:t>Kondisi IHSG</w:t>
            </w:r>
          </w:p>
        </w:tc>
        <w:tc>
          <w:tcPr>
            <w:tcW w:type="dxa" w:w="2880"/>
          </w:tcPr>
          <w:p>
            <w:r>
              <w:t>Krisis / Peristiwa</w:t>
            </w:r>
          </w:p>
        </w:tc>
      </w:tr>
      <w:tr>
        <w:tc>
          <w:tcPr>
            <w:tcW w:type="dxa" w:w="2880"/>
          </w:tcPr>
          <w:p>
            <w:r>
              <w:t>1997–1998</w:t>
            </w:r>
          </w:p>
        </w:tc>
        <w:tc>
          <w:tcPr>
            <w:tcW w:type="dxa" w:w="2880"/>
          </w:tcPr>
          <w:p>
            <w:r>
              <w:t>Anjlok sangat dalam (lebih dari 50%)</w:t>
            </w:r>
          </w:p>
        </w:tc>
        <w:tc>
          <w:tcPr>
            <w:tcW w:type="dxa" w:w="2880"/>
          </w:tcPr>
          <w:p>
            <w:r>
              <w:t>Krisis Finansial Asia 1997. Rupiah jatuh, banyak bank kolaps, ekonomi Indonesia mengalami resesi berat.</w:t>
            </w:r>
          </w:p>
        </w:tc>
      </w:tr>
      <w:tr>
        <w:tc>
          <w:tcPr>
            <w:tcW w:type="dxa" w:w="2880"/>
          </w:tcPr>
          <w:p>
            <w:r>
              <w:t>1999–2007</w:t>
            </w:r>
          </w:p>
        </w:tc>
        <w:tc>
          <w:tcPr>
            <w:tcW w:type="dxa" w:w="2880"/>
          </w:tcPr>
          <w:p>
            <w:r>
              <w:t>Bull market kuat</w:t>
            </w:r>
          </w:p>
        </w:tc>
        <w:tc>
          <w:tcPr>
            <w:tcW w:type="dxa" w:w="2880"/>
          </w:tcPr>
          <w:p>
            <w:r>
              <w:t>Pemulihan ekonomi pasca reformasi. IHSG naik berkali-kali lipat.</w:t>
            </w:r>
          </w:p>
        </w:tc>
      </w:tr>
      <w:tr>
        <w:tc>
          <w:tcPr>
            <w:tcW w:type="dxa" w:w="2880"/>
          </w:tcPr>
          <w:p>
            <w:r>
              <w:t>2008</w:t>
            </w:r>
          </w:p>
        </w:tc>
        <w:tc>
          <w:tcPr>
            <w:tcW w:type="dxa" w:w="2880"/>
          </w:tcPr>
          <w:p>
            <w:r>
              <w:t>Turun sekitar 50% dari puncak</w:t>
            </w:r>
          </w:p>
        </w:tc>
        <w:tc>
          <w:tcPr>
            <w:tcW w:type="dxa" w:w="2880"/>
          </w:tcPr>
          <w:p>
            <w:r>
              <w:t>Krisis Keuangan Global 2008.</w:t>
            </w:r>
          </w:p>
        </w:tc>
      </w:tr>
      <w:tr>
        <w:tc>
          <w:tcPr>
            <w:tcW w:type="dxa" w:w="2880"/>
          </w:tcPr>
          <w:p>
            <w:r>
              <w:t>2009–2012</w:t>
            </w:r>
          </w:p>
        </w:tc>
        <w:tc>
          <w:tcPr>
            <w:tcW w:type="dxa" w:w="2880"/>
          </w:tcPr>
          <w:p>
            <w:r>
              <w:t>Rebound sangat kuat</w:t>
            </w:r>
          </w:p>
        </w:tc>
        <w:tc>
          <w:tcPr>
            <w:tcW w:type="dxa" w:w="2880"/>
          </w:tcPr>
          <w:p>
            <w:r>
              <w:t>Pemulihan pasca krisis global.</w:t>
            </w:r>
          </w:p>
        </w:tc>
      </w:tr>
      <w:tr>
        <w:tc>
          <w:tcPr>
            <w:tcW w:type="dxa" w:w="2880"/>
          </w:tcPr>
          <w:p>
            <w:r>
              <w:t>2013</w:t>
            </w:r>
          </w:p>
        </w:tc>
        <w:tc>
          <w:tcPr>
            <w:tcW w:type="dxa" w:w="2880"/>
          </w:tcPr>
          <w:p>
            <w:r>
              <w:t>Koreksi tajam</w:t>
            </w:r>
          </w:p>
        </w:tc>
        <w:tc>
          <w:tcPr>
            <w:tcW w:type="dxa" w:w="2880"/>
          </w:tcPr>
          <w:p>
            <w:r>
              <w:t>Taper Tantrum dari AS.</w:t>
            </w:r>
          </w:p>
        </w:tc>
      </w:tr>
      <w:tr>
        <w:tc>
          <w:tcPr>
            <w:tcW w:type="dxa" w:w="2880"/>
          </w:tcPr>
          <w:p>
            <w:r>
              <w:t>2015</w:t>
            </w:r>
          </w:p>
        </w:tc>
        <w:tc>
          <w:tcPr>
            <w:tcW w:type="dxa" w:w="2880"/>
          </w:tcPr>
          <w:p>
            <w:r>
              <w:t>Melemah</w:t>
            </w:r>
          </w:p>
        </w:tc>
        <w:tc>
          <w:tcPr>
            <w:tcW w:type="dxa" w:w="2880"/>
          </w:tcPr>
          <w:p>
            <w:r>
              <w:t>Perlambatan ekonomi global dan Tiongkok.</w:t>
            </w:r>
          </w:p>
        </w:tc>
      </w:tr>
      <w:tr>
        <w:tc>
          <w:tcPr>
            <w:tcW w:type="dxa" w:w="2880"/>
          </w:tcPr>
          <w:p>
            <w:r>
              <w:t>2020</w:t>
            </w:r>
          </w:p>
        </w:tc>
        <w:tc>
          <w:tcPr>
            <w:tcW w:type="dxa" w:w="2880"/>
          </w:tcPr>
          <w:p>
            <w:r>
              <w:t>Crash sekitar 37%</w:t>
            </w:r>
          </w:p>
        </w:tc>
        <w:tc>
          <w:tcPr>
            <w:tcW w:type="dxa" w:w="2880"/>
          </w:tcPr>
          <w:p>
            <w:r>
              <w:t>Pandemi COVID-19.</w:t>
            </w:r>
          </w:p>
        </w:tc>
      </w:tr>
      <w:tr>
        <w:tc>
          <w:tcPr>
            <w:tcW w:type="dxa" w:w="2880"/>
          </w:tcPr>
          <w:p>
            <w:r>
              <w:t>2020–2024</w:t>
            </w:r>
          </w:p>
        </w:tc>
        <w:tc>
          <w:tcPr>
            <w:tcW w:type="dxa" w:w="2880"/>
          </w:tcPr>
          <w:p>
            <w:r>
              <w:t>Recovery kuat</w:t>
            </w:r>
          </w:p>
        </w:tc>
        <w:tc>
          <w:tcPr>
            <w:tcW w:type="dxa" w:w="2880"/>
          </w:tcPr>
          <w:p>
            <w:r>
              <w:t>Pemulihan ekonomi dan kenaikan harga komoditas.</w:t>
            </w:r>
          </w:p>
        </w:tc>
      </w:tr>
      <w:tr>
        <w:tc>
          <w:tcPr>
            <w:tcW w:type="dxa" w:w="2880"/>
          </w:tcPr>
          <w:p>
            <w:r>
              <w:t>2025–2026</w:t>
            </w:r>
          </w:p>
        </w:tc>
        <w:tc>
          <w:tcPr>
            <w:tcW w:type="dxa" w:w="2880"/>
          </w:tcPr>
          <w:p>
            <w:r>
              <w:t>Rekor tertinggi baru</w:t>
            </w:r>
          </w:p>
        </w:tc>
        <w:tc>
          <w:tcPr>
            <w:tcW w:type="dxa" w:w="2880"/>
          </w:tcPr>
          <w:p>
            <w:r>
              <w:t>Didukung pertumbuhan ekonomi dan investasi.</w:t>
            </w:r>
          </w:p>
        </w:tc>
      </w:tr>
    </w:tbl>
    <w:p>
      <w:pPr>
        <w:pStyle w:val="Heading2"/>
      </w:pPr>
      <w:r>
        <w:t>Pelajaran dari Sejarah IHSG</w:t>
      </w:r>
    </w:p>
    <w:p>
      <w:r>
        <w:t>Setiap krisis besar seperti 1998, 2008, dan 2020 diikuti fase pemulihan. Dalam jangka panjang, IHSG menunjukkan tren naik meskipun mengalami beberapa kali penurunan tajam.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