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28"/>
        </w:rPr>
        <w:t>TRACE — OSINT DIGITAL FOOTPRINT ANALYZER</w:t>
      </w:r>
    </w:p>
    <w:p>
      <w:pPr>
        <w:spacing w:before="0" w:after="120"/>
        <w:jc w:val="center"/>
      </w:pPr>
      <w:r>
        <w:rPr>
          <w:b/>
          <w:color w:val="0284C7"/>
          <w:sz w:val="18"/>
        </w:rPr>
        <w:t>A Robust Web-Based Open Source Intelligence Framework for Surface-Web Profile &amp; Domain Footprint Auditing</w:t>
      </w:r>
    </w:p>
    <w:tbl>
      <w:tblPr>
        <w:tblW w:type="auto" w:w="0"/>
        <w:jc w:val="center"/>
        <w:tblLook w:firstColumn="1" w:firstRow="1" w:lastColumn="0" w:lastRow="0" w:noHBand="0" w:noVBand="1" w:val="04A0"/>
      </w:tblPr>
      <w:tblGrid>
        <w:gridCol w:w="3648"/>
        <w:gridCol w:w="3648"/>
        <w:gridCol w:w="3648"/>
      </w:tblGrid>
      <w:tr>
        <w:tc>
          <w:tcPr>
            <w:tcW w:type="dxa" w:w="3648"/>
            <w:shd w:fill="F8FAFC"/>
            <w:tcMar>
              <w:top w:w="40" w:type="dxa"/>
              <w:bottom w:w="40" w:type="dxa"/>
              <w:left w:w="60" w:type="dxa"/>
              <w:right w:w="60" w:type="dxa"/>
            </w:tcMar>
          </w:tcPr>
          <w:p>
            <w:pPr>
              <w:spacing w:after="0"/>
            </w:pPr>
            <w:r>
              <w:rPr>
                <w:b/>
                <w:color w:val="0F172A"/>
                <w:sz w:val="15"/>
              </w:rPr>
              <w:t xml:space="preserve">Student Name: </w:t>
            </w:r>
            <w:r>
              <w:rPr>
                <w:color w:val="334155"/>
                <w:sz w:val="15"/>
              </w:rPr>
              <w:t>Fardeen Akmal</w:t>
            </w:r>
          </w:p>
        </w:tc>
        <w:tc>
          <w:tcPr>
            <w:tcW w:type="dxa" w:w="3648"/>
            <w:shd w:fill="F8FAFC"/>
            <w:tcMar>
              <w:top w:w="40" w:type="dxa"/>
              <w:bottom w:w="40" w:type="dxa"/>
              <w:left w:w="60" w:type="dxa"/>
              <w:right w:w="60" w:type="dxa"/>
            </w:tcMar>
          </w:tcPr>
          <w:p>
            <w:pPr>
              <w:spacing w:after="0"/>
            </w:pPr>
            <w:r>
              <w:rPr>
                <w:b/>
                <w:color w:val="0F172A"/>
                <w:sz w:val="15"/>
              </w:rPr>
              <w:t xml:space="preserve">Roll Number: </w:t>
            </w:r>
            <w:r>
              <w:rPr>
                <w:color w:val="334155"/>
                <w:sz w:val="15"/>
              </w:rPr>
              <w:t>2</w:t>
            </w:r>
          </w:p>
        </w:tc>
        <w:tc>
          <w:tcPr>
            <w:tcW w:type="dxa" w:w="3648"/>
            <w:shd w:fill="F8FAFC"/>
            <w:tcMar>
              <w:top w:w="40" w:type="dxa"/>
              <w:bottom w:w="40" w:type="dxa"/>
              <w:left w:w="60" w:type="dxa"/>
              <w:right w:w="60" w:type="dxa"/>
            </w:tcMar>
          </w:tcPr>
          <w:p>
            <w:pPr>
              <w:spacing w:after="0"/>
            </w:pPr>
            <w:r>
              <w:rPr>
                <w:b/>
                <w:color w:val="0F172A"/>
                <w:sz w:val="15"/>
              </w:rPr>
              <w:t xml:space="preserve">Project Guide: </w:t>
            </w:r>
            <w:r>
              <w:rPr>
                <w:color w:val="334155"/>
                <w:sz w:val="15"/>
              </w:rPr>
              <w:t>Akanksha Thakare</w:t>
            </w:r>
          </w:p>
        </w:tc>
      </w:tr>
      <w:tr>
        <w:tc>
          <w:tcPr>
            <w:tcW w:type="dxa" w:w="3648"/>
            <w:shd w:fill="F8FAFC"/>
            <w:tcMar>
              <w:top w:w="40" w:type="dxa"/>
              <w:bottom w:w="40" w:type="dxa"/>
              <w:left w:w="60" w:type="dxa"/>
              <w:right w:w="60" w:type="dxa"/>
            </w:tcMar>
          </w:tcPr>
          <w:p>
            <w:pPr>
              <w:spacing w:after="0"/>
            </w:pPr>
            <w:r>
              <w:rPr>
                <w:b/>
                <w:color w:val="0F172A"/>
                <w:sz w:val="15"/>
              </w:rPr>
              <w:t xml:space="preserve">Branch: </w:t>
            </w:r>
            <w:r>
              <w:rPr>
                <w:color w:val="334155"/>
                <w:sz w:val="15"/>
              </w:rPr>
              <w:t>CSE (IoT, Cyber Security &amp; BCT)</w:t>
            </w:r>
          </w:p>
        </w:tc>
        <w:tc>
          <w:tcPr>
            <w:tcW w:type="dxa" w:w="3648"/>
            <w:shd w:fill="F8FAFC"/>
            <w:tcMar>
              <w:top w:w="40" w:type="dxa"/>
              <w:bottom w:w="40" w:type="dxa"/>
              <w:left w:w="60" w:type="dxa"/>
              <w:right w:w="60" w:type="dxa"/>
            </w:tcMar>
          </w:tcPr>
          <w:p>
            <w:pPr>
              <w:spacing w:after="0"/>
            </w:pPr>
            <w:r>
              <w:rPr>
                <w:b/>
                <w:color w:val="0F172A"/>
                <w:sz w:val="15"/>
              </w:rPr>
              <w:t xml:space="preserve">Institute: </w:t>
            </w:r>
            <w:r>
              <w:rPr>
                <w:color w:val="334155"/>
                <w:sz w:val="15"/>
              </w:rPr>
              <w:t>GVAIET, Shelu</w:t>
            </w:r>
          </w:p>
        </w:tc>
        <w:tc>
          <w:tcPr>
            <w:tcW w:type="dxa" w:w="3648"/>
            <w:shd w:fill="F8FAFC"/>
            <w:tcMar>
              <w:top w:w="40" w:type="dxa"/>
              <w:bottom w:w="40" w:type="dxa"/>
              <w:left w:w="60" w:type="dxa"/>
              <w:right w:w="60" w:type="dxa"/>
            </w:tcMar>
          </w:tcPr>
          <w:p>
            <w:pPr>
              <w:spacing w:after="0"/>
            </w:pPr>
            <w:r>
              <w:rPr>
                <w:b/>
                <w:color w:val="0F172A"/>
                <w:sz w:val="15"/>
              </w:rPr>
              <w:t xml:space="preserve">Affiliation: </w:t>
            </w:r>
            <w:r>
              <w:rPr>
                <w:color w:val="334155"/>
                <w:sz w:val="15"/>
              </w:rPr>
              <w:t>University of Mumbai</w:t>
            </w:r>
          </w:p>
        </w:tc>
      </w:tr>
    </w:tbl>
    <w:p>
      <w:pPr>
        <w:spacing w:after="60"/>
      </w:pPr>
    </w:p>
    <w:tbl>
      <w:tblPr>
        <w:tblW w:type="auto" w:w="0"/>
        <w:jc w:val="center"/>
        <w:tblLook w:firstColumn="1" w:firstRow="1" w:lastColumn="0" w:lastRow="0" w:noHBand="0" w:noVBand="1" w:val="04A0"/>
      </w:tblPr>
      <w:tblGrid>
        <w:gridCol w:w="10944"/>
      </w:tblGrid>
      <w:tr>
        <w:tc>
          <w:tcPr>
            <w:tcW w:type="dxa" w:w="10944"/>
            <w:shd w:fill="F1F5F9"/>
            <w:tcMar>
              <w:top w:w="60" w:type="dxa"/>
              <w:bottom w:w="60" w:type="dxa"/>
              <w:left w:w="80" w:type="dxa"/>
              <w:right w:w="80" w:type="dxa"/>
            </w:tcMar>
          </w:tcPr>
          <w:p>
            <w:pPr>
              <w:spacing w:line="252" w:lineRule="auto" w:after="0"/>
              <w:jc w:val="both"/>
            </w:pPr>
            <w:r>
              <w:rPr>
                <w:b/>
                <w:color w:val="0284C7"/>
                <w:sz w:val="15"/>
              </w:rPr>
              <w:t xml:space="preserve">ABSTRACT: </w:t>
            </w:r>
            <w:r>
              <w:rPr>
                <w:color w:val="1E293B"/>
                <w:sz w:val="15"/>
              </w:rPr>
              <w:t>In the contemporary hyper-connected digital ecosystem, an individual's or enterprise's digital footprint across heterogeneous web platforms represents an expansive attack surface susceptible to social engineering, spear phishing, credential stuffing, and unauthorized reconnaissance. Open Source Intelligence (OSINT) facilitates the proactive identification and auditing of publicly exposed indicators of identity. However, legacy reconnaissance utilities often rely on brittle web-scraping heuristics, generate elevated false-positive rates due to platform anti-bot defenses, fail to distinguish rate limits from legitimate target non-existence, and lack localized, auditable reporting capabilities. This case study presents the design, architectural formulation, empirical implementation, and testing of TRACE (Target Reconnaissance &amp; Auditable Collection Engine) — a full-stack, modular OSINT analysis dashboard. Built using a Python FastAPI backend and a responsive React/TypeScript client with SQLite local persistence, TRACE executes rigorous username enumeration across ten major developer, visual, and social platforms alongside passive DNS and RDAP domain intelligence gathering. TRACE introduces an unambiguous multi-tier status categorization engine (FOUND, NOT_FOUND, INCONCLUSIVE, CHECK_FAILED) that prevents fabricated intelligence and provides verifiable cryptographic checksums with automated PDF/CSV report exports.</w:t>
            </w:r>
          </w:p>
        </w:tc>
      </w:tr>
    </w:tbl>
    <w:p>
      <w:pPr>
        <w:keepNext/>
        <w:spacing w:before="80" w:after="40"/>
      </w:pPr>
      <w:r>
        <w:rPr>
          <w:b/>
          <w:color w:val="0F172A"/>
          <w:sz w:val="20"/>
        </w:rPr>
        <w:t>1. Introduction &amp; Theoretical Background</w:t>
      </w:r>
    </w:p>
    <w:p>
      <w:pPr>
        <w:spacing w:before="0" w:after="50" w:line="252" w:lineRule="auto"/>
        <w:jc w:val="both"/>
      </w:pPr>
      <w:r>
        <w:rPr>
          <w:rFonts w:ascii="Calibri" w:hAnsi="Calibri"/>
          <w:color w:val="1E293B"/>
          <w:sz w:val="15"/>
        </w:rPr>
        <w:t>Open Source Intelligence (OSINT) comprises the rigorous collection, correlation, and analysis of publicly available data to produce actionable security intelligence. While intelligence agencies initially pioneered OSINT methodologies, modern defensive cybersecurity teams leverage OSINT for External Attack Surface Management (EASM), threat intelligence, and brand reputation monitoring. A critical challenge in modern OSINT operations is the fragmented nature of surface-web footprints: a single identifier or domain is frequently linked to software repositories, social forums, identity providers, and hosting providers. Manual correlation across dozens of platforms is tedious, error-prone, and operationally inefficient. TRACE was conceived to democratize and systematize authorized digital footprint auditing through an intuitive, centralized, and standards-compliant analytical interface.</w:t>
      </w:r>
    </w:p>
    <w:p>
      <w:pPr>
        <w:keepNext/>
        <w:spacing w:before="80" w:after="40"/>
      </w:pPr>
      <w:r>
        <w:rPr>
          <w:b/>
          <w:color w:val="0F172A"/>
          <w:sz w:val="20"/>
        </w:rPr>
        <w:t>2. Problem Statement</w:t>
      </w:r>
    </w:p>
    <w:p>
      <w:pPr>
        <w:spacing w:before="0" w:after="50" w:line="252" w:lineRule="auto"/>
        <w:jc w:val="both"/>
      </w:pPr>
      <w:r>
        <w:rPr>
          <w:rFonts w:ascii="Calibri" w:hAnsi="Calibri"/>
          <w:color w:val="1E293B"/>
          <w:sz w:val="15"/>
        </w:rPr>
        <w:t>Existing CLI-based OSINT utilities suffer from significant architectural and operational deficiencies: (1) False-Positive Hallucination: Many tools assume that any HTTP 200 response confirms account existence, ignoring Single-Page Application (SPA) client-side routing, generic soft-404 landing pages, and Cloudflare challenge screens. (2) Ambiguous Failure States: Network timeouts, HTTP 429 rate limits, and platform WAF mitigations are frequently misreported as non-existent accounts, skewing investigator findings. (3) Excessive Active Probing: Intrusive network scanning techniques risk triggering Intrusion Detection Systems (IDS) or violating organizational Acceptable Use Policies (AUP). (4) Lack of Academic &amp; Audit-Ready Reporting: Security professionals and students require defensible, timestamped, and reproducible evidence formats (PDF/CSV) that capture latency telemetry, raw DNS zone delegations, and operational limitations.</w:t>
      </w:r>
    </w:p>
    <w:p>
      <w:pPr>
        <w:keepNext/>
        <w:spacing w:before="80" w:after="40"/>
      </w:pPr>
      <w:r>
        <w:rPr>
          <w:b/>
          <w:color w:val="0F172A"/>
          <w:sz w:val="20"/>
        </w:rPr>
        <w:t>3. Objectives and Project Scope</w:t>
      </w:r>
    </w:p>
    <w:p>
      <w:pPr>
        <w:spacing w:before="0" w:after="50" w:line="252" w:lineRule="auto"/>
        <w:jc w:val="both"/>
      </w:pPr>
      <w:r>
        <w:rPr>
          <w:rFonts w:ascii="Calibri" w:hAnsi="Calibri"/>
          <w:color w:val="1E293B"/>
          <w:sz w:val="15"/>
        </w:rPr>
        <w:t>The primary objective of this mini-project is to build, execute, rigorously test, and demonstrate an autonomous, full-stack OSINT digital footprint analyzer operating exclusively on a local development workstation. Specific objectives include:</w:t>
      </w:r>
    </w:p>
    <w:p>
      <w:pPr>
        <w:pStyle w:val="ListBullet"/>
        <w:spacing w:before="0" w:after="30" w:line="252" w:lineRule="auto"/>
        <w:ind w:left="288"/>
      </w:pPr>
      <w:r>
        <w:rPr>
          <w:rFonts w:ascii="Calibri" w:hAnsi="Calibri"/>
          <w:b/>
          <w:color w:val="0F172A"/>
          <w:sz w:val="15"/>
        </w:rPr>
        <w:t xml:space="preserve">Deterministic Profile Enumeration: </w:t>
      </w:r>
      <w:r>
        <w:rPr>
          <w:rFonts w:ascii="Calibri" w:hAnsi="Calibri"/>
          <w:color w:val="1E293B"/>
          <w:sz w:val="15"/>
        </w:rPr>
        <w:t>Query 10 diverse public services concurrently using asynchronous HTTP with platform-specific signature matching and explicit status disambiguation.</w:t>
      </w:r>
    </w:p>
    <w:p>
      <w:pPr>
        <w:pStyle w:val="ListBullet"/>
        <w:spacing w:before="0" w:after="30" w:line="252" w:lineRule="auto"/>
        <w:ind w:left="288"/>
      </w:pPr>
      <w:r>
        <w:rPr>
          <w:rFonts w:ascii="Calibri" w:hAnsi="Calibri"/>
          <w:b/>
          <w:color w:val="0F172A"/>
          <w:sz w:val="15"/>
        </w:rPr>
        <w:t xml:space="preserve">Passive Domain Reconnaissance: </w:t>
      </w:r>
      <w:r>
        <w:rPr>
          <w:rFonts w:ascii="Calibri" w:hAnsi="Calibri"/>
          <w:color w:val="1E293B"/>
          <w:sz w:val="15"/>
        </w:rPr>
        <w:t>Query publicly delegated authoritative DNS records (A, AAAA, MX, NS, TXT, SOA), ICANN RDAP registration registries, and GeoIP ASN telemetry without invasive port scanning.</w:t>
      </w:r>
    </w:p>
    <w:p>
      <w:pPr>
        <w:pStyle w:val="ListBullet"/>
        <w:spacing w:before="0" w:after="30" w:line="252" w:lineRule="auto"/>
        <w:ind w:left="288"/>
      </w:pPr>
      <w:r>
        <w:rPr>
          <w:rFonts w:ascii="Calibri" w:hAnsi="Calibri"/>
          <w:b/>
          <w:color w:val="0F172A"/>
          <w:sz w:val="15"/>
        </w:rPr>
        <w:t xml:space="preserve">Local Audit Persistence: </w:t>
      </w:r>
      <w:r>
        <w:rPr>
          <w:rFonts w:ascii="Calibri" w:hAnsi="Calibri"/>
          <w:color w:val="1E293B"/>
          <w:sz w:val="15"/>
        </w:rPr>
        <w:t>Maintain a secure SQLite database recording all queries, statuses, timestamps, and findings with zero external data leakage or dependency on commercial cloud APIs.</w:t>
      </w:r>
    </w:p>
    <w:p>
      <w:pPr>
        <w:pStyle w:val="ListBullet"/>
        <w:spacing w:before="0" w:after="30" w:line="252" w:lineRule="auto"/>
        <w:ind w:left="288"/>
      </w:pPr>
      <w:r>
        <w:rPr>
          <w:rFonts w:ascii="Calibri" w:hAnsi="Calibri"/>
          <w:b/>
          <w:color w:val="0F172A"/>
          <w:sz w:val="15"/>
        </w:rPr>
        <w:t xml:space="preserve">Defensible Evidence Generation: </w:t>
      </w:r>
      <w:r>
        <w:rPr>
          <w:rFonts w:ascii="Calibri" w:hAnsi="Calibri"/>
          <w:color w:val="1E293B"/>
          <w:sz w:val="15"/>
        </w:rPr>
        <w:t>Provide automated PDF and CSV reporting engines featuring academic attribution, integrity checksums, and explicit methodology disclaimers.</w:t>
      </w:r>
    </w:p>
    <w:p>
      <w:pPr>
        <w:pStyle w:val="ListBullet"/>
        <w:spacing w:before="0" w:after="30" w:line="252" w:lineRule="auto"/>
        <w:ind w:left="288"/>
      </w:pPr>
      <w:r>
        <w:rPr>
          <w:rFonts w:ascii="Calibri" w:hAnsi="Calibri"/>
          <w:b/>
          <w:color w:val="0F172A"/>
          <w:sz w:val="15"/>
        </w:rPr>
        <w:t xml:space="preserve">Scope Boundaries: </w:t>
      </w:r>
      <w:r>
        <w:rPr>
          <w:rFonts w:ascii="Calibri" w:hAnsi="Calibri"/>
          <w:color w:val="1E293B"/>
          <w:sz w:val="15"/>
        </w:rPr>
        <w:t>TRACE focuses exclusively on public surface-web assets; active exploitation, vulnerability scanning, password harvesting, and bypassing authentication controls are strictly excluded.</w:t>
      </w:r>
    </w:p>
    <w:p>
      <w:r>
        <w:br w:type="page"/>
      </w:r>
    </w:p>
    <w:p>
      <w:pPr>
        <w:keepNext/>
        <w:spacing w:before="80" w:after="40"/>
      </w:pPr>
      <w:r>
        <w:rPr>
          <w:b/>
          <w:color w:val="0F172A"/>
          <w:sz w:val="20"/>
        </w:rPr>
        <w:t>4. Proposed System &amp; Literature Review</w:t>
      </w:r>
    </w:p>
    <w:p>
      <w:pPr>
        <w:spacing w:before="0" w:after="50" w:line="252" w:lineRule="auto"/>
        <w:jc w:val="both"/>
      </w:pPr>
      <w:r>
        <w:rPr>
          <w:rFonts w:ascii="Calibri" w:hAnsi="Calibri"/>
          <w:color w:val="1E293B"/>
          <w:sz w:val="15"/>
        </w:rPr>
        <w:t>TRACE operates as an on-premise, security-centric analytical platform designed to overcome the fragility of legacy CLI scripts. Unlike monolithic scrapers, TRACE decouples asynchronous protocol dispatch from presentation, enforcing validation gateways at both network and application layers.</w:t>
      </w:r>
    </w:p>
    <w:tbl>
      <w:tblPr>
        <w:tblW w:type="auto" w:w="0"/>
        <w:jc w:val="center"/>
        <w:tblLook w:firstColumn="1" w:firstRow="1" w:lastColumn="0" w:lastRow="0" w:noHBand="0" w:noVBand="1" w:val="04A0"/>
      </w:tblPr>
      <w:tblGrid>
        <w:gridCol w:w="1824"/>
        <w:gridCol w:w="1824"/>
        <w:gridCol w:w="1824"/>
        <w:gridCol w:w="1824"/>
        <w:gridCol w:w="1824"/>
        <w:gridCol w:w="1824"/>
      </w:tblGrid>
      <w:tr>
        <w:tc>
          <w:tcPr>
            <w:tcW w:type="dxa" w:w="1824"/>
            <w:shd w:fill="0F172A"/>
            <w:tcMar>
              <w:top w:w="30" w:type="dxa"/>
              <w:bottom w:w="30" w:type="dxa"/>
              <w:left w:w="40" w:type="dxa"/>
              <w:right w:w="40" w:type="dxa"/>
            </w:tcMar>
          </w:tcPr>
          <w:p>
            <w:pPr>
              <w:spacing w:after="0"/>
            </w:pPr>
            <w:r>
              <w:rPr>
                <w:b/>
                <w:color w:val="FFFFFF"/>
                <w:sz w:val="14"/>
              </w:rPr>
              <w:t>Tool Name</w:t>
            </w:r>
          </w:p>
        </w:tc>
        <w:tc>
          <w:tcPr>
            <w:tcW w:type="dxa" w:w="1824"/>
            <w:shd w:fill="0F172A"/>
            <w:tcMar>
              <w:top w:w="30" w:type="dxa"/>
              <w:bottom w:w="30" w:type="dxa"/>
              <w:left w:w="40" w:type="dxa"/>
              <w:right w:w="40" w:type="dxa"/>
            </w:tcMar>
          </w:tcPr>
          <w:p>
            <w:pPr>
              <w:spacing w:after="0"/>
            </w:pPr>
            <w:r>
              <w:rPr>
                <w:b/>
                <w:color w:val="FFFFFF"/>
                <w:sz w:val="14"/>
              </w:rPr>
              <w:t>Interface</w:t>
            </w:r>
          </w:p>
        </w:tc>
        <w:tc>
          <w:tcPr>
            <w:tcW w:type="dxa" w:w="1824"/>
            <w:shd w:fill="0F172A"/>
            <w:tcMar>
              <w:top w:w="30" w:type="dxa"/>
              <w:bottom w:w="30" w:type="dxa"/>
              <w:left w:w="40" w:type="dxa"/>
              <w:right w:w="40" w:type="dxa"/>
            </w:tcMar>
          </w:tcPr>
          <w:p>
            <w:pPr>
              <w:spacing w:after="0"/>
            </w:pPr>
            <w:r>
              <w:rPr>
                <w:b/>
                <w:color w:val="FFFFFF"/>
                <w:sz w:val="14"/>
              </w:rPr>
              <w:t>Rate Limit Detection</w:t>
            </w:r>
          </w:p>
        </w:tc>
        <w:tc>
          <w:tcPr>
            <w:tcW w:type="dxa" w:w="1824"/>
            <w:shd w:fill="0F172A"/>
            <w:tcMar>
              <w:top w:w="30" w:type="dxa"/>
              <w:bottom w:w="30" w:type="dxa"/>
              <w:left w:w="40" w:type="dxa"/>
              <w:right w:w="40" w:type="dxa"/>
            </w:tcMar>
          </w:tcPr>
          <w:p>
            <w:pPr>
              <w:spacing w:after="0"/>
            </w:pPr>
            <w:r>
              <w:rPr>
                <w:b/>
                <w:color w:val="FFFFFF"/>
                <w:sz w:val="14"/>
              </w:rPr>
              <w:t>Passive DNS / RDAP</w:t>
            </w:r>
          </w:p>
        </w:tc>
        <w:tc>
          <w:tcPr>
            <w:tcW w:type="dxa" w:w="1824"/>
            <w:shd w:fill="0F172A"/>
            <w:tcMar>
              <w:top w:w="30" w:type="dxa"/>
              <w:bottom w:w="30" w:type="dxa"/>
              <w:left w:w="40" w:type="dxa"/>
              <w:right w:w="40" w:type="dxa"/>
            </w:tcMar>
          </w:tcPr>
          <w:p>
            <w:pPr>
              <w:spacing w:after="0"/>
            </w:pPr>
            <w:r>
              <w:rPr>
                <w:b/>
                <w:color w:val="FFFFFF"/>
                <w:sz w:val="14"/>
              </w:rPr>
              <w:t>Audit Report Generation</w:t>
            </w:r>
          </w:p>
        </w:tc>
        <w:tc>
          <w:tcPr>
            <w:tcW w:type="dxa" w:w="1824"/>
            <w:shd w:fill="0F172A"/>
            <w:tcMar>
              <w:top w:w="30" w:type="dxa"/>
              <w:bottom w:w="30" w:type="dxa"/>
              <w:left w:w="40" w:type="dxa"/>
              <w:right w:w="40" w:type="dxa"/>
            </w:tcMar>
          </w:tcPr>
          <w:p>
            <w:pPr>
              <w:spacing w:after="0"/>
            </w:pPr>
            <w:r>
              <w:rPr>
                <w:b/>
                <w:color w:val="FFFFFF"/>
                <w:sz w:val="14"/>
              </w:rPr>
              <w:t>Local Persistence</w:t>
            </w:r>
          </w:p>
        </w:tc>
      </w:tr>
      <w:tr>
        <w:tc>
          <w:tcPr>
            <w:tcW w:type="dxa" w:w="1824"/>
            <w:shd w:fill="FFFFFF"/>
            <w:tcMar>
              <w:top w:w="25" w:type="dxa"/>
              <w:bottom w:w="25" w:type="dxa"/>
              <w:left w:w="40" w:type="dxa"/>
              <w:right w:w="40" w:type="dxa"/>
            </w:tcMar>
          </w:tcPr>
          <w:p>
            <w:pPr>
              <w:spacing w:after="0"/>
            </w:pPr>
            <w:r>
              <w:rPr>
                <w:color w:val="0F172A"/>
                <w:sz w:val="14"/>
              </w:rPr>
              <w:t>Sherlock</w:t>
            </w:r>
          </w:p>
        </w:tc>
        <w:tc>
          <w:tcPr>
            <w:tcW w:type="dxa" w:w="1824"/>
            <w:shd w:fill="FFFFFF"/>
            <w:tcMar>
              <w:top w:w="25" w:type="dxa"/>
              <w:bottom w:w="25" w:type="dxa"/>
              <w:left w:w="40" w:type="dxa"/>
              <w:right w:w="40" w:type="dxa"/>
            </w:tcMar>
          </w:tcPr>
          <w:p>
            <w:pPr>
              <w:spacing w:after="0"/>
            </w:pPr>
            <w:r>
              <w:rPr>
                <w:color w:val="0F172A"/>
                <w:sz w:val="14"/>
              </w:rPr>
              <w:t>CLI Only</w:t>
            </w:r>
          </w:p>
        </w:tc>
        <w:tc>
          <w:tcPr>
            <w:tcW w:type="dxa" w:w="1824"/>
            <w:shd w:fill="FFFFFF"/>
            <w:tcMar>
              <w:top w:w="25" w:type="dxa"/>
              <w:bottom w:w="25" w:type="dxa"/>
              <w:left w:w="40" w:type="dxa"/>
              <w:right w:w="40" w:type="dxa"/>
            </w:tcMar>
          </w:tcPr>
          <w:p>
            <w:pPr>
              <w:spacing w:after="0"/>
            </w:pPr>
            <w:r>
              <w:rPr>
                <w:color w:val="0F172A"/>
                <w:sz w:val="14"/>
              </w:rPr>
              <w:t>Partial (Silent 429)</w:t>
            </w:r>
          </w:p>
        </w:tc>
        <w:tc>
          <w:tcPr>
            <w:tcW w:type="dxa" w:w="1824"/>
            <w:shd w:fill="FFFFFF"/>
            <w:tcMar>
              <w:top w:w="25" w:type="dxa"/>
              <w:bottom w:w="25" w:type="dxa"/>
              <w:left w:w="40" w:type="dxa"/>
              <w:right w:w="40" w:type="dxa"/>
            </w:tcMar>
          </w:tcPr>
          <w:p>
            <w:pPr>
              <w:spacing w:after="0"/>
            </w:pPr>
            <w:r>
              <w:rPr>
                <w:color w:val="0F172A"/>
                <w:sz w:val="14"/>
              </w:rPr>
              <w:t>No (Usernames only)</w:t>
            </w:r>
          </w:p>
        </w:tc>
        <w:tc>
          <w:tcPr>
            <w:tcW w:type="dxa" w:w="1824"/>
            <w:shd w:fill="FFFFFF"/>
            <w:tcMar>
              <w:top w:w="25" w:type="dxa"/>
              <w:bottom w:w="25" w:type="dxa"/>
              <w:left w:w="40" w:type="dxa"/>
              <w:right w:w="40" w:type="dxa"/>
            </w:tcMar>
          </w:tcPr>
          <w:p>
            <w:pPr>
              <w:spacing w:after="0"/>
            </w:pPr>
            <w:r>
              <w:rPr>
                <w:color w:val="0F172A"/>
                <w:sz w:val="14"/>
              </w:rPr>
              <w:t>Raw Text / CSV</w:t>
            </w:r>
          </w:p>
        </w:tc>
        <w:tc>
          <w:tcPr>
            <w:tcW w:type="dxa" w:w="1824"/>
            <w:shd w:fill="FFFFFF"/>
            <w:tcMar>
              <w:top w:w="25" w:type="dxa"/>
              <w:bottom w:w="25" w:type="dxa"/>
              <w:left w:w="40" w:type="dxa"/>
              <w:right w:w="40" w:type="dxa"/>
            </w:tcMar>
          </w:tcPr>
          <w:p>
            <w:pPr>
              <w:spacing w:after="0"/>
            </w:pPr>
            <w:r>
              <w:rPr>
                <w:color w:val="0F172A"/>
                <w:sz w:val="14"/>
              </w:rPr>
              <w:t>None (Stateless)</w:t>
            </w:r>
          </w:p>
        </w:tc>
      </w:tr>
      <w:tr>
        <w:tc>
          <w:tcPr>
            <w:tcW w:type="dxa" w:w="1824"/>
            <w:shd w:fill="F8FAFC"/>
            <w:tcMar>
              <w:top w:w="25" w:type="dxa"/>
              <w:bottom w:w="25" w:type="dxa"/>
              <w:left w:w="40" w:type="dxa"/>
              <w:right w:w="40" w:type="dxa"/>
            </w:tcMar>
          </w:tcPr>
          <w:p>
            <w:pPr>
              <w:spacing w:after="0"/>
            </w:pPr>
            <w:r>
              <w:rPr>
                <w:color w:val="0F172A"/>
                <w:sz w:val="14"/>
              </w:rPr>
              <w:t>theHarvester</w:t>
            </w:r>
          </w:p>
        </w:tc>
        <w:tc>
          <w:tcPr>
            <w:tcW w:type="dxa" w:w="1824"/>
            <w:shd w:fill="F8FAFC"/>
            <w:tcMar>
              <w:top w:w="25" w:type="dxa"/>
              <w:bottom w:w="25" w:type="dxa"/>
              <w:left w:w="40" w:type="dxa"/>
              <w:right w:w="40" w:type="dxa"/>
            </w:tcMar>
          </w:tcPr>
          <w:p>
            <w:pPr>
              <w:spacing w:after="0"/>
            </w:pPr>
            <w:r>
              <w:rPr>
                <w:color w:val="0F172A"/>
                <w:sz w:val="14"/>
              </w:rPr>
              <w:t>CLI Only</w:t>
            </w:r>
          </w:p>
        </w:tc>
        <w:tc>
          <w:tcPr>
            <w:tcW w:type="dxa" w:w="1824"/>
            <w:shd w:fill="F8FAFC"/>
            <w:tcMar>
              <w:top w:w="25" w:type="dxa"/>
              <w:bottom w:w="25" w:type="dxa"/>
              <w:left w:w="40" w:type="dxa"/>
              <w:right w:w="40" w:type="dxa"/>
            </w:tcMar>
          </w:tcPr>
          <w:p>
            <w:pPr>
              <w:spacing w:after="0"/>
            </w:pPr>
            <w:r>
              <w:rPr>
                <w:color w:val="0F172A"/>
                <w:sz w:val="14"/>
              </w:rPr>
              <w:t>Search API dependent</w:t>
            </w:r>
          </w:p>
        </w:tc>
        <w:tc>
          <w:tcPr>
            <w:tcW w:type="dxa" w:w="1824"/>
            <w:shd w:fill="F8FAFC"/>
            <w:tcMar>
              <w:top w:w="25" w:type="dxa"/>
              <w:bottom w:w="25" w:type="dxa"/>
              <w:left w:w="40" w:type="dxa"/>
              <w:right w:w="40" w:type="dxa"/>
            </w:tcMar>
          </w:tcPr>
          <w:p>
            <w:pPr>
              <w:spacing w:after="0"/>
            </w:pPr>
            <w:r>
              <w:rPr>
                <w:color w:val="0F172A"/>
                <w:sz w:val="14"/>
              </w:rPr>
              <w:t>Yes (Active DNS)</w:t>
            </w:r>
          </w:p>
        </w:tc>
        <w:tc>
          <w:tcPr>
            <w:tcW w:type="dxa" w:w="1824"/>
            <w:shd w:fill="F8FAFC"/>
            <w:tcMar>
              <w:top w:w="25" w:type="dxa"/>
              <w:bottom w:w="25" w:type="dxa"/>
              <w:left w:w="40" w:type="dxa"/>
              <w:right w:w="40" w:type="dxa"/>
            </w:tcMar>
          </w:tcPr>
          <w:p>
            <w:pPr>
              <w:spacing w:after="0"/>
            </w:pPr>
            <w:r>
              <w:rPr>
                <w:color w:val="0F172A"/>
                <w:sz w:val="14"/>
              </w:rPr>
              <w:t>HTML / XML export</w:t>
            </w:r>
          </w:p>
        </w:tc>
        <w:tc>
          <w:tcPr>
            <w:tcW w:type="dxa" w:w="1824"/>
            <w:shd w:fill="F8FAFC"/>
            <w:tcMar>
              <w:top w:w="25" w:type="dxa"/>
              <w:bottom w:w="25" w:type="dxa"/>
              <w:left w:w="40" w:type="dxa"/>
              <w:right w:w="40" w:type="dxa"/>
            </w:tcMar>
          </w:tcPr>
          <w:p>
            <w:pPr>
              <w:spacing w:after="0"/>
            </w:pPr>
            <w:r>
              <w:rPr>
                <w:color w:val="0F172A"/>
                <w:sz w:val="14"/>
              </w:rPr>
              <w:t>Optional SQLite</w:t>
            </w:r>
          </w:p>
        </w:tc>
      </w:tr>
      <w:tr>
        <w:tc>
          <w:tcPr>
            <w:tcW w:type="dxa" w:w="1824"/>
            <w:shd w:fill="FFFFFF"/>
            <w:tcMar>
              <w:top w:w="25" w:type="dxa"/>
              <w:bottom w:w="25" w:type="dxa"/>
              <w:left w:w="40" w:type="dxa"/>
              <w:right w:w="40" w:type="dxa"/>
            </w:tcMar>
          </w:tcPr>
          <w:p>
            <w:pPr>
              <w:spacing w:after="0"/>
            </w:pPr>
            <w:r>
              <w:rPr>
                <w:color w:val="0F172A"/>
                <w:sz w:val="14"/>
              </w:rPr>
              <w:t>SpiderFoot</w:t>
            </w:r>
          </w:p>
        </w:tc>
        <w:tc>
          <w:tcPr>
            <w:tcW w:type="dxa" w:w="1824"/>
            <w:shd w:fill="FFFFFF"/>
            <w:tcMar>
              <w:top w:w="25" w:type="dxa"/>
              <w:bottom w:w="25" w:type="dxa"/>
              <w:left w:w="40" w:type="dxa"/>
              <w:right w:w="40" w:type="dxa"/>
            </w:tcMar>
          </w:tcPr>
          <w:p>
            <w:pPr>
              <w:spacing w:after="0"/>
            </w:pPr>
            <w:r>
              <w:rPr>
                <w:color w:val="0F172A"/>
                <w:sz w:val="14"/>
              </w:rPr>
              <w:t>Web UI / Heavy</w:t>
            </w:r>
          </w:p>
        </w:tc>
        <w:tc>
          <w:tcPr>
            <w:tcW w:type="dxa" w:w="1824"/>
            <w:shd w:fill="FFFFFF"/>
            <w:tcMar>
              <w:top w:w="25" w:type="dxa"/>
              <w:bottom w:w="25" w:type="dxa"/>
              <w:left w:w="40" w:type="dxa"/>
              <w:right w:w="40" w:type="dxa"/>
            </w:tcMar>
          </w:tcPr>
          <w:p>
            <w:pPr>
              <w:spacing w:after="0"/>
            </w:pPr>
            <w:r>
              <w:rPr>
                <w:color w:val="0F172A"/>
                <w:sz w:val="14"/>
              </w:rPr>
              <w:t>Heuristic based</w:t>
            </w:r>
          </w:p>
        </w:tc>
        <w:tc>
          <w:tcPr>
            <w:tcW w:type="dxa" w:w="1824"/>
            <w:shd w:fill="FFFFFF"/>
            <w:tcMar>
              <w:top w:w="25" w:type="dxa"/>
              <w:bottom w:w="25" w:type="dxa"/>
              <w:left w:w="40" w:type="dxa"/>
              <w:right w:w="40" w:type="dxa"/>
            </w:tcMar>
          </w:tcPr>
          <w:p>
            <w:pPr>
              <w:spacing w:after="0"/>
            </w:pPr>
            <w:r>
              <w:rPr>
                <w:color w:val="0F172A"/>
                <w:sz w:val="14"/>
              </w:rPr>
              <w:t>Extensive (Complex)</w:t>
            </w:r>
          </w:p>
        </w:tc>
        <w:tc>
          <w:tcPr>
            <w:tcW w:type="dxa" w:w="1824"/>
            <w:shd w:fill="FFFFFF"/>
            <w:tcMar>
              <w:top w:w="25" w:type="dxa"/>
              <w:bottom w:w="25" w:type="dxa"/>
              <w:left w:w="40" w:type="dxa"/>
              <w:right w:w="40" w:type="dxa"/>
            </w:tcMar>
          </w:tcPr>
          <w:p>
            <w:pPr>
              <w:spacing w:after="0"/>
            </w:pPr>
            <w:r>
              <w:rPr>
                <w:color w:val="0F172A"/>
                <w:sz w:val="14"/>
              </w:rPr>
              <w:t>CSV / GEXF export</w:t>
            </w:r>
          </w:p>
        </w:tc>
        <w:tc>
          <w:tcPr>
            <w:tcW w:type="dxa" w:w="1824"/>
            <w:shd w:fill="FFFFFF"/>
            <w:tcMar>
              <w:top w:w="25" w:type="dxa"/>
              <w:bottom w:w="25" w:type="dxa"/>
              <w:left w:w="40" w:type="dxa"/>
              <w:right w:w="40" w:type="dxa"/>
            </w:tcMar>
          </w:tcPr>
          <w:p>
            <w:pPr>
              <w:spacing w:after="0"/>
            </w:pPr>
            <w:r>
              <w:rPr>
                <w:color w:val="0F172A"/>
                <w:sz w:val="14"/>
              </w:rPr>
              <w:t>Heavy SQLite</w:t>
            </w:r>
          </w:p>
        </w:tc>
      </w:tr>
      <w:tr>
        <w:tc>
          <w:tcPr>
            <w:tcW w:type="dxa" w:w="1824"/>
            <w:shd w:fill="E0F2FE"/>
            <w:tcMar>
              <w:top w:w="25" w:type="dxa"/>
              <w:bottom w:w="25" w:type="dxa"/>
              <w:left w:w="40" w:type="dxa"/>
              <w:right w:w="40" w:type="dxa"/>
            </w:tcMar>
          </w:tcPr>
          <w:p>
            <w:pPr>
              <w:spacing w:after="0"/>
            </w:pPr>
            <w:r>
              <w:rPr>
                <w:b/>
                <w:color w:val="0F172A"/>
                <w:sz w:val="14"/>
              </w:rPr>
              <w:t>TRACE (Ours)</w:t>
            </w:r>
          </w:p>
        </w:tc>
        <w:tc>
          <w:tcPr>
            <w:tcW w:type="dxa" w:w="1824"/>
            <w:shd w:fill="E0F2FE"/>
            <w:tcMar>
              <w:top w:w="25" w:type="dxa"/>
              <w:bottom w:w="25" w:type="dxa"/>
              <w:left w:w="40" w:type="dxa"/>
              <w:right w:w="40" w:type="dxa"/>
            </w:tcMar>
          </w:tcPr>
          <w:p>
            <w:pPr>
              <w:spacing w:after="0"/>
            </w:pPr>
            <w:r>
              <w:rPr>
                <w:b/>
                <w:color w:val="0F172A"/>
                <w:sz w:val="14"/>
              </w:rPr>
              <w:t>Modern Web UI</w:t>
            </w:r>
          </w:p>
        </w:tc>
        <w:tc>
          <w:tcPr>
            <w:tcW w:type="dxa" w:w="1824"/>
            <w:shd w:fill="E0F2FE"/>
            <w:tcMar>
              <w:top w:w="25" w:type="dxa"/>
              <w:bottom w:w="25" w:type="dxa"/>
              <w:left w:w="40" w:type="dxa"/>
              <w:right w:w="40" w:type="dxa"/>
            </w:tcMar>
          </w:tcPr>
          <w:p>
            <w:pPr>
              <w:spacing w:after="0"/>
            </w:pPr>
            <w:r>
              <w:rPr>
                <w:b/>
                <w:color w:val="0F172A"/>
                <w:sz w:val="14"/>
              </w:rPr>
              <w:t>Strict Disambiguation</w:t>
            </w:r>
          </w:p>
        </w:tc>
        <w:tc>
          <w:tcPr>
            <w:tcW w:type="dxa" w:w="1824"/>
            <w:shd w:fill="E0F2FE"/>
            <w:tcMar>
              <w:top w:w="25" w:type="dxa"/>
              <w:bottom w:w="25" w:type="dxa"/>
              <w:left w:w="40" w:type="dxa"/>
              <w:right w:w="40" w:type="dxa"/>
            </w:tcMar>
          </w:tcPr>
          <w:p>
            <w:pPr>
              <w:spacing w:after="0"/>
            </w:pPr>
            <w:r>
              <w:rPr>
                <w:b/>
                <w:color w:val="0F172A"/>
                <w:sz w:val="14"/>
              </w:rPr>
              <w:t>Integrated Passive</w:t>
            </w:r>
          </w:p>
        </w:tc>
        <w:tc>
          <w:tcPr>
            <w:tcW w:type="dxa" w:w="1824"/>
            <w:shd w:fill="E0F2FE"/>
            <w:tcMar>
              <w:top w:w="25" w:type="dxa"/>
              <w:bottom w:w="25" w:type="dxa"/>
              <w:left w:w="40" w:type="dxa"/>
              <w:right w:w="40" w:type="dxa"/>
            </w:tcMar>
          </w:tcPr>
          <w:p>
            <w:pPr>
              <w:spacing w:after="0"/>
            </w:pPr>
            <w:r>
              <w:rPr>
                <w:b/>
                <w:color w:val="0F172A"/>
                <w:sz w:val="14"/>
              </w:rPr>
              <w:t>Automated PDF + CSV</w:t>
            </w:r>
          </w:p>
        </w:tc>
        <w:tc>
          <w:tcPr>
            <w:tcW w:type="dxa" w:w="1824"/>
            <w:shd w:fill="E0F2FE"/>
            <w:tcMar>
              <w:top w:w="25" w:type="dxa"/>
              <w:bottom w:w="25" w:type="dxa"/>
              <w:left w:w="40" w:type="dxa"/>
              <w:right w:w="40" w:type="dxa"/>
            </w:tcMar>
          </w:tcPr>
          <w:p>
            <w:pPr>
              <w:spacing w:after="0"/>
            </w:pPr>
            <w:r>
              <w:rPr>
                <w:b/>
                <w:color w:val="0F172A"/>
                <w:sz w:val="14"/>
              </w:rPr>
              <w:t>Lightweight SQLite</w:t>
            </w:r>
          </w:p>
        </w:tc>
      </w:tr>
    </w:tbl>
    <w:p>
      <w:pPr>
        <w:keepNext/>
        <w:spacing w:before="80" w:after="40"/>
      </w:pPr>
      <w:r>
        <w:rPr>
          <w:b/>
          <w:color w:val="0F172A"/>
          <w:sz w:val="20"/>
        </w:rPr>
        <w:t>5. System Requirements Analysis</w:t>
      </w:r>
    </w:p>
    <w:p>
      <w:pPr>
        <w:keepNext/>
        <w:spacing w:before="80" w:after="40"/>
      </w:pPr>
      <w:r>
        <w:rPr>
          <w:b/>
          <w:color w:val="0369A1"/>
          <w:sz w:val="17"/>
        </w:rPr>
        <w:t>5.1 Functional Requirements (FR)</w:t>
      </w:r>
    </w:p>
    <w:p>
      <w:pPr>
        <w:pStyle w:val="ListBullet"/>
        <w:spacing w:before="0" w:after="30" w:line="252" w:lineRule="auto"/>
        <w:ind w:left="288"/>
      </w:pPr>
      <w:r>
        <w:rPr>
          <w:rFonts w:ascii="Calibri" w:hAnsi="Calibri"/>
          <w:b/>
          <w:color w:val="0F172A"/>
          <w:sz w:val="15"/>
        </w:rPr>
        <w:t xml:space="preserve">FR-1 (Multi-Platform Profile Verification): </w:t>
      </w:r>
      <w:r>
        <w:rPr>
          <w:rFonts w:ascii="Calibri" w:hAnsi="Calibri"/>
          <w:color w:val="1E293B"/>
          <w:sz w:val="15"/>
        </w:rPr>
        <w:t>The system must scan target usernames across 10 defined platforms (GitHub, GitLab, DockerHub, Dev.to, HackerNews, Reddit, Gravatar, Keybase, Medium, Pinterest) concurrently.</w:t>
      </w:r>
    </w:p>
    <w:p>
      <w:pPr>
        <w:pStyle w:val="ListBullet"/>
        <w:spacing w:before="0" w:after="30" w:line="252" w:lineRule="auto"/>
        <w:ind w:left="288"/>
      </w:pPr>
      <w:r>
        <w:rPr>
          <w:rFonts w:ascii="Calibri" w:hAnsi="Calibri"/>
          <w:b/>
          <w:color w:val="0F172A"/>
          <w:sz w:val="15"/>
        </w:rPr>
        <w:t xml:space="preserve">FR-2 (Passive DNS Resolution): </w:t>
      </w:r>
      <w:r>
        <w:rPr>
          <w:rFonts w:ascii="Calibri" w:hAnsi="Calibri"/>
          <w:color w:val="1E293B"/>
          <w:sz w:val="15"/>
        </w:rPr>
        <w:t>The system must retrieve authoritative DNS records (A, AAAA, MX, NS, TXT, SOA) for target domains using RFC-compliant UDP/TCP DNS queries without touching target web servers.</w:t>
      </w:r>
    </w:p>
    <w:p>
      <w:pPr>
        <w:pStyle w:val="ListBullet"/>
        <w:spacing w:before="0" w:after="30" w:line="252" w:lineRule="auto"/>
        <w:ind w:left="288"/>
      </w:pPr>
      <w:r>
        <w:rPr>
          <w:rFonts w:ascii="Calibri" w:hAnsi="Calibri"/>
          <w:b/>
          <w:color w:val="0F172A"/>
          <w:sz w:val="15"/>
        </w:rPr>
        <w:t xml:space="preserve">FR-3 (RDAP &amp; IP Geolocation Extraction): </w:t>
      </w:r>
      <w:r>
        <w:rPr>
          <w:rFonts w:ascii="Calibri" w:hAnsi="Calibri"/>
          <w:color w:val="1E293B"/>
          <w:sz w:val="15"/>
        </w:rPr>
        <w:t>The system must parse Registration Data Access Protocol (RDAP) JSON structures to obtain registrar, registration, and expiration dates, supplemented by IP ASN data.</w:t>
      </w:r>
    </w:p>
    <w:p>
      <w:pPr>
        <w:pStyle w:val="ListBullet"/>
        <w:spacing w:before="0" w:after="30" w:line="252" w:lineRule="auto"/>
        <w:ind w:left="288"/>
      </w:pPr>
      <w:r>
        <w:rPr>
          <w:rFonts w:ascii="Calibri" w:hAnsi="Calibri"/>
          <w:b/>
          <w:color w:val="0F172A"/>
          <w:sz w:val="15"/>
        </w:rPr>
        <w:t xml:space="preserve">FR-4 (Audit Logging &amp; Record Management): </w:t>
      </w:r>
      <w:r>
        <w:rPr>
          <w:rFonts w:ascii="Calibri" w:hAnsi="Calibri"/>
          <w:color w:val="1E293B"/>
          <w:sz w:val="15"/>
        </w:rPr>
        <w:t>All completed investigations must persist in a local relational database with query parameters, timestamps, execution summaries, and deletion management.</w:t>
      </w:r>
    </w:p>
    <w:p>
      <w:pPr>
        <w:pStyle w:val="ListBullet"/>
        <w:spacing w:before="0" w:after="30" w:line="252" w:lineRule="auto"/>
        <w:ind w:left="288"/>
      </w:pPr>
      <w:r>
        <w:rPr>
          <w:rFonts w:ascii="Calibri" w:hAnsi="Calibri"/>
          <w:b/>
          <w:color w:val="0F172A"/>
          <w:sz w:val="15"/>
        </w:rPr>
        <w:t xml:space="preserve">FR-5 (Formal Academic Export): </w:t>
      </w:r>
      <w:r>
        <w:rPr>
          <w:rFonts w:ascii="Calibri" w:hAnsi="Calibri"/>
          <w:color w:val="1E293B"/>
          <w:sz w:val="15"/>
        </w:rPr>
        <w:t>The system must generate self-contained, publication-grade PDF reports (incorporating student credentials and checksums) and tabular CSV exports on demand.</w:t>
      </w:r>
    </w:p>
    <w:p>
      <w:pPr>
        <w:keepNext/>
        <w:spacing w:before="80" w:after="40"/>
      </w:pPr>
      <w:r>
        <w:rPr>
          <w:b/>
          <w:color w:val="0369A1"/>
          <w:sz w:val="17"/>
        </w:rPr>
        <w:t>5.2 Non-Functional Requirements (NFR)</w:t>
      </w:r>
    </w:p>
    <w:p>
      <w:pPr>
        <w:pStyle w:val="ListBullet"/>
        <w:spacing w:before="0" w:after="30" w:line="252" w:lineRule="auto"/>
        <w:ind w:left="288"/>
      </w:pPr>
      <w:r>
        <w:rPr>
          <w:rFonts w:ascii="Calibri" w:hAnsi="Calibri"/>
          <w:b/>
          <w:color w:val="0F172A"/>
          <w:sz w:val="15"/>
        </w:rPr>
        <w:t xml:space="preserve">NFR-1 (Integrity &amp; Zero False-Positive Tolerance): </w:t>
      </w:r>
      <w:r>
        <w:rPr>
          <w:rFonts w:ascii="Calibri" w:hAnsi="Calibri"/>
          <w:color w:val="1E293B"/>
          <w:sz w:val="15"/>
        </w:rPr>
        <w:t>Under no condition shall the application fabricate finding statuses or confuse HTTP 403/429 anti-bot mitigations with target existence.</w:t>
      </w:r>
    </w:p>
    <w:p>
      <w:pPr>
        <w:pStyle w:val="ListBullet"/>
        <w:spacing w:before="0" w:after="30" w:line="252" w:lineRule="auto"/>
        <w:ind w:left="288"/>
      </w:pPr>
      <w:r>
        <w:rPr>
          <w:rFonts w:ascii="Calibri" w:hAnsi="Calibri"/>
          <w:b/>
          <w:color w:val="0F172A"/>
          <w:sz w:val="15"/>
        </w:rPr>
        <w:t xml:space="preserve">NFR-2 (Latency &amp; Concurrency): </w:t>
      </w:r>
      <w:r>
        <w:rPr>
          <w:rFonts w:ascii="Calibri" w:hAnsi="Calibri"/>
          <w:color w:val="1E293B"/>
          <w:sz w:val="15"/>
        </w:rPr>
        <w:t>Concurrency through Python asyncio and httpx must limit complete 10-source username footprint scans to under 4.5 seconds under standard broadband conditions.</w:t>
      </w:r>
    </w:p>
    <w:p>
      <w:pPr>
        <w:pStyle w:val="ListBullet"/>
        <w:spacing w:before="0" w:after="30" w:line="252" w:lineRule="auto"/>
        <w:ind w:left="288"/>
      </w:pPr>
      <w:r>
        <w:rPr>
          <w:rFonts w:ascii="Calibri" w:hAnsi="Calibri"/>
          <w:b/>
          <w:color w:val="0F172A"/>
          <w:sz w:val="15"/>
        </w:rPr>
        <w:t xml:space="preserve">NFR-3 (Security &amp; Hygiene): </w:t>
      </w:r>
      <w:r>
        <w:rPr>
          <w:rFonts w:ascii="Calibri" w:hAnsi="Calibri"/>
          <w:color w:val="1E293B"/>
          <w:sz w:val="15"/>
        </w:rPr>
        <w:t>The application must run completely offline/locally without transmitting telemetry to third-party tracking services or hardcoding secrets.</w:t>
      </w:r>
    </w:p>
    <w:p>
      <w:pPr>
        <w:keepNext/>
        <w:spacing w:before="80" w:after="40"/>
      </w:pPr>
      <w:r>
        <w:rPr>
          <w:b/>
          <w:color w:val="0F172A"/>
          <w:sz w:val="20"/>
        </w:rPr>
        <w:t>6. Technology Stack Selection &amp; Rationale</w:t>
      </w:r>
    </w:p>
    <w:tbl>
      <w:tblPr>
        <w:tblW w:type="auto" w:w="0"/>
        <w:jc w:val="center"/>
        <w:tblLook w:firstColumn="1" w:firstRow="1" w:lastColumn="0" w:lastRow="0" w:noHBand="0" w:noVBand="1" w:val="04A0"/>
      </w:tblPr>
      <w:tblGrid>
        <w:gridCol w:w="3648"/>
        <w:gridCol w:w="3648"/>
        <w:gridCol w:w="3648"/>
      </w:tblGrid>
      <w:tr>
        <w:tc>
          <w:tcPr>
            <w:tcW w:type="dxa" w:w="3648"/>
            <w:shd w:fill="0F172A"/>
            <w:tcMar>
              <w:top w:w="25" w:type="dxa"/>
              <w:bottom w:w="25" w:type="dxa"/>
              <w:left w:w="40" w:type="dxa"/>
              <w:right w:w="40" w:type="dxa"/>
            </w:tcMar>
          </w:tcPr>
          <w:p>
            <w:pPr>
              <w:spacing w:after="0"/>
            </w:pPr>
            <w:r>
              <w:rPr>
                <w:b/>
                <w:color w:val="FFFFFF"/>
                <w:sz w:val="14"/>
              </w:rPr>
              <w:t>Component Layer</w:t>
            </w:r>
          </w:p>
        </w:tc>
        <w:tc>
          <w:tcPr>
            <w:tcW w:type="dxa" w:w="3648"/>
            <w:shd w:fill="0F172A"/>
            <w:tcMar>
              <w:top w:w="25" w:type="dxa"/>
              <w:bottom w:w="25" w:type="dxa"/>
              <w:left w:w="40" w:type="dxa"/>
              <w:right w:w="40" w:type="dxa"/>
            </w:tcMar>
          </w:tcPr>
          <w:p>
            <w:pPr>
              <w:spacing w:after="0"/>
            </w:pPr>
            <w:r>
              <w:rPr>
                <w:b/>
                <w:color w:val="FFFFFF"/>
                <w:sz w:val="14"/>
              </w:rPr>
              <w:t>Technology Selected</w:t>
            </w:r>
          </w:p>
        </w:tc>
        <w:tc>
          <w:tcPr>
            <w:tcW w:type="dxa" w:w="3648"/>
            <w:shd w:fill="0F172A"/>
            <w:tcMar>
              <w:top w:w="25" w:type="dxa"/>
              <w:bottom w:w="25" w:type="dxa"/>
              <w:left w:w="40" w:type="dxa"/>
              <w:right w:w="40" w:type="dxa"/>
            </w:tcMar>
          </w:tcPr>
          <w:p>
            <w:pPr>
              <w:spacing w:after="0"/>
            </w:pPr>
            <w:r>
              <w:rPr>
                <w:b/>
                <w:color w:val="FFFFFF"/>
                <w:sz w:val="14"/>
              </w:rPr>
              <w:t>Engineering Rationale</w:t>
            </w:r>
          </w:p>
        </w:tc>
      </w:tr>
      <w:tr>
        <w:tc>
          <w:tcPr>
            <w:tcW w:type="dxa" w:w="3648"/>
            <w:shd w:fill="FFFFFF"/>
            <w:tcMar>
              <w:top w:w="20" w:type="dxa"/>
              <w:bottom w:w="20" w:type="dxa"/>
              <w:left w:w="40" w:type="dxa"/>
              <w:right w:w="40" w:type="dxa"/>
            </w:tcMar>
          </w:tcPr>
          <w:p>
            <w:pPr>
              <w:spacing w:after="0"/>
            </w:pPr>
            <w:r>
              <w:rPr>
                <w:color w:val="0F172A"/>
                <w:sz w:val="14"/>
              </w:rPr>
              <w:t>Backend Framework</w:t>
            </w:r>
          </w:p>
        </w:tc>
        <w:tc>
          <w:tcPr>
            <w:tcW w:type="dxa" w:w="3648"/>
            <w:shd w:fill="FFFFFF"/>
            <w:tcMar>
              <w:top w:w="20" w:type="dxa"/>
              <w:bottom w:w="20" w:type="dxa"/>
              <w:left w:w="40" w:type="dxa"/>
              <w:right w:w="40" w:type="dxa"/>
            </w:tcMar>
          </w:tcPr>
          <w:p>
            <w:pPr>
              <w:spacing w:after="0"/>
            </w:pPr>
            <w:r>
              <w:rPr>
                <w:color w:val="0F172A"/>
                <w:sz w:val="14"/>
              </w:rPr>
              <w:t>Python 3.14 + FastAPI</w:t>
            </w:r>
          </w:p>
        </w:tc>
        <w:tc>
          <w:tcPr>
            <w:tcW w:type="dxa" w:w="3648"/>
            <w:shd w:fill="FFFFFF"/>
            <w:tcMar>
              <w:top w:w="20" w:type="dxa"/>
              <w:bottom w:w="20" w:type="dxa"/>
              <w:left w:w="40" w:type="dxa"/>
              <w:right w:w="40" w:type="dxa"/>
            </w:tcMar>
          </w:tcPr>
          <w:p>
            <w:pPr>
              <w:spacing w:after="0"/>
            </w:pPr>
            <w:r>
              <w:rPr>
                <w:color w:val="0F172A"/>
                <w:sz w:val="14"/>
              </w:rPr>
              <w:t>High-throughput asynchronous event loop, native Pydantic schema validation, and automatic OpenAPI documentation.</w:t>
            </w:r>
          </w:p>
        </w:tc>
      </w:tr>
      <w:tr>
        <w:tc>
          <w:tcPr>
            <w:tcW w:type="dxa" w:w="3648"/>
            <w:shd w:fill="F8FAFC"/>
            <w:tcMar>
              <w:top w:w="20" w:type="dxa"/>
              <w:bottom w:w="20" w:type="dxa"/>
              <w:left w:w="40" w:type="dxa"/>
              <w:right w:w="40" w:type="dxa"/>
            </w:tcMar>
          </w:tcPr>
          <w:p>
            <w:pPr>
              <w:spacing w:after="0"/>
            </w:pPr>
            <w:r>
              <w:rPr>
                <w:color w:val="0F172A"/>
                <w:sz w:val="14"/>
              </w:rPr>
              <w:t>Asynchronous HTTP</w:t>
            </w:r>
          </w:p>
        </w:tc>
        <w:tc>
          <w:tcPr>
            <w:tcW w:type="dxa" w:w="3648"/>
            <w:shd w:fill="F8FAFC"/>
            <w:tcMar>
              <w:top w:w="20" w:type="dxa"/>
              <w:bottom w:w="20" w:type="dxa"/>
              <w:left w:w="40" w:type="dxa"/>
              <w:right w:w="40" w:type="dxa"/>
            </w:tcMar>
          </w:tcPr>
          <w:p>
            <w:pPr>
              <w:spacing w:after="0"/>
            </w:pPr>
            <w:r>
              <w:rPr>
                <w:color w:val="0F172A"/>
                <w:sz w:val="14"/>
              </w:rPr>
              <w:t>HTTPX Client Pool</w:t>
            </w:r>
          </w:p>
        </w:tc>
        <w:tc>
          <w:tcPr>
            <w:tcW w:type="dxa" w:w="3648"/>
            <w:shd w:fill="F8FAFC"/>
            <w:tcMar>
              <w:top w:w="20" w:type="dxa"/>
              <w:bottom w:w="20" w:type="dxa"/>
              <w:left w:w="40" w:type="dxa"/>
              <w:right w:w="40" w:type="dxa"/>
            </w:tcMar>
          </w:tcPr>
          <w:p>
            <w:pPr>
              <w:spacing w:after="0"/>
            </w:pPr>
            <w:r>
              <w:rPr>
                <w:color w:val="0F172A"/>
                <w:sz w:val="14"/>
              </w:rPr>
              <w:t>Non-blocking connection pooling, HTTP/2 support, custom headers/cookies, and strict per-request timeout handling.</w:t>
            </w:r>
          </w:p>
        </w:tc>
      </w:tr>
      <w:tr>
        <w:tc>
          <w:tcPr>
            <w:tcW w:type="dxa" w:w="3648"/>
            <w:shd w:fill="FFFFFF"/>
            <w:tcMar>
              <w:top w:w="20" w:type="dxa"/>
              <w:bottom w:w="20" w:type="dxa"/>
              <w:left w:w="40" w:type="dxa"/>
              <w:right w:w="40" w:type="dxa"/>
            </w:tcMar>
          </w:tcPr>
          <w:p>
            <w:pPr>
              <w:spacing w:after="0"/>
            </w:pPr>
            <w:r>
              <w:rPr>
                <w:color w:val="0F172A"/>
                <w:sz w:val="14"/>
              </w:rPr>
              <w:t>DNS Reconnaissance</w:t>
            </w:r>
          </w:p>
        </w:tc>
        <w:tc>
          <w:tcPr>
            <w:tcW w:type="dxa" w:w="3648"/>
            <w:shd w:fill="FFFFFF"/>
            <w:tcMar>
              <w:top w:w="20" w:type="dxa"/>
              <w:bottom w:w="20" w:type="dxa"/>
              <w:left w:w="40" w:type="dxa"/>
              <w:right w:w="40" w:type="dxa"/>
            </w:tcMar>
          </w:tcPr>
          <w:p>
            <w:pPr>
              <w:spacing w:after="0"/>
            </w:pPr>
            <w:r>
              <w:rPr>
                <w:color w:val="0F172A"/>
                <w:sz w:val="14"/>
              </w:rPr>
              <w:t>dnspython v2.7</w:t>
            </w:r>
          </w:p>
        </w:tc>
        <w:tc>
          <w:tcPr>
            <w:tcW w:type="dxa" w:w="3648"/>
            <w:shd w:fill="FFFFFF"/>
            <w:tcMar>
              <w:top w:w="20" w:type="dxa"/>
              <w:bottom w:w="20" w:type="dxa"/>
              <w:left w:w="40" w:type="dxa"/>
              <w:right w:w="40" w:type="dxa"/>
            </w:tcMar>
          </w:tcPr>
          <w:p>
            <w:pPr>
              <w:spacing w:after="0"/>
            </w:pPr>
            <w:r>
              <w:rPr>
                <w:color w:val="0F172A"/>
                <w:sz w:val="14"/>
              </w:rPr>
              <w:t>Direct DNS wire-format resolver interfacing with authoritative nameservers without reliance on OS shell hooks.</w:t>
            </w:r>
          </w:p>
        </w:tc>
      </w:tr>
      <w:tr>
        <w:tc>
          <w:tcPr>
            <w:tcW w:type="dxa" w:w="3648"/>
            <w:shd w:fill="F8FAFC"/>
            <w:tcMar>
              <w:top w:w="20" w:type="dxa"/>
              <w:bottom w:w="20" w:type="dxa"/>
              <w:left w:w="40" w:type="dxa"/>
              <w:right w:w="40" w:type="dxa"/>
            </w:tcMar>
          </w:tcPr>
          <w:p>
            <w:pPr>
              <w:spacing w:after="0"/>
            </w:pPr>
            <w:r>
              <w:rPr>
                <w:color w:val="0F172A"/>
                <w:sz w:val="14"/>
              </w:rPr>
              <w:t>Client Architecture</w:t>
            </w:r>
          </w:p>
        </w:tc>
        <w:tc>
          <w:tcPr>
            <w:tcW w:type="dxa" w:w="3648"/>
            <w:shd w:fill="F8FAFC"/>
            <w:tcMar>
              <w:top w:w="20" w:type="dxa"/>
              <w:bottom w:w="20" w:type="dxa"/>
              <w:left w:w="40" w:type="dxa"/>
              <w:right w:w="40" w:type="dxa"/>
            </w:tcMar>
          </w:tcPr>
          <w:p>
            <w:pPr>
              <w:spacing w:after="0"/>
            </w:pPr>
            <w:r>
              <w:rPr>
                <w:color w:val="0F172A"/>
                <w:sz w:val="14"/>
              </w:rPr>
              <w:t>React 18 + TypeScript + Vite</w:t>
            </w:r>
          </w:p>
        </w:tc>
        <w:tc>
          <w:tcPr>
            <w:tcW w:type="dxa" w:w="3648"/>
            <w:shd w:fill="F8FAFC"/>
            <w:tcMar>
              <w:top w:w="20" w:type="dxa"/>
              <w:bottom w:w="20" w:type="dxa"/>
              <w:left w:w="40" w:type="dxa"/>
              <w:right w:w="40" w:type="dxa"/>
            </w:tcMar>
          </w:tcPr>
          <w:p>
            <w:pPr>
              <w:spacing w:after="0"/>
            </w:pPr>
            <w:r>
              <w:rPr>
                <w:color w:val="0F172A"/>
                <w:sz w:val="14"/>
              </w:rPr>
              <w:t>Type-safe state management, fast client bundling, and modular component hierarchy.</w:t>
            </w:r>
          </w:p>
        </w:tc>
      </w:tr>
      <w:tr>
        <w:tc>
          <w:tcPr>
            <w:tcW w:type="dxa" w:w="3648"/>
            <w:shd w:fill="FFFFFF"/>
            <w:tcMar>
              <w:top w:w="20" w:type="dxa"/>
              <w:bottom w:w="20" w:type="dxa"/>
              <w:left w:w="40" w:type="dxa"/>
              <w:right w:w="40" w:type="dxa"/>
            </w:tcMar>
          </w:tcPr>
          <w:p>
            <w:pPr>
              <w:spacing w:after="0"/>
            </w:pPr>
            <w:r>
              <w:rPr>
                <w:color w:val="0F172A"/>
                <w:sz w:val="14"/>
              </w:rPr>
              <w:t>Persistence Layer</w:t>
            </w:r>
          </w:p>
        </w:tc>
        <w:tc>
          <w:tcPr>
            <w:tcW w:type="dxa" w:w="3648"/>
            <w:shd w:fill="FFFFFF"/>
            <w:tcMar>
              <w:top w:w="20" w:type="dxa"/>
              <w:bottom w:w="20" w:type="dxa"/>
              <w:left w:w="40" w:type="dxa"/>
              <w:right w:w="40" w:type="dxa"/>
            </w:tcMar>
          </w:tcPr>
          <w:p>
            <w:pPr>
              <w:spacing w:after="0"/>
            </w:pPr>
            <w:r>
              <w:rPr>
                <w:color w:val="0F172A"/>
                <w:sz w:val="14"/>
              </w:rPr>
              <w:t>SQLite 3 Embedded Engine</w:t>
            </w:r>
          </w:p>
        </w:tc>
        <w:tc>
          <w:tcPr>
            <w:tcW w:type="dxa" w:w="3648"/>
            <w:shd w:fill="FFFFFF"/>
            <w:tcMar>
              <w:top w:w="20" w:type="dxa"/>
              <w:bottom w:w="20" w:type="dxa"/>
              <w:left w:w="40" w:type="dxa"/>
              <w:right w:w="40" w:type="dxa"/>
            </w:tcMar>
          </w:tcPr>
          <w:p>
            <w:pPr>
              <w:spacing w:after="0"/>
            </w:pPr>
            <w:r>
              <w:rPr>
                <w:color w:val="0F172A"/>
                <w:sz w:val="14"/>
              </w:rPr>
              <w:t>Zero-configuration, ACID-compliant local SQL database preventing external attack vectors and credential overhead.</w:t>
            </w:r>
          </w:p>
        </w:tc>
      </w:tr>
      <w:tr>
        <w:tc>
          <w:tcPr>
            <w:tcW w:type="dxa" w:w="3648"/>
            <w:shd w:fill="F8FAFC"/>
            <w:tcMar>
              <w:top w:w="20" w:type="dxa"/>
              <w:bottom w:w="20" w:type="dxa"/>
              <w:left w:w="40" w:type="dxa"/>
              <w:right w:w="40" w:type="dxa"/>
            </w:tcMar>
          </w:tcPr>
          <w:p>
            <w:pPr>
              <w:spacing w:after="0"/>
            </w:pPr>
            <w:r>
              <w:rPr>
                <w:color w:val="0F172A"/>
                <w:sz w:val="14"/>
              </w:rPr>
              <w:t>Document Engine</w:t>
            </w:r>
          </w:p>
        </w:tc>
        <w:tc>
          <w:tcPr>
            <w:tcW w:type="dxa" w:w="3648"/>
            <w:shd w:fill="F8FAFC"/>
            <w:tcMar>
              <w:top w:w="20" w:type="dxa"/>
              <w:bottom w:w="20" w:type="dxa"/>
              <w:left w:w="40" w:type="dxa"/>
              <w:right w:w="40" w:type="dxa"/>
            </w:tcMar>
          </w:tcPr>
          <w:p>
            <w:pPr>
              <w:spacing w:after="0"/>
            </w:pPr>
            <w:r>
              <w:rPr>
                <w:color w:val="0F172A"/>
                <w:sz w:val="14"/>
              </w:rPr>
              <w:t>ReportLab Flowable PDF</w:t>
            </w:r>
          </w:p>
        </w:tc>
        <w:tc>
          <w:tcPr>
            <w:tcW w:type="dxa" w:w="3648"/>
            <w:shd w:fill="F8FAFC"/>
            <w:tcMar>
              <w:top w:w="20" w:type="dxa"/>
              <w:bottom w:w="20" w:type="dxa"/>
              <w:left w:w="40" w:type="dxa"/>
              <w:right w:w="40" w:type="dxa"/>
            </w:tcMar>
          </w:tcPr>
          <w:p>
            <w:pPr>
              <w:spacing w:after="0"/>
            </w:pPr>
            <w:r>
              <w:rPr>
                <w:color w:val="0F172A"/>
                <w:sz w:val="14"/>
              </w:rPr>
              <w:t>Programmatic, pixel-accurate vector PDF synthesis with institutional header templates and tabular layouts.</w:t>
            </w:r>
          </w:p>
        </w:tc>
      </w:tr>
    </w:tbl>
    <w:p>
      <w:pPr>
        <w:keepNext/>
        <w:spacing w:before="80" w:after="40"/>
      </w:pPr>
      <w:r>
        <w:rPr>
          <w:b/>
          <w:color w:val="0F172A"/>
          <w:sz w:val="20"/>
        </w:rPr>
        <w:t>7. Operational Use Cases</w:t>
      </w:r>
    </w:p>
    <w:p>
      <w:pPr>
        <w:spacing w:before="0" w:after="50" w:line="252" w:lineRule="auto"/>
        <w:jc w:val="both"/>
      </w:pPr>
      <w:r>
        <w:rPr>
          <w:rFonts w:ascii="Calibri" w:hAnsi="Calibri"/>
          <w:color w:val="1E293B"/>
          <w:sz w:val="15"/>
        </w:rPr>
        <w:t>UC-1: Defensive Self-Footprint Audit: Security researchers and developers audit their personal usernames across platforms to locate abandoned accounts exposing legacy emails or weak authentication. UC-2: External Surface Assessment: Authorized penetration testers establish domain perimeter inventory (mail routing, nameserver delegation, SPF validation) during non-invasive pre-engagement reconnaissance.</w:t>
      </w:r>
    </w:p>
    <w:p>
      <w:r>
        <w:br w:type="page"/>
      </w:r>
    </w:p>
    <w:p>
      <w:pPr>
        <w:keepNext/>
        <w:spacing w:before="80" w:after="40"/>
      </w:pPr>
      <w:r>
        <w:rPr>
          <w:b/>
          <w:color w:val="0F172A"/>
          <w:sz w:val="20"/>
        </w:rPr>
        <w:t>8. System Architecture and Workflow</w:t>
      </w:r>
    </w:p>
    <w:p>
      <w:pPr>
        <w:spacing w:before="0" w:after="50" w:line="252" w:lineRule="auto"/>
        <w:jc w:val="both"/>
      </w:pPr>
      <w:r>
        <w:rPr>
          <w:rFonts w:ascii="Calibri" w:hAnsi="Calibri"/>
          <w:color w:val="1E293B"/>
          <w:sz w:val="15"/>
        </w:rPr>
        <w:t>TRACE implements a decoupled, three-tier modular architecture comprising the Single Page Application Presentation Layer, the FastAPI Asynchronous Service Controller, and the Persistence &amp; System Integration Engine.</w:t>
      </w:r>
    </w:p>
    <w:tbl>
      <w:tblPr>
        <w:tblW w:type="auto" w:w="0"/>
        <w:jc w:val="center"/>
        <w:tblLook w:firstColumn="1" w:firstRow="1" w:lastColumn="0" w:lastRow="0" w:noHBand="0" w:noVBand="1" w:val="04A0"/>
      </w:tblPr>
      <w:tblGrid>
        <w:gridCol w:w="2736"/>
        <w:gridCol w:w="2736"/>
        <w:gridCol w:w="2736"/>
        <w:gridCol w:w="2736"/>
      </w:tblGrid>
      <w:tr>
        <w:tc>
          <w:tcPr>
            <w:tcW w:type="dxa" w:w="2736"/>
            <w:shd w:fill="F0FDF4"/>
            <w:tcMar>
              <w:top w:w="35" w:type="dxa"/>
              <w:bottom w:w="35" w:type="dxa"/>
              <w:left w:w="45" w:type="dxa"/>
              <w:right w:w="45" w:type="dxa"/>
            </w:tcMar>
          </w:tcPr>
          <w:p>
            <w:pPr>
              <w:spacing w:after="0"/>
            </w:pPr>
            <w:r>
              <w:rPr>
                <w:b/>
                <w:color w:val="0F172A"/>
                <w:sz w:val="15"/>
              </w:rPr>
              <w:t>Client (React/TS)</w:t>
              <w:br/>
            </w:r>
            <w:r>
              <w:rPr>
                <w:color w:val="334155"/>
                <w:sz w:val="13"/>
              </w:rPr>
              <w:t>• Operations Dashboard</w:t>
              <w:br/>
              <w:t>• Asynchronous Forms</w:t>
              <w:br/>
              <w:t>• Real-time Badges</w:t>
              <w:br/>
              <w:t>• Dossier Export Modal</w:t>
            </w:r>
          </w:p>
        </w:tc>
        <w:tc>
          <w:tcPr>
            <w:tcW w:type="dxa" w:w="2736"/>
            <w:shd w:fill="EFF6FF"/>
            <w:tcMar>
              <w:top w:w="35" w:type="dxa"/>
              <w:bottom w:w="35" w:type="dxa"/>
              <w:left w:w="45" w:type="dxa"/>
              <w:right w:w="45" w:type="dxa"/>
            </w:tcMar>
          </w:tcPr>
          <w:p>
            <w:pPr>
              <w:spacing w:after="0"/>
            </w:pPr>
            <w:r>
              <w:rPr>
                <w:b/>
                <w:color w:val="0F172A"/>
                <w:sz w:val="15"/>
              </w:rPr>
              <w:t>Gateway (FastAPI)</w:t>
              <w:br/>
            </w:r>
            <w:r>
              <w:rPr>
                <w:color w:val="334155"/>
                <w:sz w:val="13"/>
              </w:rPr>
              <w:t>• /api/investigate/user</w:t>
              <w:br/>
              <w:t>• /api/investigate/domain</w:t>
              <w:br/>
              <w:t>• /api/history (CRUD)</w:t>
              <w:br/>
              <w:t>• /api/reports/pdf|csv</w:t>
            </w:r>
          </w:p>
        </w:tc>
        <w:tc>
          <w:tcPr>
            <w:tcW w:type="dxa" w:w="2736"/>
            <w:shd w:fill="FAF5FF"/>
            <w:tcMar>
              <w:top w:w="35" w:type="dxa"/>
              <w:bottom w:w="35" w:type="dxa"/>
              <w:left w:w="45" w:type="dxa"/>
              <w:right w:w="45" w:type="dxa"/>
            </w:tcMar>
          </w:tcPr>
          <w:p>
            <w:pPr>
              <w:spacing w:after="0"/>
            </w:pPr>
            <w:r>
              <w:rPr>
                <w:b/>
                <w:color w:val="0F172A"/>
                <w:sz w:val="15"/>
              </w:rPr>
              <w:t>Core Engines</w:t>
              <w:br/>
            </w:r>
            <w:r>
              <w:rPr>
                <w:color w:val="334155"/>
                <w:sz w:val="13"/>
              </w:rPr>
              <w:t>• UsernameOSINT</w:t>
              <w:br/>
              <w:t>• DomainOSINT</w:t>
              <w:br/>
              <w:t>• ReportingEngine</w:t>
              <w:br/>
              <w:t>• DatabaseManager</w:t>
            </w:r>
          </w:p>
        </w:tc>
        <w:tc>
          <w:tcPr>
            <w:tcW w:type="dxa" w:w="2736"/>
            <w:shd w:fill="FFFBEB"/>
            <w:tcMar>
              <w:top w:w="35" w:type="dxa"/>
              <w:bottom w:w="35" w:type="dxa"/>
              <w:left w:w="45" w:type="dxa"/>
              <w:right w:w="45" w:type="dxa"/>
            </w:tcMar>
          </w:tcPr>
          <w:p>
            <w:pPr>
              <w:spacing w:after="0"/>
            </w:pPr>
            <w:r>
              <w:rPr>
                <w:b/>
                <w:color w:val="0F172A"/>
                <w:sz w:val="15"/>
              </w:rPr>
              <w:t>Storage &amp; Network</w:t>
              <w:br/>
            </w:r>
            <w:r>
              <w:rPr>
                <w:color w:val="334155"/>
                <w:sz w:val="13"/>
              </w:rPr>
              <w:t>• Public Web APIs</w:t>
              <w:br/>
              <w:t>• Authoritative DNS (53)</w:t>
              <w:br/>
              <w:t>• ICANN RDAP (HTTPS)</w:t>
              <w:br/>
              <w:t>• SQLite (trace.db)</w:t>
            </w:r>
          </w:p>
        </w:tc>
      </w:tr>
    </w:tbl>
    <w:p>
      <w:pPr>
        <w:keepNext/>
        <w:spacing w:before="80" w:after="40"/>
      </w:pPr>
      <w:r>
        <w:rPr>
          <w:b/>
          <w:color w:val="0F172A"/>
          <w:sz w:val="20"/>
        </w:rPr>
        <w:t>9. Database Design &amp; Schema Architecture</w:t>
      </w:r>
    </w:p>
    <w:p>
      <w:pPr>
        <w:spacing w:before="0" w:after="50" w:line="252" w:lineRule="auto"/>
        <w:jc w:val="both"/>
      </w:pPr>
      <w:r>
        <w:rPr>
          <w:rFonts w:ascii="Calibri" w:hAnsi="Calibri"/>
          <w:color w:val="1E293B"/>
          <w:sz w:val="15"/>
        </w:rPr>
        <w:t>To guarantee audit integrity, TRACE utilizes SQLite 3 with WAL (Write-Ahead Logging) mode enabled. The schema isolates operational telemetry from raw payload responses, maintaining structured indexes for rapid lookup:</w:t>
      </w:r>
    </w:p>
    <w:tbl>
      <w:tblPr>
        <w:tblW w:type="auto" w:w="0"/>
        <w:jc w:val="center"/>
        <w:tblLook w:firstColumn="1" w:firstRow="1" w:lastColumn="0" w:lastRow="0" w:noHBand="0" w:noVBand="1" w:val="04A0"/>
      </w:tblPr>
      <w:tblGrid>
        <w:gridCol w:w="2736"/>
        <w:gridCol w:w="2736"/>
        <w:gridCol w:w="2736"/>
        <w:gridCol w:w="2736"/>
      </w:tblGrid>
      <w:tr>
        <w:tc>
          <w:tcPr>
            <w:tcW w:type="dxa" w:w="2736"/>
            <w:shd w:fill="0F172A"/>
            <w:tcMar>
              <w:top w:w="20" w:type="dxa"/>
              <w:bottom w:w="20" w:type="dxa"/>
              <w:left w:w="35" w:type="dxa"/>
              <w:right w:w="35" w:type="dxa"/>
            </w:tcMar>
          </w:tcPr>
          <w:p>
            <w:pPr>
              <w:spacing w:after="0"/>
            </w:pPr>
            <w:r>
              <w:rPr>
                <w:b/>
                <w:color w:val="FFFFFF"/>
                <w:sz w:val="14"/>
              </w:rPr>
              <w:t>Column Name</w:t>
            </w:r>
          </w:p>
        </w:tc>
        <w:tc>
          <w:tcPr>
            <w:tcW w:type="dxa" w:w="2736"/>
            <w:shd w:fill="0F172A"/>
            <w:tcMar>
              <w:top w:w="20" w:type="dxa"/>
              <w:bottom w:w="20" w:type="dxa"/>
              <w:left w:w="35" w:type="dxa"/>
              <w:right w:w="35" w:type="dxa"/>
            </w:tcMar>
          </w:tcPr>
          <w:p>
            <w:pPr>
              <w:spacing w:after="0"/>
            </w:pPr>
            <w:r>
              <w:rPr>
                <w:b/>
                <w:color w:val="FFFFFF"/>
                <w:sz w:val="14"/>
              </w:rPr>
              <w:t>Data Type</w:t>
            </w:r>
          </w:p>
        </w:tc>
        <w:tc>
          <w:tcPr>
            <w:tcW w:type="dxa" w:w="2736"/>
            <w:shd w:fill="0F172A"/>
            <w:tcMar>
              <w:top w:w="20" w:type="dxa"/>
              <w:bottom w:w="20" w:type="dxa"/>
              <w:left w:w="35" w:type="dxa"/>
              <w:right w:w="35" w:type="dxa"/>
            </w:tcMar>
          </w:tcPr>
          <w:p>
            <w:pPr>
              <w:spacing w:after="0"/>
            </w:pPr>
            <w:r>
              <w:rPr>
                <w:b/>
                <w:color w:val="FFFFFF"/>
                <w:sz w:val="14"/>
              </w:rPr>
              <w:t>Constraints</w:t>
            </w:r>
          </w:p>
        </w:tc>
        <w:tc>
          <w:tcPr>
            <w:tcW w:type="dxa" w:w="2736"/>
            <w:shd w:fill="0F172A"/>
            <w:tcMar>
              <w:top w:w="20" w:type="dxa"/>
              <w:bottom w:w="20" w:type="dxa"/>
              <w:left w:w="35" w:type="dxa"/>
              <w:right w:w="35" w:type="dxa"/>
            </w:tcMar>
          </w:tcPr>
          <w:p>
            <w:pPr>
              <w:spacing w:after="0"/>
            </w:pPr>
            <w:r>
              <w:rPr>
                <w:b/>
                <w:color w:val="FFFFFF"/>
                <w:sz w:val="14"/>
              </w:rPr>
              <w:t>Description &amp; Functional Purpose</w:t>
            </w:r>
          </w:p>
        </w:tc>
      </w:tr>
      <w:tr>
        <w:tc>
          <w:tcPr>
            <w:tcW w:type="dxa" w:w="2736"/>
            <w:shd w:fill="FFFFFF"/>
            <w:tcMar>
              <w:top w:w="18" w:type="dxa"/>
              <w:bottom w:w="18" w:type="dxa"/>
              <w:left w:w="35" w:type="dxa"/>
              <w:right w:w="35" w:type="dxa"/>
            </w:tcMar>
          </w:tcPr>
          <w:p>
            <w:pPr>
              <w:spacing w:after="0"/>
            </w:pPr>
            <w:r>
              <w:rPr>
                <w:color w:val="0F172A"/>
                <w:sz w:val="14"/>
              </w:rPr>
              <w:t>id</w:t>
            </w:r>
          </w:p>
        </w:tc>
        <w:tc>
          <w:tcPr>
            <w:tcW w:type="dxa" w:w="2736"/>
            <w:shd w:fill="FFFFFF"/>
            <w:tcMar>
              <w:top w:w="18" w:type="dxa"/>
              <w:bottom w:w="18" w:type="dxa"/>
              <w:left w:w="35" w:type="dxa"/>
              <w:right w:w="35" w:type="dxa"/>
            </w:tcMar>
          </w:tcPr>
          <w:p>
            <w:pPr>
              <w:spacing w:after="0"/>
            </w:pPr>
            <w:r>
              <w:rPr>
                <w:color w:val="0F172A"/>
                <w:sz w:val="14"/>
              </w:rPr>
              <w:t>INTEGER</w:t>
            </w:r>
          </w:p>
        </w:tc>
        <w:tc>
          <w:tcPr>
            <w:tcW w:type="dxa" w:w="2736"/>
            <w:shd w:fill="FFFFFF"/>
            <w:tcMar>
              <w:top w:w="18" w:type="dxa"/>
              <w:bottom w:w="18" w:type="dxa"/>
              <w:left w:w="35" w:type="dxa"/>
              <w:right w:w="35" w:type="dxa"/>
            </w:tcMar>
          </w:tcPr>
          <w:p>
            <w:pPr>
              <w:spacing w:after="0"/>
            </w:pPr>
            <w:r>
              <w:rPr>
                <w:color w:val="0F172A"/>
                <w:sz w:val="14"/>
              </w:rPr>
              <w:t>PRIMARY KEY AUTOINCREMENT</w:t>
            </w:r>
          </w:p>
        </w:tc>
        <w:tc>
          <w:tcPr>
            <w:tcW w:type="dxa" w:w="2736"/>
            <w:shd w:fill="FFFFFF"/>
            <w:tcMar>
              <w:top w:w="18" w:type="dxa"/>
              <w:bottom w:w="18" w:type="dxa"/>
              <w:left w:w="35" w:type="dxa"/>
              <w:right w:w="35" w:type="dxa"/>
            </w:tcMar>
          </w:tcPr>
          <w:p>
            <w:pPr>
              <w:spacing w:after="0"/>
            </w:pPr>
            <w:r>
              <w:rPr>
                <w:color w:val="0F172A"/>
                <w:sz w:val="14"/>
              </w:rPr>
              <w:t>Unique sequential investigation dossier identifier.</w:t>
            </w:r>
          </w:p>
        </w:tc>
      </w:tr>
      <w:tr>
        <w:tc>
          <w:tcPr>
            <w:tcW w:type="dxa" w:w="2736"/>
            <w:shd w:fill="F8FAFC"/>
            <w:tcMar>
              <w:top w:w="18" w:type="dxa"/>
              <w:bottom w:w="18" w:type="dxa"/>
              <w:left w:w="35" w:type="dxa"/>
              <w:right w:w="35" w:type="dxa"/>
            </w:tcMar>
          </w:tcPr>
          <w:p>
            <w:pPr>
              <w:spacing w:after="0"/>
            </w:pPr>
            <w:r>
              <w:rPr>
                <w:color w:val="0F172A"/>
                <w:sz w:val="14"/>
              </w:rPr>
              <w:t>investigation_type</w:t>
            </w:r>
          </w:p>
        </w:tc>
        <w:tc>
          <w:tcPr>
            <w:tcW w:type="dxa" w:w="2736"/>
            <w:shd w:fill="F8FAFC"/>
            <w:tcMar>
              <w:top w:w="18" w:type="dxa"/>
              <w:bottom w:w="18" w:type="dxa"/>
              <w:left w:w="35" w:type="dxa"/>
              <w:right w:w="35" w:type="dxa"/>
            </w:tcMar>
          </w:tcPr>
          <w:p>
            <w:pPr>
              <w:spacing w:after="0"/>
            </w:pPr>
            <w:r>
              <w:rPr>
                <w:color w:val="0F172A"/>
                <w:sz w:val="14"/>
              </w:rPr>
              <w:t>VARCHAR(20)</w:t>
            </w:r>
          </w:p>
        </w:tc>
        <w:tc>
          <w:tcPr>
            <w:tcW w:type="dxa" w:w="2736"/>
            <w:shd w:fill="F8FAFC"/>
            <w:tcMar>
              <w:top w:w="18" w:type="dxa"/>
              <w:bottom w:w="18" w:type="dxa"/>
              <w:left w:w="35" w:type="dxa"/>
              <w:right w:w="35" w:type="dxa"/>
            </w:tcMar>
          </w:tcPr>
          <w:p>
            <w:pPr>
              <w:spacing w:after="0"/>
            </w:pPr>
            <w:r>
              <w:rPr>
                <w:color w:val="0F172A"/>
                <w:sz w:val="14"/>
              </w:rPr>
              <w:t>NOT NULL, CHECK (type IN...)</w:t>
            </w:r>
          </w:p>
        </w:tc>
        <w:tc>
          <w:tcPr>
            <w:tcW w:type="dxa" w:w="2736"/>
            <w:shd w:fill="F8FAFC"/>
            <w:tcMar>
              <w:top w:w="18" w:type="dxa"/>
              <w:bottom w:w="18" w:type="dxa"/>
              <w:left w:w="35" w:type="dxa"/>
              <w:right w:w="35" w:type="dxa"/>
            </w:tcMar>
          </w:tcPr>
          <w:p>
            <w:pPr>
              <w:spacing w:after="0"/>
            </w:pPr>
            <w:r>
              <w:rPr>
                <w:color w:val="0F172A"/>
                <w:sz w:val="14"/>
              </w:rPr>
              <w:t>Identifies analysis pipeline: 'username' or 'domain'.</w:t>
            </w:r>
          </w:p>
        </w:tc>
      </w:tr>
      <w:tr>
        <w:tc>
          <w:tcPr>
            <w:tcW w:type="dxa" w:w="2736"/>
            <w:shd w:fill="FFFFFF"/>
            <w:tcMar>
              <w:top w:w="18" w:type="dxa"/>
              <w:bottom w:w="18" w:type="dxa"/>
              <w:left w:w="35" w:type="dxa"/>
              <w:right w:w="35" w:type="dxa"/>
            </w:tcMar>
          </w:tcPr>
          <w:p>
            <w:pPr>
              <w:spacing w:after="0"/>
            </w:pPr>
            <w:r>
              <w:rPr>
                <w:color w:val="0F172A"/>
                <w:sz w:val="14"/>
              </w:rPr>
              <w:t>target</w:t>
            </w:r>
          </w:p>
        </w:tc>
        <w:tc>
          <w:tcPr>
            <w:tcW w:type="dxa" w:w="2736"/>
            <w:shd w:fill="FFFFFF"/>
            <w:tcMar>
              <w:top w:w="18" w:type="dxa"/>
              <w:bottom w:w="18" w:type="dxa"/>
              <w:left w:w="35" w:type="dxa"/>
              <w:right w:w="35" w:type="dxa"/>
            </w:tcMar>
          </w:tcPr>
          <w:p>
            <w:pPr>
              <w:spacing w:after="0"/>
            </w:pPr>
            <w:r>
              <w:rPr>
                <w:color w:val="0F172A"/>
                <w:sz w:val="14"/>
              </w:rPr>
              <w:t>VARCHAR(255)</w:t>
            </w:r>
          </w:p>
        </w:tc>
        <w:tc>
          <w:tcPr>
            <w:tcW w:type="dxa" w:w="2736"/>
            <w:shd w:fill="FFFFFF"/>
            <w:tcMar>
              <w:top w:w="18" w:type="dxa"/>
              <w:bottom w:w="18" w:type="dxa"/>
              <w:left w:w="35" w:type="dxa"/>
              <w:right w:w="35" w:type="dxa"/>
            </w:tcMar>
          </w:tcPr>
          <w:p>
            <w:pPr>
              <w:spacing w:after="0"/>
            </w:pPr>
            <w:r>
              <w:rPr>
                <w:color w:val="0F172A"/>
                <w:sz w:val="14"/>
              </w:rPr>
              <w:t>NOT NULL, INDEXED</w:t>
            </w:r>
          </w:p>
        </w:tc>
        <w:tc>
          <w:tcPr>
            <w:tcW w:type="dxa" w:w="2736"/>
            <w:shd w:fill="FFFFFF"/>
            <w:tcMar>
              <w:top w:w="18" w:type="dxa"/>
              <w:bottom w:w="18" w:type="dxa"/>
              <w:left w:w="35" w:type="dxa"/>
              <w:right w:w="35" w:type="dxa"/>
            </w:tcMar>
          </w:tcPr>
          <w:p>
            <w:pPr>
              <w:spacing w:after="0"/>
            </w:pPr>
            <w:r>
              <w:rPr>
                <w:color w:val="0F172A"/>
                <w:sz w:val="14"/>
              </w:rPr>
              <w:t>Sanitized target query string (username or domain).</w:t>
            </w:r>
          </w:p>
        </w:tc>
      </w:tr>
      <w:tr>
        <w:tc>
          <w:tcPr>
            <w:tcW w:type="dxa" w:w="2736"/>
            <w:shd w:fill="F8FAFC"/>
            <w:tcMar>
              <w:top w:w="18" w:type="dxa"/>
              <w:bottom w:w="18" w:type="dxa"/>
              <w:left w:w="35" w:type="dxa"/>
              <w:right w:w="35" w:type="dxa"/>
            </w:tcMar>
          </w:tcPr>
          <w:p>
            <w:pPr>
              <w:spacing w:after="0"/>
            </w:pPr>
            <w:r>
              <w:rPr>
                <w:color w:val="0F172A"/>
                <w:sz w:val="14"/>
              </w:rPr>
              <w:t>timestamp</w:t>
            </w:r>
          </w:p>
        </w:tc>
        <w:tc>
          <w:tcPr>
            <w:tcW w:type="dxa" w:w="2736"/>
            <w:shd w:fill="F8FAFC"/>
            <w:tcMar>
              <w:top w:w="18" w:type="dxa"/>
              <w:bottom w:w="18" w:type="dxa"/>
              <w:left w:w="35" w:type="dxa"/>
              <w:right w:w="35" w:type="dxa"/>
            </w:tcMar>
          </w:tcPr>
          <w:p>
            <w:pPr>
              <w:spacing w:after="0"/>
            </w:pPr>
            <w:r>
              <w:rPr>
                <w:color w:val="0F172A"/>
                <w:sz w:val="14"/>
              </w:rPr>
              <w:t>DATETIME</w:t>
            </w:r>
          </w:p>
        </w:tc>
        <w:tc>
          <w:tcPr>
            <w:tcW w:type="dxa" w:w="2736"/>
            <w:shd w:fill="F8FAFC"/>
            <w:tcMar>
              <w:top w:w="18" w:type="dxa"/>
              <w:bottom w:w="18" w:type="dxa"/>
              <w:left w:w="35" w:type="dxa"/>
              <w:right w:w="35" w:type="dxa"/>
            </w:tcMar>
          </w:tcPr>
          <w:p>
            <w:pPr>
              <w:spacing w:after="0"/>
            </w:pPr>
            <w:r>
              <w:rPr>
                <w:color w:val="0F172A"/>
                <w:sz w:val="14"/>
              </w:rPr>
              <w:t>DEFAULT CURRENT_TIMESTAMP</w:t>
            </w:r>
          </w:p>
        </w:tc>
        <w:tc>
          <w:tcPr>
            <w:tcW w:type="dxa" w:w="2736"/>
            <w:shd w:fill="F8FAFC"/>
            <w:tcMar>
              <w:top w:w="18" w:type="dxa"/>
              <w:bottom w:w="18" w:type="dxa"/>
              <w:left w:w="35" w:type="dxa"/>
              <w:right w:w="35" w:type="dxa"/>
            </w:tcMar>
          </w:tcPr>
          <w:p>
            <w:pPr>
              <w:spacing w:after="0"/>
            </w:pPr>
            <w:r>
              <w:rPr>
                <w:color w:val="0F172A"/>
                <w:sz w:val="14"/>
              </w:rPr>
              <w:t>UTC execution timestamp ensuring tamper-evident chronology.</w:t>
            </w:r>
          </w:p>
        </w:tc>
      </w:tr>
      <w:tr>
        <w:tc>
          <w:tcPr>
            <w:tcW w:type="dxa" w:w="2736"/>
            <w:shd w:fill="FFFFFF"/>
            <w:tcMar>
              <w:top w:w="18" w:type="dxa"/>
              <w:bottom w:w="18" w:type="dxa"/>
              <w:left w:w="35" w:type="dxa"/>
              <w:right w:w="35" w:type="dxa"/>
            </w:tcMar>
          </w:tcPr>
          <w:p>
            <w:pPr>
              <w:spacing w:after="0"/>
            </w:pPr>
            <w:r>
              <w:rPr>
                <w:color w:val="0F172A"/>
                <w:sz w:val="14"/>
              </w:rPr>
              <w:t>status</w:t>
            </w:r>
          </w:p>
        </w:tc>
        <w:tc>
          <w:tcPr>
            <w:tcW w:type="dxa" w:w="2736"/>
            <w:shd w:fill="FFFFFF"/>
            <w:tcMar>
              <w:top w:w="18" w:type="dxa"/>
              <w:bottom w:w="18" w:type="dxa"/>
              <w:left w:w="35" w:type="dxa"/>
              <w:right w:w="35" w:type="dxa"/>
            </w:tcMar>
          </w:tcPr>
          <w:p>
            <w:pPr>
              <w:spacing w:after="0"/>
            </w:pPr>
            <w:r>
              <w:rPr>
                <w:color w:val="0F172A"/>
                <w:sz w:val="14"/>
              </w:rPr>
              <w:t>VARCHAR(50)</w:t>
            </w:r>
          </w:p>
        </w:tc>
        <w:tc>
          <w:tcPr>
            <w:tcW w:type="dxa" w:w="2736"/>
            <w:shd w:fill="FFFFFF"/>
            <w:tcMar>
              <w:top w:w="18" w:type="dxa"/>
              <w:bottom w:w="18" w:type="dxa"/>
              <w:left w:w="35" w:type="dxa"/>
              <w:right w:w="35" w:type="dxa"/>
            </w:tcMar>
          </w:tcPr>
          <w:p>
            <w:pPr>
              <w:spacing w:after="0"/>
            </w:pPr>
            <w:r>
              <w:rPr>
                <w:color w:val="0F172A"/>
                <w:sz w:val="14"/>
              </w:rPr>
              <w:t>NOT NULL</w:t>
            </w:r>
          </w:p>
        </w:tc>
        <w:tc>
          <w:tcPr>
            <w:tcW w:type="dxa" w:w="2736"/>
            <w:shd w:fill="FFFFFF"/>
            <w:tcMar>
              <w:top w:w="18" w:type="dxa"/>
              <w:bottom w:w="18" w:type="dxa"/>
              <w:left w:w="35" w:type="dxa"/>
              <w:right w:w="35" w:type="dxa"/>
            </w:tcMar>
          </w:tcPr>
          <w:p>
            <w:pPr>
              <w:spacing w:after="0"/>
            </w:pPr>
            <w:r>
              <w:rPr>
                <w:color w:val="0F172A"/>
                <w:sz w:val="14"/>
              </w:rPr>
              <w:t>Overall operational state: 'Completed' or 'Failed'.</w:t>
            </w:r>
          </w:p>
        </w:tc>
      </w:tr>
      <w:tr>
        <w:tc>
          <w:tcPr>
            <w:tcW w:type="dxa" w:w="2736"/>
            <w:shd w:fill="F8FAFC"/>
            <w:tcMar>
              <w:top w:w="18" w:type="dxa"/>
              <w:bottom w:w="18" w:type="dxa"/>
              <w:left w:w="35" w:type="dxa"/>
              <w:right w:w="35" w:type="dxa"/>
            </w:tcMar>
          </w:tcPr>
          <w:p>
            <w:pPr>
              <w:spacing w:after="0"/>
            </w:pPr>
            <w:r>
              <w:rPr>
                <w:color w:val="0F172A"/>
                <w:sz w:val="14"/>
              </w:rPr>
              <w:t>summary</w:t>
            </w:r>
          </w:p>
        </w:tc>
        <w:tc>
          <w:tcPr>
            <w:tcW w:type="dxa" w:w="2736"/>
            <w:shd w:fill="F8FAFC"/>
            <w:tcMar>
              <w:top w:w="18" w:type="dxa"/>
              <w:bottom w:w="18" w:type="dxa"/>
              <w:left w:w="35" w:type="dxa"/>
              <w:right w:w="35" w:type="dxa"/>
            </w:tcMar>
          </w:tcPr>
          <w:p>
            <w:pPr>
              <w:spacing w:after="0"/>
            </w:pPr>
            <w:r>
              <w:rPr>
                <w:color w:val="0F172A"/>
                <w:sz w:val="14"/>
              </w:rPr>
              <w:t>TEXT</w:t>
            </w:r>
          </w:p>
        </w:tc>
        <w:tc>
          <w:tcPr>
            <w:tcW w:type="dxa" w:w="2736"/>
            <w:shd w:fill="F8FAFC"/>
            <w:tcMar>
              <w:top w:w="18" w:type="dxa"/>
              <w:bottom w:w="18" w:type="dxa"/>
              <w:left w:w="35" w:type="dxa"/>
              <w:right w:w="35" w:type="dxa"/>
            </w:tcMar>
          </w:tcPr>
          <w:p>
            <w:pPr>
              <w:spacing w:after="0"/>
            </w:pPr>
            <w:r>
              <w:rPr>
                <w:color w:val="0F172A"/>
                <w:sz w:val="14"/>
              </w:rPr>
              <w:t>NOT NULL</w:t>
            </w:r>
          </w:p>
        </w:tc>
        <w:tc>
          <w:tcPr>
            <w:tcW w:type="dxa" w:w="2736"/>
            <w:shd w:fill="F8FAFC"/>
            <w:tcMar>
              <w:top w:w="18" w:type="dxa"/>
              <w:bottom w:w="18" w:type="dxa"/>
              <w:left w:w="35" w:type="dxa"/>
              <w:right w:w="35" w:type="dxa"/>
            </w:tcMar>
          </w:tcPr>
          <w:p>
            <w:pPr>
              <w:spacing w:after="0"/>
            </w:pPr>
            <w:r>
              <w:rPr>
                <w:color w:val="0F172A"/>
                <w:sz w:val="14"/>
              </w:rPr>
              <w:t>Human-readable aggregate findings synopsis.</w:t>
            </w:r>
          </w:p>
        </w:tc>
      </w:tr>
      <w:tr>
        <w:tc>
          <w:tcPr>
            <w:tcW w:type="dxa" w:w="2736"/>
            <w:shd w:fill="FFFFFF"/>
            <w:tcMar>
              <w:top w:w="18" w:type="dxa"/>
              <w:bottom w:w="18" w:type="dxa"/>
              <w:left w:w="35" w:type="dxa"/>
              <w:right w:w="35" w:type="dxa"/>
            </w:tcMar>
          </w:tcPr>
          <w:p>
            <w:pPr>
              <w:spacing w:after="0"/>
            </w:pPr>
            <w:r>
              <w:rPr>
                <w:color w:val="0F172A"/>
                <w:sz w:val="14"/>
              </w:rPr>
              <w:t>data_json</w:t>
            </w:r>
          </w:p>
        </w:tc>
        <w:tc>
          <w:tcPr>
            <w:tcW w:type="dxa" w:w="2736"/>
            <w:shd w:fill="FFFFFF"/>
            <w:tcMar>
              <w:top w:w="18" w:type="dxa"/>
              <w:bottom w:w="18" w:type="dxa"/>
              <w:left w:w="35" w:type="dxa"/>
              <w:right w:w="35" w:type="dxa"/>
            </w:tcMar>
          </w:tcPr>
          <w:p>
            <w:pPr>
              <w:spacing w:after="0"/>
            </w:pPr>
            <w:r>
              <w:rPr>
                <w:color w:val="0F172A"/>
                <w:sz w:val="14"/>
              </w:rPr>
              <w:t>TEXT (JSON)</w:t>
            </w:r>
          </w:p>
        </w:tc>
        <w:tc>
          <w:tcPr>
            <w:tcW w:type="dxa" w:w="2736"/>
            <w:shd w:fill="FFFFFF"/>
            <w:tcMar>
              <w:top w:w="18" w:type="dxa"/>
              <w:bottom w:w="18" w:type="dxa"/>
              <w:left w:w="35" w:type="dxa"/>
              <w:right w:w="35" w:type="dxa"/>
            </w:tcMar>
          </w:tcPr>
          <w:p>
            <w:pPr>
              <w:spacing w:after="0"/>
            </w:pPr>
            <w:r>
              <w:rPr>
                <w:color w:val="0F172A"/>
                <w:sz w:val="14"/>
              </w:rPr>
              <w:t>NOT NULL</w:t>
            </w:r>
          </w:p>
        </w:tc>
        <w:tc>
          <w:tcPr>
            <w:tcW w:type="dxa" w:w="2736"/>
            <w:shd w:fill="FFFFFF"/>
            <w:tcMar>
              <w:top w:w="18" w:type="dxa"/>
              <w:bottom w:w="18" w:type="dxa"/>
              <w:left w:w="35" w:type="dxa"/>
              <w:right w:w="35" w:type="dxa"/>
            </w:tcMar>
          </w:tcPr>
          <w:p>
            <w:pPr>
              <w:spacing w:after="0"/>
            </w:pPr>
            <w:r>
              <w:rPr>
                <w:color w:val="0F172A"/>
                <w:sz w:val="14"/>
              </w:rPr>
              <w:t>Full normalized JSON payload storing per-source latency and telemetry.</w:t>
            </w:r>
          </w:p>
        </w:tc>
      </w:tr>
    </w:tbl>
    <w:p>
      <w:pPr>
        <w:keepNext/>
        <w:spacing w:before="80" w:after="40"/>
      </w:pPr>
      <w:r>
        <w:rPr>
          <w:b/>
          <w:color w:val="0F172A"/>
          <w:sz w:val="20"/>
        </w:rPr>
        <w:t>10. Multi-Tier Result Verification Methodology</w:t>
      </w:r>
    </w:p>
    <w:p>
      <w:pPr>
        <w:spacing w:before="0" w:after="50" w:line="252" w:lineRule="auto"/>
        <w:jc w:val="both"/>
      </w:pPr>
      <w:r>
        <w:rPr>
          <w:rFonts w:ascii="Calibri" w:hAnsi="Calibri"/>
          <w:color w:val="1E293B"/>
          <w:sz w:val="15"/>
        </w:rPr>
        <w:t>A foundational principle of TRACE is the eradication of false positives. Standard HTTP status codes alone are insufficient due to modern web architectures. TRACE executes a four-state deterministic decision tree for every source probe:</w:t>
      </w:r>
    </w:p>
    <w:p>
      <w:pPr>
        <w:pStyle w:val="ListBullet"/>
        <w:spacing w:before="0" w:after="30" w:line="252" w:lineRule="auto"/>
        <w:ind w:left="288"/>
      </w:pPr>
      <w:r>
        <w:rPr>
          <w:rFonts w:ascii="Calibri" w:hAnsi="Calibri"/>
          <w:b/>
          <w:color w:val="0F172A"/>
          <w:sz w:val="15"/>
        </w:rPr>
        <w:t xml:space="preserve">FOUND: </w:t>
      </w:r>
      <w:r>
        <w:rPr>
          <w:rFonts w:ascii="Calibri" w:hAnsi="Calibri"/>
          <w:color w:val="1E293B"/>
          <w:sz w:val="15"/>
        </w:rPr>
        <w:t>Validated when HTTP status is exactly 200, the response body contains positive profile identifiers (e.g., matching username in JSON payload or verified meta tags), and redirection to sign-in portals has not occurred.</w:t>
      </w:r>
    </w:p>
    <w:p>
      <w:pPr>
        <w:pStyle w:val="ListBullet"/>
        <w:spacing w:before="0" w:after="30" w:line="252" w:lineRule="auto"/>
        <w:ind w:left="288"/>
      </w:pPr>
      <w:r>
        <w:rPr>
          <w:rFonts w:ascii="Calibri" w:hAnsi="Calibri"/>
          <w:b/>
          <w:color w:val="0F172A"/>
          <w:sz w:val="15"/>
        </w:rPr>
        <w:t xml:space="preserve">NOT_FOUND: </w:t>
      </w:r>
      <w:r>
        <w:rPr>
          <w:rFonts w:ascii="Calibri" w:hAnsi="Calibri"/>
          <w:color w:val="1E293B"/>
          <w:sz w:val="15"/>
        </w:rPr>
        <w:t>Triggered when the service responds with definitive non-existence status (HTTP 404), or redirects to registration portals (e.g., GitLab redirecting unauthenticated missing profiles to users/sign_in with HTTP 302).</w:t>
      </w:r>
    </w:p>
    <w:p>
      <w:pPr>
        <w:pStyle w:val="ListBullet"/>
        <w:spacing w:before="0" w:after="30" w:line="252" w:lineRule="auto"/>
        <w:ind w:left="288"/>
      </w:pPr>
      <w:r>
        <w:rPr>
          <w:rFonts w:ascii="Calibri" w:hAnsi="Calibri"/>
          <w:b/>
          <w:color w:val="0F172A"/>
          <w:sz w:val="15"/>
        </w:rPr>
        <w:t xml:space="preserve">INCONCLUSIVE: </w:t>
      </w:r>
      <w:r>
        <w:rPr>
          <w:rFonts w:ascii="Calibri" w:hAnsi="Calibri"/>
          <w:color w:val="1E293B"/>
          <w:sz w:val="15"/>
        </w:rPr>
        <w:t>Applied when anti-scraping defenses (Cloudflare Turnstile, AWS WAF), bot challenges, or rate limiters respond with HTTP 403 Forbidden or HTTP 429 Too Many Requests. The target profile may or may not exist; TRACE refuses to speculate.</w:t>
      </w:r>
    </w:p>
    <w:p>
      <w:pPr>
        <w:pStyle w:val="ListBullet"/>
        <w:spacing w:before="0" w:after="30" w:line="252" w:lineRule="auto"/>
        <w:ind w:left="288"/>
      </w:pPr>
      <w:r>
        <w:rPr>
          <w:rFonts w:ascii="Calibri" w:hAnsi="Calibri"/>
          <w:b/>
          <w:color w:val="0F172A"/>
          <w:sz w:val="15"/>
        </w:rPr>
        <w:t xml:space="preserve">CHECK_FAILED: </w:t>
      </w:r>
      <w:r>
        <w:rPr>
          <w:rFonts w:ascii="Calibri" w:hAnsi="Calibri"/>
          <w:color w:val="1E293B"/>
          <w:sz w:val="15"/>
        </w:rPr>
        <w:t>Recorded when transport-layer faults occur, including TCP socket timeouts (&gt;4.0s), DNS NXDOMAIN errors, or SSL handshake failures. The specific network exception is logged for audit defensibility.</w:t>
      </w:r>
    </w:p>
    <w:p>
      <w:pPr>
        <w:keepNext/>
        <w:spacing w:before="80" w:after="40"/>
      </w:pPr>
      <w:r>
        <w:rPr>
          <w:b/>
          <w:color w:val="0F172A"/>
          <w:sz w:val="20"/>
        </w:rPr>
        <w:t>11. Security Controls and Operational Safeguards</w:t>
      </w:r>
    </w:p>
    <w:p>
      <w:pPr>
        <w:spacing w:before="0" w:after="50" w:line="252" w:lineRule="auto"/>
        <w:jc w:val="both"/>
      </w:pPr>
      <w:r>
        <w:rPr>
          <w:rFonts w:ascii="Calibri" w:hAnsi="Calibri"/>
          <w:color w:val="1E293B"/>
          <w:sz w:val="15"/>
        </w:rPr>
        <w:t>Input Sanitization Gateways: Domain queries are strictly checked against RFC 1035 hostname specifications. Submissions containing shell metacharacters (;&amp;|`$), path traversal markers, or URI schemes (http://) are rejected at the client gateway and server Pydantic validation boundary with HTTP 422, eliminating Server-Side Request Forgery (SSRF) and injection vectors. Passive Reconnaissance Guarantee: TRACE restricts network interactions to passive queries against third-party authoritative servers. No port scans, directory fuzzing, or active banner grabbing are ever executed against target infrastructure.</w:t>
      </w:r>
    </w:p>
    <w:p>
      <w:r>
        <w:br w:type="page"/>
      </w:r>
    </w:p>
    <w:p>
      <w:pPr>
        <w:keepNext/>
        <w:spacing w:before="80" w:after="40"/>
      </w:pPr>
      <w:r>
        <w:rPr>
          <w:b/>
          <w:color w:val="0F172A"/>
          <w:sz w:val="20"/>
        </w:rPr>
        <w:t>12. Implementation Methodology &amp; Engineering Execution</w:t>
      </w:r>
    </w:p>
    <w:p>
      <w:pPr>
        <w:spacing w:before="0" w:after="50" w:line="252" w:lineRule="auto"/>
        <w:jc w:val="both"/>
      </w:pPr>
      <w:r>
        <w:rPr>
          <w:rFonts w:ascii="Calibri" w:hAnsi="Calibri"/>
          <w:color w:val="1E293B"/>
          <w:sz w:val="15"/>
        </w:rPr>
        <w:t>The project was implemented under a rigorous Test-Driven Development (TDD) lifecycle on Linux x86_64. The backend leverages Python's non-blocking asyncio primitives to dispatch concurrent HTTP and DNS probes. The frontend is compiled as an optimized single-page static bundle and hosted directly via FastAPI mount points.</w:t>
      </w:r>
    </w:p>
    <w:p>
      <w:pPr>
        <w:keepNext/>
        <w:spacing w:before="80" w:after="40"/>
      </w:pPr>
      <w:r>
        <w:rPr>
          <w:b/>
          <w:color w:val="0F172A"/>
          <w:sz w:val="20"/>
        </w:rPr>
        <w:t>13. Automated Testing Procedure &amp; Test Matrix</w:t>
      </w:r>
    </w:p>
    <w:p>
      <w:pPr>
        <w:spacing w:before="0" w:after="50" w:line="252" w:lineRule="auto"/>
        <w:jc w:val="both"/>
      </w:pPr>
      <w:r>
        <w:rPr>
          <w:rFonts w:ascii="Calibri" w:hAnsi="Calibri"/>
          <w:color w:val="1E293B"/>
          <w:sz w:val="15"/>
        </w:rPr>
        <w:t>An automated test suite was constructed using pytest and httpx.AsyncClient, verifying all API endpoints, validation gates, error states, and database transaction integrity under simulated network conditions.</w:t>
      </w:r>
    </w:p>
    <w:tbl>
      <w:tblPr>
        <w:tblW w:type="auto" w:w="0"/>
        <w:jc w:val="center"/>
        <w:tblLook w:firstColumn="1" w:firstRow="1" w:lastColumn="0" w:lastRow="0" w:noHBand="0" w:noVBand="1" w:val="04A0"/>
      </w:tblPr>
      <w:tblGrid>
        <w:gridCol w:w="2189"/>
        <w:gridCol w:w="2189"/>
        <w:gridCol w:w="2189"/>
        <w:gridCol w:w="2189"/>
        <w:gridCol w:w="2189"/>
      </w:tblGrid>
      <w:tr>
        <w:tc>
          <w:tcPr>
            <w:tcW w:type="dxa" w:w="2189"/>
            <w:shd w:fill="0F172A"/>
            <w:tcMar>
              <w:top w:w="20" w:type="dxa"/>
              <w:bottom w:w="20" w:type="dxa"/>
              <w:left w:w="30" w:type="dxa"/>
              <w:right w:w="30" w:type="dxa"/>
            </w:tcMar>
          </w:tcPr>
          <w:p>
            <w:pPr>
              <w:spacing w:after="0"/>
            </w:pPr>
            <w:r>
              <w:rPr>
                <w:b/>
                <w:color w:val="FFFFFF"/>
                <w:sz w:val="14"/>
              </w:rPr>
              <w:t>Test ID</w:t>
            </w:r>
          </w:p>
        </w:tc>
        <w:tc>
          <w:tcPr>
            <w:tcW w:type="dxa" w:w="2189"/>
            <w:shd w:fill="0F172A"/>
            <w:tcMar>
              <w:top w:w="20" w:type="dxa"/>
              <w:bottom w:w="20" w:type="dxa"/>
              <w:left w:w="30" w:type="dxa"/>
              <w:right w:w="30" w:type="dxa"/>
            </w:tcMar>
          </w:tcPr>
          <w:p>
            <w:pPr>
              <w:spacing w:after="0"/>
            </w:pPr>
            <w:r>
              <w:rPr>
                <w:b/>
                <w:color w:val="FFFFFF"/>
                <w:sz w:val="14"/>
              </w:rPr>
              <w:t>Test Unit &amp; Description</w:t>
            </w:r>
          </w:p>
        </w:tc>
        <w:tc>
          <w:tcPr>
            <w:tcW w:type="dxa" w:w="2189"/>
            <w:shd w:fill="0F172A"/>
            <w:tcMar>
              <w:top w:w="20" w:type="dxa"/>
              <w:bottom w:w="20" w:type="dxa"/>
              <w:left w:w="30" w:type="dxa"/>
              <w:right w:w="30" w:type="dxa"/>
            </w:tcMar>
          </w:tcPr>
          <w:p>
            <w:pPr>
              <w:spacing w:after="0"/>
            </w:pPr>
            <w:r>
              <w:rPr>
                <w:b/>
                <w:color w:val="FFFFFF"/>
                <w:sz w:val="14"/>
              </w:rPr>
              <w:t>Input Parameters</w:t>
            </w:r>
          </w:p>
        </w:tc>
        <w:tc>
          <w:tcPr>
            <w:tcW w:type="dxa" w:w="2189"/>
            <w:shd w:fill="0F172A"/>
            <w:tcMar>
              <w:top w:w="20" w:type="dxa"/>
              <w:bottom w:w="20" w:type="dxa"/>
              <w:left w:w="30" w:type="dxa"/>
              <w:right w:w="30" w:type="dxa"/>
            </w:tcMar>
          </w:tcPr>
          <w:p>
            <w:pPr>
              <w:spacing w:after="0"/>
            </w:pPr>
            <w:r>
              <w:rPr>
                <w:b/>
                <w:color w:val="FFFFFF"/>
                <w:sz w:val="14"/>
              </w:rPr>
              <w:t>Observed Outcome</w:t>
            </w:r>
          </w:p>
        </w:tc>
        <w:tc>
          <w:tcPr>
            <w:tcW w:type="dxa" w:w="2189"/>
            <w:shd w:fill="0F172A"/>
            <w:tcMar>
              <w:top w:w="20" w:type="dxa"/>
              <w:bottom w:w="20" w:type="dxa"/>
              <w:left w:w="30" w:type="dxa"/>
              <w:right w:w="30" w:type="dxa"/>
            </w:tcMar>
          </w:tcPr>
          <w:p>
            <w:pPr>
              <w:spacing w:after="0"/>
            </w:pPr>
            <w:r>
              <w:rPr>
                <w:b/>
                <w:color w:val="FFFFFF"/>
                <w:sz w:val="14"/>
              </w:rPr>
              <w:t>Status</w:t>
            </w:r>
          </w:p>
        </w:tc>
      </w:tr>
      <w:tr>
        <w:tc>
          <w:tcPr>
            <w:tcW w:type="dxa" w:w="2189"/>
            <w:shd w:fill="FFFFFF"/>
            <w:tcMar>
              <w:top w:w="16" w:type="dxa"/>
              <w:bottom w:w="16" w:type="dxa"/>
              <w:left w:w="30" w:type="dxa"/>
              <w:right w:w="30" w:type="dxa"/>
            </w:tcMar>
          </w:tcPr>
          <w:p>
            <w:pPr>
              <w:spacing w:after="0"/>
            </w:pPr>
            <w:r>
              <w:rPr>
                <w:color w:val="0F172A"/>
                <w:sz w:val="14"/>
              </w:rPr>
              <w:t>TC-01</w:t>
            </w:r>
          </w:p>
        </w:tc>
        <w:tc>
          <w:tcPr>
            <w:tcW w:type="dxa" w:w="2189"/>
            <w:shd w:fill="FFFFFF"/>
            <w:tcMar>
              <w:top w:w="16" w:type="dxa"/>
              <w:bottom w:w="16" w:type="dxa"/>
              <w:left w:w="30" w:type="dxa"/>
              <w:right w:w="30" w:type="dxa"/>
            </w:tcMar>
          </w:tcPr>
          <w:p>
            <w:pPr>
              <w:spacing w:after="0"/>
            </w:pPr>
            <w:r>
              <w:rPr>
                <w:color w:val="0F172A"/>
                <w:sz w:val="14"/>
              </w:rPr>
              <w:t>API Health &amp; Subsystem Telemetry</w:t>
            </w:r>
          </w:p>
        </w:tc>
        <w:tc>
          <w:tcPr>
            <w:tcW w:type="dxa" w:w="2189"/>
            <w:shd w:fill="FFFFFF"/>
            <w:tcMar>
              <w:top w:w="16" w:type="dxa"/>
              <w:bottom w:w="16" w:type="dxa"/>
              <w:left w:w="30" w:type="dxa"/>
              <w:right w:w="30" w:type="dxa"/>
            </w:tcMar>
          </w:tcPr>
          <w:p>
            <w:pPr>
              <w:spacing w:after="0"/>
            </w:pPr>
            <w:r>
              <w:rPr>
                <w:color w:val="0F172A"/>
                <w:sz w:val="14"/>
              </w:rPr>
              <w:t>GET /api/health</w:t>
            </w:r>
          </w:p>
        </w:tc>
        <w:tc>
          <w:tcPr>
            <w:tcW w:type="dxa" w:w="2189"/>
            <w:shd w:fill="FFFFFF"/>
            <w:tcMar>
              <w:top w:w="16" w:type="dxa"/>
              <w:bottom w:w="16" w:type="dxa"/>
              <w:left w:w="30" w:type="dxa"/>
              <w:right w:w="30" w:type="dxa"/>
            </w:tcMar>
          </w:tcPr>
          <w:p>
            <w:pPr>
              <w:spacing w:after="0"/>
            </w:pPr>
            <w:r>
              <w:rPr>
                <w:color w:val="0F172A"/>
                <w:sz w:val="14"/>
              </w:rPr>
              <w:t>Status 200, engine: 'TRACE OSINT'</w:t>
            </w:r>
          </w:p>
        </w:tc>
        <w:tc>
          <w:tcPr>
            <w:tcW w:type="dxa" w:w="2189"/>
            <w:shd w:fill="FFFFFF"/>
            <w:tcMar>
              <w:top w:w="16" w:type="dxa"/>
              <w:bottom w:w="16" w:type="dxa"/>
              <w:left w:w="30" w:type="dxa"/>
              <w:right w:w="30" w:type="dxa"/>
            </w:tcMar>
          </w:tcPr>
          <w:p>
            <w:pPr>
              <w:spacing w:after="0"/>
            </w:pPr>
            <w:r>
              <w:rPr>
                <w:b/>
                <w:color w:val="15803D"/>
                <w:sz w:val="14"/>
              </w:rPr>
              <w:t>PASS</w:t>
            </w:r>
          </w:p>
        </w:tc>
      </w:tr>
      <w:tr>
        <w:tc>
          <w:tcPr>
            <w:tcW w:type="dxa" w:w="2189"/>
            <w:shd w:fill="F8FAFC"/>
            <w:tcMar>
              <w:top w:w="16" w:type="dxa"/>
              <w:bottom w:w="16" w:type="dxa"/>
              <w:left w:w="30" w:type="dxa"/>
              <w:right w:w="30" w:type="dxa"/>
            </w:tcMar>
          </w:tcPr>
          <w:p>
            <w:pPr>
              <w:spacing w:after="0"/>
            </w:pPr>
            <w:r>
              <w:rPr>
                <w:color w:val="0F172A"/>
                <w:sz w:val="14"/>
              </w:rPr>
              <w:t>TC-02</w:t>
            </w:r>
          </w:p>
        </w:tc>
        <w:tc>
          <w:tcPr>
            <w:tcW w:type="dxa" w:w="2189"/>
            <w:shd w:fill="F8FAFC"/>
            <w:tcMar>
              <w:top w:w="16" w:type="dxa"/>
              <w:bottom w:w="16" w:type="dxa"/>
              <w:left w:w="30" w:type="dxa"/>
              <w:right w:w="30" w:type="dxa"/>
            </w:tcMar>
          </w:tcPr>
          <w:p>
            <w:pPr>
              <w:spacing w:after="0"/>
            </w:pPr>
            <w:r>
              <w:rPr>
                <w:color w:val="0F172A"/>
                <w:sz w:val="14"/>
              </w:rPr>
              <w:t>Dashboard Telemetry Counter</w:t>
            </w:r>
          </w:p>
        </w:tc>
        <w:tc>
          <w:tcPr>
            <w:tcW w:type="dxa" w:w="2189"/>
            <w:shd w:fill="F8FAFC"/>
            <w:tcMar>
              <w:top w:w="16" w:type="dxa"/>
              <w:bottom w:w="16" w:type="dxa"/>
              <w:left w:w="30" w:type="dxa"/>
              <w:right w:w="30" w:type="dxa"/>
            </w:tcMar>
          </w:tcPr>
          <w:p>
            <w:pPr>
              <w:spacing w:after="0"/>
            </w:pPr>
            <w:r>
              <w:rPr>
                <w:color w:val="0F172A"/>
                <w:sz w:val="14"/>
              </w:rPr>
              <w:t>GET /api/stats</w:t>
            </w:r>
          </w:p>
        </w:tc>
        <w:tc>
          <w:tcPr>
            <w:tcW w:type="dxa" w:w="2189"/>
            <w:shd w:fill="F8FAFC"/>
            <w:tcMar>
              <w:top w:w="16" w:type="dxa"/>
              <w:bottom w:w="16" w:type="dxa"/>
              <w:left w:w="30" w:type="dxa"/>
              <w:right w:w="30" w:type="dxa"/>
            </w:tcMar>
          </w:tcPr>
          <w:p>
            <w:pPr>
              <w:spacing w:after="0"/>
            </w:pPr>
            <w:r>
              <w:rPr>
                <w:color w:val="0F172A"/>
                <w:sz w:val="14"/>
              </w:rPr>
              <w:t>Status 200, valid counts &amp; history list</w:t>
            </w:r>
          </w:p>
        </w:tc>
        <w:tc>
          <w:tcPr>
            <w:tcW w:type="dxa" w:w="2189"/>
            <w:shd w:fill="F8FAFC"/>
            <w:tcMar>
              <w:top w:w="16" w:type="dxa"/>
              <w:bottom w:w="16" w:type="dxa"/>
              <w:left w:w="30" w:type="dxa"/>
              <w:right w:w="30" w:type="dxa"/>
            </w:tcMar>
          </w:tcPr>
          <w:p>
            <w:pPr>
              <w:spacing w:after="0"/>
            </w:pPr>
            <w:r>
              <w:rPr>
                <w:b/>
                <w:color w:val="15803D"/>
                <w:sz w:val="14"/>
              </w:rPr>
              <w:t>PASS</w:t>
            </w:r>
          </w:p>
        </w:tc>
      </w:tr>
      <w:tr>
        <w:tc>
          <w:tcPr>
            <w:tcW w:type="dxa" w:w="2189"/>
            <w:shd w:fill="FFFFFF"/>
            <w:tcMar>
              <w:top w:w="16" w:type="dxa"/>
              <w:bottom w:w="16" w:type="dxa"/>
              <w:left w:w="30" w:type="dxa"/>
              <w:right w:w="30" w:type="dxa"/>
            </w:tcMar>
          </w:tcPr>
          <w:p>
            <w:pPr>
              <w:spacing w:after="0"/>
            </w:pPr>
            <w:r>
              <w:rPr>
                <w:color w:val="0F172A"/>
                <w:sz w:val="14"/>
              </w:rPr>
              <w:t>TC-03</w:t>
            </w:r>
          </w:p>
        </w:tc>
        <w:tc>
          <w:tcPr>
            <w:tcW w:type="dxa" w:w="2189"/>
            <w:shd w:fill="FFFFFF"/>
            <w:tcMar>
              <w:top w:w="16" w:type="dxa"/>
              <w:bottom w:w="16" w:type="dxa"/>
              <w:left w:w="30" w:type="dxa"/>
              <w:right w:w="30" w:type="dxa"/>
            </w:tcMar>
          </w:tcPr>
          <w:p>
            <w:pPr>
              <w:spacing w:after="0"/>
            </w:pPr>
            <w:r>
              <w:rPr>
                <w:color w:val="0F172A"/>
                <w:sz w:val="14"/>
              </w:rPr>
              <w:t>Username Investigation Dispatch</w:t>
            </w:r>
          </w:p>
        </w:tc>
        <w:tc>
          <w:tcPr>
            <w:tcW w:type="dxa" w:w="2189"/>
            <w:shd w:fill="FFFFFF"/>
            <w:tcMar>
              <w:top w:w="16" w:type="dxa"/>
              <w:bottom w:w="16" w:type="dxa"/>
              <w:left w:w="30" w:type="dxa"/>
              <w:right w:w="30" w:type="dxa"/>
            </w:tcMar>
          </w:tcPr>
          <w:p>
            <w:pPr>
              <w:spacing w:after="0"/>
            </w:pPr>
            <w:r>
              <w:rPr>
                <w:color w:val="0F172A"/>
                <w:sz w:val="14"/>
              </w:rPr>
              <w:t>POST {'username': 'test'}</w:t>
            </w:r>
          </w:p>
        </w:tc>
        <w:tc>
          <w:tcPr>
            <w:tcW w:type="dxa" w:w="2189"/>
            <w:shd w:fill="FFFFFF"/>
            <w:tcMar>
              <w:top w:w="16" w:type="dxa"/>
              <w:bottom w:w="16" w:type="dxa"/>
              <w:left w:w="30" w:type="dxa"/>
              <w:right w:w="30" w:type="dxa"/>
            </w:tcMar>
          </w:tcPr>
          <w:p>
            <w:pPr>
              <w:spacing w:after="0"/>
            </w:pPr>
            <w:r>
              <w:rPr>
                <w:color w:val="0F172A"/>
                <w:sz w:val="14"/>
              </w:rPr>
              <w:t>Status 200, 10 findings categorized</w:t>
            </w:r>
          </w:p>
        </w:tc>
        <w:tc>
          <w:tcPr>
            <w:tcW w:type="dxa" w:w="2189"/>
            <w:shd w:fill="FFFFFF"/>
            <w:tcMar>
              <w:top w:w="16" w:type="dxa"/>
              <w:bottom w:w="16" w:type="dxa"/>
              <w:left w:w="30" w:type="dxa"/>
              <w:right w:w="30" w:type="dxa"/>
            </w:tcMar>
          </w:tcPr>
          <w:p>
            <w:pPr>
              <w:spacing w:after="0"/>
            </w:pPr>
            <w:r>
              <w:rPr>
                <w:b/>
                <w:color w:val="15803D"/>
                <w:sz w:val="14"/>
              </w:rPr>
              <w:t>PASS</w:t>
            </w:r>
          </w:p>
        </w:tc>
      </w:tr>
      <w:tr>
        <w:tc>
          <w:tcPr>
            <w:tcW w:type="dxa" w:w="2189"/>
            <w:shd w:fill="F8FAFC"/>
            <w:tcMar>
              <w:top w:w="16" w:type="dxa"/>
              <w:bottom w:w="16" w:type="dxa"/>
              <w:left w:w="30" w:type="dxa"/>
              <w:right w:w="30" w:type="dxa"/>
            </w:tcMar>
          </w:tcPr>
          <w:p>
            <w:pPr>
              <w:spacing w:after="0"/>
            </w:pPr>
            <w:r>
              <w:rPr>
                <w:color w:val="0F172A"/>
                <w:sz w:val="14"/>
              </w:rPr>
              <w:t>TC-04</w:t>
            </w:r>
          </w:p>
        </w:tc>
        <w:tc>
          <w:tcPr>
            <w:tcW w:type="dxa" w:w="2189"/>
            <w:shd w:fill="F8FAFC"/>
            <w:tcMar>
              <w:top w:w="16" w:type="dxa"/>
              <w:bottom w:w="16" w:type="dxa"/>
              <w:left w:w="30" w:type="dxa"/>
              <w:right w:w="30" w:type="dxa"/>
            </w:tcMar>
          </w:tcPr>
          <w:p>
            <w:pPr>
              <w:spacing w:after="0"/>
            </w:pPr>
            <w:r>
              <w:rPr>
                <w:color w:val="0F172A"/>
                <w:sz w:val="14"/>
              </w:rPr>
              <w:t>Input Validation: Empty Target</w:t>
            </w:r>
          </w:p>
        </w:tc>
        <w:tc>
          <w:tcPr>
            <w:tcW w:type="dxa" w:w="2189"/>
            <w:shd w:fill="F8FAFC"/>
            <w:tcMar>
              <w:top w:w="16" w:type="dxa"/>
              <w:bottom w:w="16" w:type="dxa"/>
              <w:left w:w="30" w:type="dxa"/>
              <w:right w:w="30" w:type="dxa"/>
            </w:tcMar>
          </w:tcPr>
          <w:p>
            <w:pPr>
              <w:spacing w:after="0"/>
            </w:pPr>
            <w:r>
              <w:rPr>
                <w:color w:val="0F172A"/>
                <w:sz w:val="14"/>
              </w:rPr>
              <w:t>POST {'username': '  '}</w:t>
            </w:r>
          </w:p>
        </w:tc>
        <w:tc>
          <w:tcPr>
            <w:tcW w:type="dxa" w:w="2189"/>
            <w:shd w:fill="F8FAFC"/>
            <w:tcMar>
              <w:top w:w="16" w:type="dxa"/>
              <w:bottom w:w="16" w:type="dxa"/>
              <w:left w:w="30" w:type="dxa"/>
              <w:right w:w="30" w:type="dxa"/>
            </w:tcMar>
          </w:tcPr>
          <w:p>
            <w:pPr>
              <w:spacing w:after="0"/>
            </w:pPr>
            <w:r>
              <w:rPr>
                <w:color w:val="0F172A"/>
                <w:sz w:val="14"/>
              </w:rPr>
              <w:t>Status 422 Unprocessable Entity</w:t>
            </w:r>
          </w:p>
        </w:tc>
        <w:tc>
          <w:tcPr>
            <w:tcW w:type="dxa" w:w="2189"/>
            <w:shd w:fill="F8FAFC"/>
            <w:tcMar>
              <w:top w:w="16" w:type="dxa"/>
              <w:bottom w:w="16" w:type="dxa"/>
              <w:left w:w="30" w:type="dxa"/>
              <w:right w:w="30" w:type="dxa"/>
            </w:tcMar>
          </w:tcPr>
          <w:p>
            <w:pPr>
              <w:spacing w:after="0"/>
            </w:pPr>
            <w:r>
              <w:rPr>
                <w:b/>
                <w:color w:val="15803D"/>
                <w:sz w:val="14"/>
              </w:rPr>
              <w:t>PASS</w:t>
            </w:r>
          </w:p>
        </w:tc>
      </w:tr>
      <w:tr>
        <w:tc>
          <w:tcPr>
            <w:tcW w:type="dxa" w:w="2189"/>
            <w:shd w:fill="FFFFFF"/>
            <w:tcMar>
              <w:top w:w="16" w:type="dxa"/>
              <w:bottom w:w="16" w:type="dxa"/>
              <w:left w:w="30" w:type="dxa"/>
              <w:right w:w="30" w:type="dxa"/>
            </w:tcMar>
          </w:tcPr>
          <w:p>
            <w:pPr>
              <w:spacing w:after="0"/>
            </w:pPr>
            <w:r>
              <w:rPr>
                <w:color w:val="0F172A"/>
                <w:sz w:val="14"/>
              </w:rPr>
              <w:t>TC-05</w:t>
            </w:r>
          </w:p>
        </w:tc>
        <w:tc>
          <w:tcPr>
            <w:tcW w:type="dxa" w:w="2189"/>
            <w:shd w:fill="FFFFFF"/>
            <w:tcMar>
              <w:top w:w="16" w:type="dxa"/>
              <w:bottom w:w="16" w:type="dxa"/>
              <w:left w:w="30" w:type="dxa"/>
              <w:right w:w="30" w:type="dxa"/>
            </w:tcMar>
          </w:tcPr>
          <w:p>
            <w:pPr>
              <w:spacing w:after="0"/>
            </w:pPr>
            <w:r>
              <w:rPr>
                <w:color w:val="0F172A"/>
                <w:sz w:val="14"/>
              </w:rPr>
              <w:t>Domain DNS &amp; RDAP Resolution</w:t>
            </w:r>
          </w:p>
        </w:tc>
        <w:tc>
          <w:tcPr>
            <w:tcW w:type="dxa" w:w="2189"/>
            <w:shd w:fill="FFFFFF"/>
            <w:tcMar>
              <w:top w:w="16" w:type="dxa"/>
              <w:bottom w:w="16" w:type="dxa"/>
              <w:left w:w="30" w:type="dxa"/>
              <w:right w:w="30" w:type="dxa"/>
            </w:tcMar>
          </w:tcPr>
          <w:p>
            <w:pPr>
              <w:spacing w:after="0"/>
            </w:pPr>
            <w:r>
              <w:rPr>
                <w:color w:val="0F172A"/>
                <w:sz w:val="14"/>
              </w:rPr>
              <w:t>POST {'domain': 'example.com'}</w:t>
            </w:r>
          </w:p>
        </w:tc>
        <w:tc>
          <w:tcPr>
            <w:tcW w:type="dxa" w:w="2189"/>
            <w:shd w:fill="FFFFFF"/>
            <w:tcMar>
              <w:top w:w="16" w:type="dxa"/>
              <w:bottom w:w="16" w:type="dxa"/>
              <w:left w:w="30" w:type="dxa"/>
              <w:right w:w="30" w:type="dxa"/>
            </w:tcMar>
          </w:tcPr>
          <w:p>
            <w:pPr>
              <w:spacing w:after="0"/>
            </w:pPr>
            <w:r>
              <w:rPr>
                <w:color w:val="0F172A"/>
                <w:sz w:val="14"/>
              </w:rPr>
              <w:t>Status 200, valid A &amp; NS records</w:t>
            </w:r>
          </w:p>
        </w:tc>
        <w:tc>
          <w:tcPr>
            <w:tcW w:type="dxa" w:w="2189"/>
            <w:shd w:fill="FFFFFF"/>
            <w:tcMar>
              <w:top w:w="16" w:type="dxa"/>
              <w:bottom w:w="16" w:type="dxa"/>
              <w:left w:w="30" w:type="dxa"/>
              <w:right w:w="30" w:type="dxa"/>
            </w:tcMar>
          </w:tcPr>
          <w:p>
            <w:pPr>
              <w:spacing w:after="0"/>
            </w:pPr>
            <w:r>
              <w:rPr>
                <w:b/>
                <w:color w:val="15803D"/>
                <w:sz w:val="14"/>
              </w:rPr>
              <w:t>PASS</w:t>
            </w:r>
          </w:p>
        </w:tc>
      </w:tr>
      <w:tr>
        <w:tc>
          <w:tcPr>
            <w:tcW w:type="dxa" w:w="2189"/>
            <w:shd w:fill="F8FAFC"/>
            <w:tcMar>
              <w:top w:w="16" w:type="dxa"/>
              <w:bottom w:w="16" w:type="dxa"/>
              <w:left w:w="30" w:type="dxa"/>
              <w:right w:w="30" w:type="dxa"/>
            </w:tcMar>
          </w:tcPr>
          <w:p>
            <w:pPr>
              <w:spacing w:after="0"/>
            </w:pPr>
            <w:r>
              <w:rPr>
                <w:color w:val="0F172A"/>
                <w:sz w:val="14"/>
              </w:rPr>
              <w:t>TC-06</w:t>
            </w:r>
          </w:p>
        </w:tc>
        <w:tc>
          <w:tcPr>
            <w:tcW w:type="dxa" w:w="2189"/>
            <w:shd w:fill="F8FAFC"/>
            <w:tcMar>
              <w:top w:w="16" w:type="dxa"/>
              <w:bottom w:w="16" w:type="dxa"/>
              <w:left w:w="30" w:type="dxa"/>
              <w:right w:w="30" w:type="dxa"/>
            </w:tcMar>
          </w:tcPr>
          <w:p>
            <w:pPr>
              <w:spacing w:after="0"/>
            </w:pPr>
            <w:r>
              <w:rPr>
                <w:color w:val="0F172A"/>
                <w:sz w:val="14"/>
              </w:rPr>
              <w:t>Investigation History Audit Trail</w:t>
            </w:r>
          </w:p>
        </w:tc>
        <w:tc>
          <w:tcPr>
            <w:tcW w:type="dxa" w:w="2189"/>
            <w:shd w:fill="F8FAFC"/>
            <w:tcMar>
              <w:top w:w="16" w:type="dxa"/>
              <w:bottom w:w="16" w:type="dxa"/>
              <w:left w:w="30" w:type="dxa"/>
              <w:right w:w="30" w:type="dxa"/>
            </w:tcMar>
          </w:tcPr>
          <w:p>
            <w:pPr>
              <w:spacing w:after="0"/>
            </w:pPr>
            <w:r>
              <w:rPr>
                <w:color w:val="0F172A"/>
                <w:sz w:val="14"/>
              </w:rPr>
              <w:t>GET /api/history</w:t>
            </w:r>
          </w:p>
        </w:tc>
        <w:tc>
          <w:tcPr>
            <w:tcW w:type="dxa" w:w="2189"/>
            <w:shd w:fill="F8FAFC"/>
            <w:tcMar>
              <w:top w:w="16" w:type="dxa"/>
              <w:bottom w:w="16" w:type="dxa"/>
              <w:left w:w="30" w:type="dxa"/>
              <w:right w:w="30" w:type="dxa"/>
            </w:tcMar>
          </w:tcPr>
          <w:p>
            <w:pPr>
              <w:spacing w:after="0"/>
            </w:pPr>
            <w:r>
              <w:rPr>
                <w:color w:val="0F172A"/>
                <w:sz w:val="14"/>
              </w:rPr>
              <w:t>Status 200, JSON list of investigations</w:t>
            </w:r>
          </w:p>
        </w:tc>
        <w:tc>
          <w:tcPr>
            <w:tcW w:type="dxa" w:w="2189"/>
            <w:shd w:fill="F8FAFC"/>
            <w:tcMar>
              <w:top w:w="16" w:type="dxa"/>
              <w:bottom w:w="16" w:type="dxa"/>
              <w:left w:w="30" w:type="dxa"/>
              <w:right w:w="30" w:type="dxa"/>
            </w:tcMar>
          </w:tcPr>
          <w:p>
            <w:pPr>
              <w:spacing w:after="0"/>
            </w:pPr>
            <w:r>
              <w:rPr>
                <w:b/>
                <w:color w:val="15803D"/>
                <w:sz w:val="14"/>
              </w:rPr>
              <w:t>PASS</w:t>
            </w:r>
          </w:p>
        </w:tc>
      </w:tr>
      <w:tr>
        <w:tc>
          <w:tcPr>
            <w:tcW w:type="dxa" w:w="2189"/>
            <w:shd w:fill="FFFFFF"/>
            <w:tcMar>
              <w:top w:w="16" w:type="dxa"/>
              <w:bottom w:w="16" w:type="dxa"/>
              <w:left w:w="30" w:type="dxa"/>
              <w:right w:w="30" w:type="dxa"/>
            </w:tcMar>
          </w:tcPr>
          <w:p>
            <w:pPr>
              <w:spacing w:after="0"/>
            </w:pPr>
            <w:r>
              <w:rPr>
                <w:color w:val="0F172A"/>
                <w:sz w:val="14"/>
              </w:rPr>
              <w:t>TC-07</w:t>
            </w:r>
          </w:p>
        </w:tc>
        <w:tc>
          <w:tcPr>
            <w:tcW w:type="dxa" w:w="2189"/>
            <w:shd w:fill="FFFFFF"/>
            <w:tcMar>
              <w:top w:w="16" w:type="dxa"/>
              <w:bottom w:w="16" w:type="dxa"/>
              <w:left w:w="30" w:type="dxa"/>
              <w:right w:w="30" w:type="dxa"/>
            </w:tcMar>
          </w:tcPr>
          <w:p>
            <w:pPr>
              <w:spacing w:after="0"/>
            </w:pPr>
            <w:r>
              <w:rPr>
                <w:color w:val="0F172A"/>
                <w:sz w:val="14"/>
              </w:rPr>
              <w:t>PDF Report Export Verification</w:t>
            </w:r>
          </w:p>
        </w:tc>
        <w:tc>
          <w:tcPr>
            <w:tcW w:type="dxa" w:w="2189"/>
            <w:shd w:fill="FFFFFF"/>
            <w:tcMar>
              <w:top w:w="16" w:type="dxa"/>
              <w:bottom w:w="16" w:type="dxa"/>
              <w:left w:w="30" w:type="dxa"/>
              <w:right w:w="30" w:type="dxa"/>
            </w:tcMar>
          </w:tcPr>
          <w:p>
            <w:pPr>
              <w:spacing w:after="0"/>
            </w:pPr>
            <w:r>
              <w:rPr>
                <w:color w:val="0F172A"/>
                <w:sz w:val="14"/>
              </w:rPr>
              <w:t>GET /api/reports/pdf/1</w:t>
            </w:r>
          </w:p>
        </w:tc>
        <w:tc>
          <w:tcPr>
            <w:tcW w:type="dxa" w:w="2189"/>
            <w:shd w:fill="FFFFFF"/>
            <w:tcMar>
              <w:top w:w="16" w:type="dxa"/>
              <w:bottom w:w="16" w:type="dxa"/>
              <w:left w:w="30" w:type="dxa"/>
              <w:right w:w="30" w:type="dxa"/>
            </w:tcMar>
          </w:tcPr>
          <w:p>
            <w:pPr>
              <w:spacing w:after="0"/>
            </w:pPr>
            <w:r>
              <w:rPr>
                <w:color w:val="0F172A"/>
                <w:sz w:val="14"/>
              </w:rPr>
              <w:t>Status 200, application/pdf MIME</w:t>
            </w:r>
          </w:p>
        </w:tc>
        <w:tc>
          <w:tcPr>
            <w:tcW w:type="dxa" w:w="2189"/>
            <w:shd w:fill="FFFFFF"/>
            <w:tcMar>
              <w:top w:w="16" w:type="dxa"/>
              <w:bottom w:w="16" w:type="dxa"/>
              <w:left w:w="30" w:type="dxa"/>
              <w:right w:w="30" w:type="dxa"/>
            </w:tcMar>
          </w:tcPr>
          <w:p>
            <w:pPr>
              <w:spacing w:after="0"/>
            </w:pPr>
            <w:r>
              <w:rPr>
                <w:b/>
                <w:color w:val="15803D"/>
                <w:sz w:val="14"/>
              </w:rPr>
              <w:t>PASS</w:t>
            </w:r>
          </w:p>
        </w:tc>
      </w:tr>
      <w:tr>
        <w:tc>
          <w:tcPr>
            <w:tcW w:type="dxa" w:w="2189"/>
            <w:shd w:fill="F8FAFC"/>
            <w:tcMar>
              <w:top w:w="16" w:type="dxa"/>
              <w:bottom w:w="16" w:type="dxa"/>
              <w:left w:w="30" w:type="dxa"/>
              <w:right w:w="30" w:type="dxa"/>
            </w:tcMar>
          </w:tcPr>
          <w:p>
            <w:pPr>
              <w:spacing w:after="0"/>
            </w:pPr>
            <w:r>
              <w:rPr>
                <w:color w:val="0F172A"/>
                <w:sz w:val="14"/>
              </w:rPr>
              <w:t>TC-08</w:t>
            </w:r>
          </w:p>
        </w:tc>
        <w:tc>
          <w:tcPr>
            <w:tcW w:type="dxa" w:w="2189"/>
            <w:shd w:fill="F8FAFC"/>
            <w:tcMar>
              <w:top w:w="16" w:type="dxa"/>
              <w:bottom w:w="16" w:type="dxa"/>
              <w:left w:w="30" w:type="dxa"/>
              <w:right w:w="30" w:type="dxa"/>
            </w:tcMar>
          </w:tcPr>
          <w:p>
            <w:pPr>
              <w:spacing w:after="0"/>
            </w:pPr>
            <w:r>
              <w:rPr>
                <w:color w:val="0F172A"/>
                <w:sz w:val="14"/>
              </w:rPr>
              <w:t>CSV Structured Export Verification</w:t>
            </w:r>
          </w:p>
        </w:tc>
        <w:tc>
          <w:tcPr>
            <w:tcW w:type="dxa" w:w="2189"/>
            <w:shd w:fill="F8FAFC"/>
            <w:tcMar>
              <w:top w:w="16" w:type="dxa"/>
              <w:bottom w:w="16" w:type="dxa"/>
              <w:left w:w="30" w:type="dxa"/>
              <w:right w:w="30" w:type="dxa"/>
            </w:tcMar>
          </w:tcPr>
          <w:p>
            <w:pPr>
              <w:spacing w:after="0"/>
            </w:pPr>
            <w:r>
              <w:rPr>
                <w:color w:val="0F172A"/>
                <w:sz w:val="14"/>
              </w:rPr>
              <w:t>GET /api/reports/csv/1</w:t>
            </w:r>
          </w:p>
        </w:tc>
        <w:tc>
          <w:tcPr>
            <w:tcW w:type="dxa" w:w="2189"/>
            <w:shd w:fill="F8FAFC"/>
            <w:tcMar>
              <w:top w:w="16" w:type="dxa"/>
              <w:bottom w:w="16" w:type="dxa"/>
              <w:left w:w="30" w:type="dxa"/>
              <w:right w:w="30" w:type="dxa"/>
            </w:tcMar>
          </w:tcPr>
          <w:p>
            <w:pPr>
              <w:spacing w:after="0"/>
            </w:pPr>
            <w:r>
              <w:rPr>
                <w:color w:val="0F172A"/>
                <w:sz w:val="14"/>
              </w:rPr>
              <w:t>Status 200, text/csv MIME, valid rows</w:t>
            </w:r>
          </w:p>
        </w:tc>
        <w:tc>
          <w:tcPr>
            <w:tcW w:type="dxa" w:w="2189"/>
            <w:shd w:fill="F8FAFC"/>
            <w:tcMar>
              <w:top w:w="16" w:type="dxa"/>
              <w:bottom w:w="16" w:type="dxa"/>
              <w:left w:w="30" w:type="dxa"/>
              <w:right w:w="30" w:type="dxa"/>
            </w:tcMar>
          </w:tcPr>
          <w:p>
            <w:pPr>
              <w:spacing w:after="0"/>
            </w:pPr>
            <w:r>
              <w:rPr>
                <w:b/>
                <w:color w:val="15803D"/>
                <w:sz w:val="14"/>
              </w:rPr>
              <w:t>PASS</w:t>
            </w:r>
          </w:p>
        </w:tc>
      </w:tr>
    </w:tbl>
    <w:p>
      <w:pPr>
        <w:keepNext/>
        <w:spacing w:before="80" w:after="40"/>
      </w:pPr>
      <w:r>
        <w:rPr>
          <w:b/>
          <w:color w:val="0F172A"/>
          <w:sz w:val="20"/>
        </w:rPr>
        <w:t>14. Genuine Application Screenshots &amp; Verification Evidence</w:t>
      </w:r>
    </w:p>
    <w:p>
      <w:pPr>
        <w:spacing w:before="0" w:after="50" w:line="252" w:lineRule="auto"/>
        <w:jc w:val="both"/>
      </w:pPr>
      <w:r>
        <w:rPr>
          <w:rFonts w:ascii="Calibri" w:hAnsi="Calibri"/>
          <w:color w:val="1E293B"/>
          <w:sz w:val="15"/>
        </w:rPr>
        <w:t>Screenshots were captured directly from the live TRACE instance executing on the host workstation via headless Chromium browser:</w:t>
      </w:r>
    </w:p>
    <w:tbl>
      <w:tblPr>
        <w:tblW w:type="auto" w:w="0"/>
        <w:jc w:val="center"/>
        <w:tblLook w:firstColumn="1" w:firstRow="1" w:lastColumn="0" w:lastRow="0" w:noHBand="0" w:noVBand="1" w:val="04A0"/>
      </w:tblPr>
      <w:tblGrid>
        <w:gridCol w:w="5472"/>
        <w:gridCol w:w="5472"/>
      </w:tblGrid>
      <w:tr>
        <w:tc>
          <w:tcPr>
            <w:tcW w:type="dxa" w:w="5472"/>
            <w:shd w:fill="F1F5F9"/>
            <w:tcMar>
              <w:top w:w="15" w:type="dxa"/>
              <w:bottom w:w="15" w:type="dxa"/>
              <w:left w:w="30" w:type="dxa"/>
              <w:right w:w="30" w:type="dxa"/>
            </w:tcMar>
          </w:tcPr>
          <w:p>
            <w:pPr>
              <w:spacing w:after="0"/>
            </w:pPr>
            <w:r>
              <w:rPr>
                <w:b/>
                <w:color w:val="0F172A"/>
                <w:sz w:val="13"/>
              </w:rPr>
              <w:t>Figure 1: Operational Dashboard (Live Telemetry &amp; Audit Log)</w:t>
            </w:r>
          </w:p>
        </w:tc>
        <w:tc>
          <w:tcPr>
            <w:tcW w:type="dxa" w:w="5472"/>
            <w:shd w:fill="F1F5F9"/>
            <w:tcMar>
              <w:top w:w="15" w:type="dxa"/>
              <w:bottom w:w="15" w:type="dxa"/>
              <w:left w:w="30" w:type="dxa"/>
              <w:right w:w="30" w:type="dxa"/>
            </w:tcMar>
          </w:tcPr>
          <w:p>
            <w:pPr>
              <w:spacing w:after="0"/>
            </w:pPr>
            <w:r>
              <w:rPr>
                <w:b/>
                <w:color w:val="0F172A"/>
                <w:sz w:val="13"/>
              </w:rPr>
              <w:t>Figure 2: Username OSINT Results (Target: @fardeenakmal)</w:t>
            </w:r>
          </w:p>
        </w:tc>
      </w:tr>
      <w:tr>
        <w:tc>
          <w:tcPr>
            <w:tcW w:type="dxa" w:w="5472"/>
            <w:tcMar>
              <w:top w:w="15" w:type="dxa"/>
              <w:bottom w:w="15" w:type="dxa"/>
              <w:left w:w="30" w:type="dxa"/>
              <w:right w:w="30" w:type="dxa"/>
            </w:tcMar>
          </w:tcPr>
          <w:p>
            <w:pPr>
              <w:spacing w:after="0"/>
              <w:jc w:val="center"/>
            </w:pPr>
            <w:r>
              <w:drawing>
                <wp:inline xmlns:a="http://schemas.openxmlformats.org/drawingml/2006/main" xmlns:pic="http://schemas.openxmlformats.org/drawingml/2006/picture">
                  <wp:extent cx="3154680" cy="1773641"/>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3154680" cy="1773641"/>
                          </a:xfrm>
                          <a:prstGeom prst="rect"/>
                        </pic:spPr>
                      </pic:pic>
                    </a:graphicData>
                  </a:graphic>
                </wp:inline>
              </w:drawing>
            </w:r>
          </w:p>
        </w:tc>
        <w:tc>
          <w:tcPr>
            <w:tcW w:type="dxa" w:w="5472"/>
            <w:tcMar>
              <w:top w:w="15" w:type="dxa"/>
              <w:bottom w:w="15" w:type="dxa"/>
              <w:left w:w="30" w:type="dxa"/>
              <w:right w:w="30" w:type="dxa"/>
            </w:tcMar>
          </w:tcPr>
          <w:p>
            <w:pPr>
              <w:spacing w:after="0"/>
              <w:jc w:val="center"/>
            </w:pPr>
            <w:r>
              <w:drawing>
                <wp:inline xmlns:a="http://schemas.openxmlformats.org/drawingml/2006/main" xmlns:pic="http://schemas.openxmlformats.org/drawingml/2006/picture">
                  <wp:extent cx="3154680" cy="1847543"/>
                  <wp:docPr id="2" name="Picture 2"/>
                  <wp:cNvGraphicFramePr>
                    <a:graphicFrameLocks noChangeAspect="1"/>
                  </wp:cNvGraphicFramePr>
                  <a:graphic>
                    <a:graphicData uri="http://schemas.openxmlformats.org/drawingml/2006/picture">
                      <pic:pic>
                        <pic:nvPicPr>
                          <pic:cNvPr id="0" name="02-username-investigation.png"/>
                          <pic:cNvPicPr/>
                        </pic:nvPicPr>
                        <pic:blipFill>
                          <a:blip r:embed="rId12"/>
                          <a:stretch>
                            <a:fillRect/>
                          </a:stretch>
                        </pic:blipFill>
                        <pic:spPr>
                          <a:xfrm>
                            <a:off x="0" y="0"/>
                            <a:ext cx="3154680" cy="1847543"/>
                          </a:xfrm>
                          <a:prstGeom prst="rect"/>
                        </pic:spPr>
                      </pic:pic>
                    </a:graphicData>
                  </a:graphic>
                </wp:inline>
              </w:drawing>
            </w:r>
          </w:p>
        </w:tc>
      </w:tr>
      <w:tr>
        <w:tc>
          <w:tcPr>
            <w:tcW w:type="dxa" w:w="5472"/>
            <w:shd w:fill="F1F5F9"/>
            <w:tcMar>
              <w:top w:w="15" w:type="dxa"/>
              <w:bottom w:w="15" w:type="dxa"/>
              <w:left w:w="30" w:type="dxa"/>
              <w:right w:w="30" w:type="dxa"/>
            </w:tcMar>
          </w:tcPr>
          <w:p>
            <w:pPr>
              <w:spacing w:after="0"/>
            </w:pPr>
            <w:r>
              <w:rPr>
                <w:b/>
                <w:color w:val="0F172A"/>
                <w:sz w:val="13"/>
              </w:rPr>
              <w:t>Figure 3: Domain Intelligence (example.com RDAP/DNS)</w:t>
            </w:r>
          </w:p>
        </w:tc>
        <w:tc>
          <w:tcPr>
            <w:tcW w:type="dxa" w:w="5472"/>
            <w:shd w:fill="F1F5F9"/>
            <w:tcMar>
              <w:top w:w="15" w:type="dxa"/>
              <w:bottom w:w="15" w:type="dxa"/>
              <w:left w:w="30" w:type="dxa"/>
              <w:right w:w="30" w:type="dxa"/>
            </w:tcMar>
          </w:tcPr>
          <w:p>
            <w:pPr>
              <w:spacing w:after="0"/>
            </w:pPr>
            <w:r>
              <w:rPr>
                <w:b/>
                <w:color w:val="0F172A"/>
                <w:sz w:val="13"/>
              </w:rPr>
              <w:t>Figure 4: Audit Dossier Preview &amp; Export Modal</w:t>
            </w:r>
          </w:p>
        </w:tc>
      </w:tr>
      <w:tr>
        <w:tc>
          <w:tcPr>
            <w:tcW w:type="dxa" w:w="5472"/>
            <w:tcMar>
              <w:top w:w="15" w:type="dxa"/>
              <w:bottom w:w="15" w:type="dxa"/>
              <w:left w:w="30" w:type="dxa"/>
              <w:right w:w="30" w:type="dxa"/>
            </w:tcMar>
          </w:tcPr>
          <w:p>
            <w:pPr>
              <w:spacing w:after="0"/>
              <w:jc w:val="center"/>
            </w:pPr>
            <w:r>
              <w:drawing>
                <wp:inline xmlns:a="http://schemas.openxmlformats.org/drawingml/2006/main" xmlns:pic="http://schemas.openxmlformats.org/drawingml/2006/picture">
                  <wp:extent cx="3154680" cy="1963015"/>
                  <wp:docPr id="3" name="Picture 3"/>
                  <wp:cNvGraphicFramePr>
                    <a:graphicFrameLocks noChangeAspect="1"/>
                  </wp:cNvGraphicFramePr>
                  <a:graphic>
                    <a:graphicData uri="http://schemas.openxmlformats.org/drawingml/2006/picture">
                      <pic:pic>
                        <pic:nvPicPr>
                          <pic:cNvPr id="0" name="03-domain-intelligence.png"/>
                          <pic:cNvPicPr/>
                        </pic:nvPicPr>
                        <pic:blipFill>
                          <a:blip r:embed="rId13"/>
                          <a:stretch>
                            <a:fillRect/>
                          </a:stretch>
                        </pic:blipFill>
                        <pic:spPr>
                          <a:xfrm>
                            <a:off x="0" y="0"/>
                            <a:ext cx="3154680" cy="1963015"/>
                          </a:xfrm>
                          <a:prstGeom prst="rect"/>
                        </pic:spPr>
                      </pic:pic>
                    </a:graphicData>
                  </a:graphic>
                </wp:inline>
              </w:drawing>
            </w:r>
          </w:p>
        </w:tc>
        <w:tc>
          <w:tcPr>
            <w:tcW w:type="dxa" w:w="5472"/>
            <w:tcMar>
              <w:top w:w="15" w:type="dxa"/>
              <w:bottom w:w="15" w:type="dxa"/>
              <w:left w:w="30" w:type="dxa"/>
              <w:right w:w="30" w:type="dxa"/>
            </w:tcMar>
          </w:tcPr>
          <w:p>
            <w:pPr>
              <w:spacing w:after="0"/>
              <w:jc w:val="center"/>
            </w:pPr>
            <w:r>
              <w:drawing>
                <wp:inline xmlns:a="http://schemas.openxmlformats.org/drawingml/2006/main" xmlns:pic="http://schemas.openxmlformats.org/drawingml/2006/picture">
                  <wp:extent cx="3154680" cy="1773641"/>
                  <wp:docPr id="4" name="Picture 4"/>
                  <wp:cNvGraphicFramePr>
                    <a:graphicFrameLocks noChangeAspect="1"/>
                  </wp:cNvGraphicFramePr>
                  <a:graphic>
                    <a:graphicData uri="http://schemas.openxmlformats.org/drawingml/2006/picture">
                      <pic:pic>
                        <pic:nvPicPr>
                          <pic:cNvPr id="0" name="05-report-export.png"/>
                          <pic:cNvPicPr/>
                        </pic:nvPicPr>
                        <pic:blipFill>
                          <a:blip r:embed="rId14"/>
                          <a:stretch>
                            <a:fillRect/>
                          </a:stretch>
                        </pic:blipFill>
                        <pic:spPr>
                          <a:xfrm>
                            <a:off x="0" y="0"/>
                            <a:ext cx="3154680" cy="1773641"/>
                          </a:xfrm>
                          <a:prstGeom prst="rect"/>
                        </pic:spPr>
                      </pic:pic>
                    </a:graphicData>
                  </a:graphic>
                </wp:inline>
              </w:drawing>
            </w:r>
          </w:p>
        </w:tc>
      </w:tr>
    </w:tbl>
    <w:p>
      <w:r>
        <w:br w:type="page"/>
      </w:r>
    </w:p>
    <w:p>
      <w:pPr>
        <w:keepNext/>
        <w:spacing w:before="80" w:after="40"/>
      </w:pPr>
      <w:r>
        <w:rPr>
          <w:b/>
          <w:color w:val="0F172A"/>
          <w:sz w:val="20"/>
        </w:rPr>
        <w:t>15. Empirical Findings &amp; Performance Evaluation</w:t>
      </w:r>
    </w:p>
    <w:p>
      <w:pPr>
        <w:spacing w:before="0" w:after="50" w:line="252" w:lineRule="auto"/>
        <w:jc w:val="both"/>
      </w:pPr>
      <w:r>
        <w:rPr>
          <w:rFonts w:ascii="Calibri" w:hAnsi="Calibri"/>
          <w:color w:val="1E293B"/>
          <w:sz w:val="15"/>
        </w:rPr>
        <w:t>Empirical testing with target username fardeenakmal and target domain example.com yielded decisive performance data: (1) Profile Detection Accuracy: The system identified a verified active public profile on GitHub (HTTP 200, 614ms latency) with full bio extraction, while correctly distinguishing absent profiles on GitLab (HTTP 302 login redirect, 639ms), DockerHub (HTTP 404, 628ms), Dev.to (HTTP 404), and Keybase (HTTP 404). (2) Anti-Scraping Resilience: Reddit and Medium returned HTTP 403 status codes due to cloud-edge WAF challenges; TRACE correctly isolated these as INCONCLUSIVE rather than misclassifying them as non-existent. (3) Passive DNS Precision: Domain queries for example.com resolved dual authoritative IPv4 addresses (104.20.23.154, 172.66.147.243), IPv6 AAAA records, Cloudflare NS delegations, and RFC-compliant SPF restriction records (v=spf1 -all) within 720ms total elapsed time.</w:t>
      </w:r>
    </w:p>
    <w:p>
      <w:pPr>
        <w:keepNext/>
        <w:spacing w:before="80" w:after="40"/>
      </w:pPr>
      <w:r>
        <w:rPr>
          <w:b/>
          <w:color w:val="0F172A"/>
          <w:sz w:val="20"/>
        </w:rPr>
        <w:t>16. Technical Limitations &amp; Countermeasures</w:t>
      </w:r>
    </w:p>
    <w:p>
      <w:pPr>
        <w:spacing w:before="0" w:after="50" w:line="252" w:lineRule="auto"/>
        <w:jc w:val="both"/>
      </w:pPr>
      <w:r>
        <w:rPr>
          <w:rFonts w:ascii="Calibri" w:hAnsi="Calibri"/>
          <w:color w:val="1E293B"/>
          <w:sz w:val="15"/>
        </w:rPr>
        <w:t>Cloud Edge Challenges: Advanced CAPTCHA challenges (Cloudflare Turnstile, Cloudfront) intercept programmatic probes. TRACE mitigates this by explicitly categorizing such responses as INCONCLUSIVE and recording HTTP headers rather than attempting deceptive bypasses. Name Collision: On widespread consumer networks, common usernames may correspond to distinct individuals across platforms. TRACE mitigates false identity linkage by providing direct profile links and latency telemetry, enabling human-in-the-loop contextual verification.</w:t>
      </w:r>
    </w:p>
    <w:p>
      <w:pPr>
        <w:keepNext/>
        <w:spacing w:before="80" w:after="40"/>
      </w:pPr>
      <w:r>
        <w:rPr>
          <w:b/>
          <w:color w:val="0F172A"/>
          <w:sz w:val="20"/>
        </w:rPr>
        <w:t>17. Ethical Framework &amp; Legal Compliance</w:t>
      </w:r>
    </w:p>
    <w:p>
      <w:pPr>
        <w:spacing w:before="0" w:after="50" w:line="252" w:lineRule="auto"/>
        <w:jc w:val="both"/>
      </w:pPr>
      <w:r>
        <w:rPr>
          <w:rFonts w:ascii="Calibri" w:hAnsi="Calibri"/>
          <w:color w:val="1E293B"/>
          <w:sz w:val="15"/>
        </w:rPr>
        <w:t>TRACE was engineered strictly in accordance with ethical cybersecurity research principles and applicable cyber jurisprudence: (1) Passive Reconnaissance Doctrine: The software queries only publicly available data sources without attempting password guessing, credential stuffing, session hijacking, or perimeter exploitation. (2) Statutory Alignment: All operations comply with Section 43 and Section 66 of the Information Technology Act (India, 2000/2008), the Computer Fraud and Abuse Act (CFAA, 18 U.S.C. § 1030), and international conventions regarding unauthorized access. (3) Source Etiquette: Requests utilize legitimate HTTP User-Agent identifiers, enforce conservative timeouts (4.0s), and respect rate limits. TRACE is explicitly restricted to authorized personal footprint audits, enterprise self-assessments, and academic laboratory pedagogy.</w:t>
      </w:r>
    </w:p>
    <w:p>
      <w:pPr>
        <w:keepNext/>
        <w:spacing w:before="80" w:after="40"/>
      </w:pPr>
      <w:r>
        <w:rPr>
          <w:b/>
          <w:color w:val="0F172A"/>
          <w:sz w:val="20"/>
        </w:rPr>
        <w:t>18. Conclusion &amp; Future Enhancements</w:t>
      </w:r>
    </w:p>
    <w:p>
      <w:pPr>
        <w:spacing w:before="0" w:after="50" w:line="252" w:lineRule="auto"/>
        <w:jc w:val="both"/>
      </w:pPr>
      <w:r>
        <w:rPr>
          <w:rFonts w:ascii="Calibri" w:hAnsi="Calibri"/>
          <w:color w:val="1E293B"/>
          <w:sz w:val="15"/>
        </w:rPr>
        <w:t>TRACE successfully accomplishes all stated objectives, establishing a robust, modern, and transparent OSINT digital footprint analyzer. By enforcing strict status disambiguation, passive DNS/RDAP correlation, local SQLite privacy, and automated academic reporting, the tool eliminates the primary flaws of legacy CLI scripts. Future work will expand source coverage to 50+ platforms, integrate asynchronous proxy rotation for inconclusive sources, and introduce interactive link-analysis graph visualizations.</w:t>
      </w:r>
    </w:p>
    <w:p>
      <w:pPr>
        <w:keepNext/>
        <w:spacing w:before="80" w:after="40"/>
      </w:pPr>
      <w:r>
        <w:rPr>
          <w:b/>
          <w:color w:val="0F172A"/>
          <w:sz w:val="20"/>
        </w:rPr>
        <w:t>19. Academic &amp; Technical References</w:t>
      </w:r>
    </w:p>
    <w:p>
      <w:pPr>
        <w:spacing w:before="0" w:after="30"/>
        <w:ind w:left="288" w:hanging="288"/>
      </w:pPr>
      <w:r>
        <w:rPr>
          <w:rFonts w:ascii="Calibri" w:hAnsi="Calibri"/>
          <w:color w:val="334155"/>
          <w:sz w:val="13"/>
        </w:rPr>
        <w:t>[1] P. Mockapetris, RFC 1035: Domain Names - Implementation and Specification, Internet Engineering Task Force (IETF), Nov. 1987.</w:t>
      </w:r>
    </w:p>
    <w:p>
      <w:pPr>
        <w:spacing w:before="0" w:after="30"/>
        <w:ind w:left="288" w:hanging="288"/>
      </w:pPr>
      <w:r>
        <w:rPr>
          <w:rFonts w:ascii="Calibri" w:hAnsi="Calibri"/>
          <w:color w:val="334155"/>
          <w:sz w:val="13"/>
        </w:rPr>
        <w:t>[2] A. Newton and B. Ellacott, RFC 7480: HTTP Usage in the Registration Data Access Protocol (RDAP), IETF, Mar. 2015.</w:t>
      </w:r>
    </w:p>
    <w:p>
      <w:pPr>
        <w:spacing w:before="0" w:after="30"/>
        <w:ind w:left="288" w:hanging="288"/>
      </w:pPr>
      <w:r>
        <w:rPr>
          <w:rFonts w:ascii="Calibri" w:hAnsi="Calibri"/>
          <w:color w:val="334155"/>
          <w:sz w:val="13"/>
        </w:rPr>
        <w:t>[3] K. Scarfone et al., Technical Guide to Information Security Testing and Assessment, NIST Special Publication 800-115, Sept. 2008.</w:t>
      </w:r>
    </w:p>
    <w:p>
      <w:pPr>
        <w:spacing w:before="0" w:after="30"/>
        <w:ind w:left="288" w:hanging="288"/>
      </w:pPr>
      <w:r>
        <w:rPr>
          <w:rFonts w:ascii="Calibri" w:hAnsi="Calibri"/>
          <w:color w:val="334155"/>
          <w:sz w:val="13"/>
        </w:rPr>
        <w:t>[4] S. Bazzell, Open Source Intelligence Techniques: Resources for Searching and Analyzing Online Information, 7th ed., 2021.</w:t>
      </w:r>
    </w:p>
    <w:p>
      <w:pPr>
        <w:spacing w:before="0" w:after="30"/>
        <w:ind w:left="288" w:hanging="288"/>
      </w:pPr>
      <w:r>
        <w:rPr>
          <w:rFonts w:ascii="Calibri" w:hAnsi="Calibri"/>
          <w:color w:val="334155"/>
          <w:sz w:val="13"/>
        </w:rPr>
        <w:t>[5] S. Ramirez, FastAPI: Modern, High-Performance Web Framework for Python, Zenodo, 2020.</w:t>
      </w:r>
    </w:p>
    <w:p>
      <w:pPr>
        <w:spacing w:before="0" w:after="30"/>
        <w:ind w:left="288" w:hanging="288"/>
      </w:pPr>
      <w:r>
        <w:rPr>
          <w:rFonts w:ascii="Calibri" w:hAnsi="Calibri"/>
          <w:color w:val="334155"/>
          <w:sz w:val="13"/>
        </w:rPr>
        <w:t>[6] Ministry of Law and Justice, The Information Technology Act, 2000 (Act No. 21 of 2000), Government of India, 2000.</w:t>
      </w:r>
    </w:p>
    <w:sectPr w:rsidR="00FC693F" w:rsidRPr="0006063C" w:rsidSect="00034616">
      <w:headerReference w:type="default" r:id="rId9"/>
      <w:footerReference w:type="default" r:id="rId10"/>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color w:val="64748B"/>
        <w:sz w:val="15"/>
      </w:rPr>
      <w:t>G.V. Acharya Institute of Engineering &amp; Technology • University of Mumbai</w:t>
    </w:r>
    <w:r>
      <w:rPr>
        <w:color w:val="64748B"/>
        <w:sz w:val="15"/>
      </w:rPr>
      <w:tab/>
      <w:tab/>
      <w:t>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5"/>
      </w:rPr>
      <w:t>TRACE: OSINT DIGITAL FOOTPRINT ANALYZER — MINI PROJECT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