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80" w:line="360" w:lineRule="auto"/>
        <w:ind w:right="-40.8661417322827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72.20 - Redes de Información</w:t>
      </w:r>
    </w:p>
    <w:p w:rsidR="00000000" w:rsidDel="00000000" w:rsidP="00000000" w:rsidRDefault="00000000" w:rsidRPr="00000000" w14:paraId="00000002">
      <w:pPr>
        <w:pStyle w:val="Heading1"/>
        <w:spacing w:after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lodd3vt15wj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Pre-entrega TPE</w:t>
      </w:r>
    </w:p>
    <w:p w:rsidR="00000000" w:rsidDel="00000000" w:rsidP="00000000" w:rsidRDefault="00000000" w:rsidRPr="00000000" w14:paraId="00000003">
      <w:pPr>
        <w:pStyle w:val="Heading1"/>
        <w:spacing w:before="20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bookmarkStart w:colFirst="0" w:colLast="0" w:name="_cnsdvu7pb3xy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Asistente Inteligente de Compras con GenAI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80" w:line="360" w:lineRule="auto"/>
        <w:ind w:right="-40.866141732282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80" w:line="360" w:lineRule="auto"/>
        <w:ind w:right="-40.8661417322827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Instituto Tecnológico de Buenos Aires</w:t>
      </w:r>
    </w:p>
    <w:p w:rsidR="00000000" w:rsidDel="00000000" w:rsidP="00000000" w:rsidRDefault="00000000" w:rsidRPr="00000000" w14:paraId="00000006">
      <w:pPr>
        <w:spacing w:after="80" w:before="280" w:line="360" w:lineRule="auto"/>
        <w:ind w:right="-40.8661417322827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60626" cy="12044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36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626" cy="120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80" w:line="360" w:lineRule="auto"/>
        <w:ind w:right="-40.866141732282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Grupo 3</w:t>
      </w:r>
    </w:p>
    <w:p w:rsidR="00000000" w:rsidDel="00000000" w:rsidP="00000000" w:rsidRDefault="00000000" w:rsidRPr="00000000" w14:paraId="00000008">
      <w:pPr>
        <w:spacing w:before="280" w:line="360" w:lineRule="auto"/>
        <w:ind w:right="-40.8661417322827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80" w:line="360" w:lineRule="auto"/>
        <w:ind w:left="720" w:right="-40.866141732282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Ardenghi, Filipo - 64306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80" w:line="360" w:lineRule="auto"/>
        <w:ind w:left="720" w:right="-40.866141732282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Bassi, Santiago - 64643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80" w:line="360" w:lineRule="auto"/>
        <w:ind w:left="720" w:right="-40.866141732282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Testoni, Ezequiel - 64709</w:t>
      </w:r>
    </w:p>
    <w:p w:rsidR="00000000" w:rsidDel="00000000" w:rsidP="00000000" w:rsidRDefault="00000000" w:rsidRPr="00000000" w14:paraId="0000000C">
      <w:pPr>
        <w:spacing w:after="80" w:before="280" w:line="360" w:lineRule="auto"/>
        <w:ind w:right="-40.8661417322827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="360" w:lineRule="auto"/>
        <w:ind w:right="-40.866141732282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Fecha de Entrega: 22/09/2026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dn8z1m3qlv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cd9fgskge38j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Problemática y contexto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Store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 e-commerce de microservicios desplegado en Kubernetes con los siguientes servicios: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83.46456692913387" w:hanging="30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- Java + Spring Boot, WebFlux + Thymeleaf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83.46456692913387" w:hanging="30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Catalog - Go / Gin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283.46456692913387" w:hanging="30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Cart - Java + Spring Boot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83.46456692913387" w:hanging="30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- Java + Spring Boot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283.46456692913387" w:hanging="30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Checkout - Nest JS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descubrimiento de productos tiene hoy dos limitaciones concretas: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00" w:lineRule="auto"/>
        <w:ind w:left="283.46456692913387" w:hanging="28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Búsqueda sólo léxica.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/catalog/products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filtra únicamente por tags exactos, con orden por precio y paginación. No hay búsqueda semántica ni tolerancia a sinónimos o errores de tipeo: una consulta que no comparte palabras literales con un producto no lo encuentra.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83.46456692913387" w:hanging="28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 sin conocimiento de la tienda.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UI ya expone un chat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POST /chat/submit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streaming SSE), pero es sólo un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prompt ficticio: no conoce el catálogo, no recuerda sesiones anteriores y no puede actuar sobre otros servicios.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es convertir ese chat en un asistente de compras con GenAI que busque semánticamente, responda con datos reales del catálogo, razone sobre comparaciones y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actúe sobre los microservicios (agregar al carrito)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El modelo se ejecuta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forma local (Llama sobre Ollama), sin depender de APIs cloud.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 w:val="0"/>
          <w:i w:val="0"/>
          <w:sz w:val="32"/>
        </w:rPr>
        <w:t>2. Diseño de la solución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3.46456692913387" w:right="0" w:hanging="300"/>
        <w:jc w:val="both"/>
      </w:pPr>
      <w:r/>
      <w:r>
        <w:rPr>
          <w:rFonts w:ascii="Times New Roman" w:hAnsi="Times New Roman" w:cs="Times New Roman"/>
          <w:b/>
          <w:i w:val="0"/>
          <w:sz w:val="22"/>
        </w:rPr>
        <w:t xml:space="preserve">Componente </w:t>
      </w:r>
      <w:r>
        <w:rPr>
          <w:rFonts w:ascii="Consolas" w:hAnsi="Consolas" w:cs="Consolas"/>
          <w:b/>
          <w:i w:val="0"/>
          <w:sz w:val="20"/>
        </w:rPr>
        <w:t>assistant</w:t>
      </w:r>
      <w:r>
        <w:rPr>
          <w:rFonts w:ascii="Times New Roman" w:hAnsi="Times New Roman" w:cs="Times New Roman"/>
          <w:b/>
          <w:i w:val="0"/>
          <w:sz w:val="22"/>
        </w:rPr>
        <w:t>, nuevo microservicio.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Desarrollado en Java 21 con Spring Boot y Spring AI, desplegado en el namespace </w:t>
      </w:r>
      <w:r>
        <w:rPr>
          <w:rFonts w:ascii="Consolas" w:hAnsi="Consolas" w:cs="Consolas"/>
          <w:b w:val="0"/>
          <w:i w:val="0"/>
          <w:sz w:val="20"/>
        </w:rPr>
        <w:t>the-store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como un servicio más en el puerto 8080 con Service ClusterIP, al mismo nivel que </w:t>
      </w:r>
      <w:r>
        <w:rPr>
          <w:rFonts w:ascii="Consolas" w:hAnsi="Consolas" w:cs="Consolas"/>
          <w:b w:val="0"/>
          <w:i w:val="0"/>
          <w:sz w:val="20"/>
        </w:rPr>
        <w:t>catalog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cart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orders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. Concentra toda la lógica GenAI y es el único servicio que se comunica con </w:t>
      </w:r>
      <w:r>
        <w:rPr>
          <w:rFonts w:ascii="Consolas" w:hAnsi="Consolas" w:cs="Consolas"/>
          <w:b w:val="0"/>
          <w:i w:val="0"/>
          <w:sz w:val="20"/>
        </w:rPr>
        <w:t>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con </w:t>
      </w:r>
      <w:r>
        <w:rPr>
          <w:rFonts w:ascii="Consolas" w:hAnsi="Consolas" w:cs="Consolas"/>
          <w:b w:val="0"/>
          <w:i w:val="0"/>
          <w:sz w:val="20"/>
        </w:rPr>
        <w:t>qdrant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: indexación de productos, retrieval, armado de prompts, incluida la persona A.G.E.N.T. que hoy reside en la configuración de la UI, memoria por sesión y tools contra los microservicios. Cambiar de modelo o de vector store impacta únicamente a este servicio. La </w:t>
      </w:r>
      <w:r>
        <w:rPr>
          <w:rFonts w:ascii="Consolas" w:hAnsi="Consolas" w:cs="Consolas"/>
          <w:b w:val="0"/>
          <w:i w:val="0"/>
          <w:sz w:val="20"/>
        </w:rPr>
        <w:t>ui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continúa siendo sólo presentación, por lo que las fallas o la carga del LLM quedan aisladas en su propio servicio.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00" w:before="0" w:lineRule="auto"/>
        <w:ind w:left="283.46456692913387" w:hanging="300"/>
        <w:jc w:val="both"/>
        <w:rPr/>
      </w:pPr>
      <w:r/>
      <w:r>
        <w:rPr>
          <w:rFonts w:ascii="Times New Roman" w:hAnsi="Times New Roman" w:cs="Times New Roman"/>
          <w:b/>
          <w:i w:val="0"/>
          <w:sz w:val="22"/>
        </w:rPr>
        <w:t xml:space="preserve">Runtime del modelo: </w:t>
      </w:r>
      <w:r>
        <w:rPr>
          <w:rFonts w:ascii="Consolas" w:hAnsi="Consolas" w:cs="Consolas"/>
          <w:b/>
          <w:i w:val="0"/>
          <w:sz w:val="20"/>
        </w:rPr>
        <w:t>Ollama</w:t>
      </w:r>
      <w:r>
        <w:rPr>
          <w:rFonts w:ascii="Times New Roman" w:hAnsi="Times New Roman" w:cs="Times New Roman"/>
          <w:b/>
          <w:i w:val="0"/>
          <w:sz w:val="22"/>
        </w:rPr>
        <w:t xml:space="preserve"> en un pod ejecutado en CPU.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corre como un Deployment propio en el namespace </w:t>
      </w:r>
      <w:r>
        <w:rPr>
          <w:rFonts w:ascii="Consolas" w:hAnsi="Consolas" w:cs="Consolas"/>
          <w:b w:val="0"/>
          <w:i w:val="0"/>
          <w:sz w:val="20"/>
        </w:rPr>
        <w:t>the-store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publicado por un Service ClusterIP </w:t>
      </w:r>
      <w:r>
        <w:rPr>
          <w:rFonts w:ascii="Consolas" w:hAnsi="Consolas" w:cs="Consolas"/>
          <w:b w:val="0"/>
          <w:i w:val="0"/>
          <w:sz w:val="20"/>
        </w:rPr>
        <w:t>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en el puerto 11434 que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resuelve por DNS mediante </w:t>
      </w:r>
      <w:r>
        <w:rPr>
          <w:rFonts w:ascii="Consolas" w:hAnsi="Consolas" w:cs="Consolas"/>
          <w:b w:val="0"/>
          <w:i w:val="0"/>
          <w:sz w:val="20"/>
        </w:rPr>
        <w:t>ollama.the-store.svc.cluster.local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como a cualquier otro servicio. No depende de una GPU ni de software instalado en el host, por lo que el despliegue es reproducible con </w:t>
      </w:r>
      <w:r>
        <w:rPr>
          <w:rFonts w:ascii="Consolas" w:hAnsi="Consolas" w:cs="Consolas"/>
          <w:b w:val="0"/>
          <w:i w:val="0"/>
          <w:sz w:val="20"/>
        </w:rPr>
        <w:t>kind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kubectl apply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en cualquier máquina. En el primer arranque el pod descarga los modelos mediante </w:t>
      </w:r>
      <w:r>
        <w:rPr>
          <w:rFonts w:ascii="Consolas" w:hAnsi="Consolas" w:cs="Consolas"/>
          <w:b w:val="0"/>
          <w:i w:val="0"/>
          <w:sz w:val="20"/>
        </w:rPr>
        <w:t>ollama pull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a un PVC de la StorageClass </w:t>
      </w:r>
      <w:r>
        <w:rPr>
          <w:rFonts w:ascii="Consolas" w:hAnsi="Consolas" w:cs="Consolas"/>
          <w:b w:val="0"/>
          <w:i w:val="0"/>
          <w:sz w:val="20"/>
        </w:rPr>
        <w:t>standard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montado en </w:t>
      </w:r>
      <w:r>
        <w:rPr>
          <w:rFonts w:ascii="Consolas" w:hAnsi="Consolas" w:cs="Consolas"/>
          <w:b w:val="0"/>
          <w:i w:val="0"/>
          <w:sz w:val="20"/>
        </w:rPr>
        <w:t>/root/.ollama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de modo que los reinicios posteriores no repiten la descarga, y un readinessProbe lo marca disponible recién cuando ambos modelos están presentes. Se utilizan los modelos </w:t>
      </w:r>
      <w:r>
        <w:rPr>
          <w:rFonts w:ascii="Consolas" w:hAnsi="Consolas" w:cs="Consolas"/>
          <w:b w:val="0"/>
          <w:i w:val="0"/>
          <w:sz w:val="20"/>
        </w:rPr>
        <w:t>llama3.2:3b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con cuantización Q4 para generación, razonamiento y tool calling con un consumo cercano a 2 GB de memoria RAM, y </w:t>
      </w:r>
      <w:r>
        <w:rPr>
          <w:rFonts w:ascii="Consolas" w:hAnsi="Consolas" w:cs="Consolas"/>
          <w:b w:val="0"/>
          <w:i w:val="0"/>
          <w:sz w:val="20"/>
        </w:rPr>
        <w:t>nomic-embed-text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de 768 dimensiones para embeddings, ambos servidos por la misma instancia.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00" w:before="0" w:lineRule="auto"/>
        <w:ind w:left="283.46456692913387" w:hanging="300"/>
        <w:jc w:val="both"/>
        <w:rPr/>
      </w:pPr>
      <w:r/>
      <w:r>
        <w:rPr>
          <w:rFonts w:ascii="Times New Roman" w:hAnsi="Times New Roman" w:cs="Times New Roman"/>
          <w:b/>
          <w:i w:val="0"/>
          <w:sz w:val="22"/>
        </w:rPr>
        <w:t xml:space="preserve">Vector store: </w:t>
      </w:r>
      <w:r>
        <w:rPr>
          <w:rFonts w:ascii="Consolas" w:hAnsi="Consolas" w:cs="Consolas"/>
          <w:b/>
          <w:i w:val="0"/>
          <w:sz w:val="20"/>
        </w:rPr>
        <w:t>Qdrant</w:t>
      </w:r>
      <w:r>
        <w:rPr>
          <w:rFonts w:ascii="Times New Roman" w:hAnsi="Times New Roman" w:cs="Times New Roman"/>
          <w:b/>
          <w:i w:val="0"/>
          <w:sz w:val="22"/>
        </w:rPr>
        <w:t>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Desplegado en el cluster mediante Deployment, Service y un PVC de la StorageClass </w:t>
      </w:r>
      <w:r>
        <w:rPr>
          <w:rFonts w:ascii="Consolas" w:hAnsi="Consolas" w:cs="Consolas"/>
          <w:b w:val="0"/>
          <w:i w:val="0"/>
          <w:sz w:val="20"/>
        </w:rPr>
        <w:t>standard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. Se define una colección de productos de 768 dimensiones con distancia coseno y payload con atributos id, name, price y tags, lo que habilita filtros híbridos como rango de precio y tags. El servicio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lo consulta utilizando el starter oficial de Spring AI mediante los puertos REST 6333 o gRPC 6334.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00" w:before="0" w:lineRule="auto"/>
        <w:ind w:left="283.46456692913387" w:hanging="300"/>
        <w:jc w:val="both"/>
        <w:rPr/>
      </w:pPr>
      <w:r/>
      <w:r>
        <w:rPr>
          <w:rFonts w:ascii="Times New Roman" w:hAnsi="Times New Roman" w:cs="Times New Roman"/>
          <w:b/>
          <w:i w:val="0"/>
          <w:sz w:val="22"/>
        </w:rPr>
        <w:t>Indexación de productos.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Al iniciar el servicio,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consulta el catálogo real mediante la API consumiendo </w:t>
      </w:r>
      <w:r>
        <w:rPr>
          <w:rFonts w:ascii="Consolas" w:hAnsi="Consolas" w:cs="Consolas"/>
          <w:b w:val="0"/>
          <w:i w:val="0"/>
          <w:sz w:val="20"/>
        </w:rPr>
        <w:t>GET /catalog/size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luego </w:t>
      </w:r>
      <w:r>
        <w:rPr>
          <w:rFonts w:ascii="Consolas" w:hAnsi="Consolas" w:cs="Consolas"/>
          <w:b w:val="0"/>
          <w:i w:val="0"/>
          <w:sz w:val="20"/>
        </w:rPr>
        <w:t>GET /catalog/products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con el parámetro size correspondiente al total obtenido, ya que el endpoint pagina de a 10 elementos por defecto. Luego extrae el nombre de los tags, calcula el embedding de la concatenación de nombre, descripción y tags con el modelo </w:t>
      </w:r>
      <w:r>
        <w:rPr>
          <w:rFonts w:ascii="Consolas" w:hAnsi="Consolas" w:cs="Consolas"/>
          <w:b w:val="0"/>
          <w:i w:val="0"/>
          <w:sz w:val="20"/>
        </w:rPr>
        <w:t>nomic-embed-text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que es el mismo modelo empleado para procesar las consultas de los usuarios, y ejecuta un upsert en </w:t>
      </w:r>
      <w:r>
        <w:rPr>
          <w:rFonts w:ascii="Consolas" w:hAnsi="Consolas" w:cs="Consolas"/>
          <w:b w:val="0"/>
          <w:i w:val="0"/>
          <w:sz w:val="20"/>
        </w:rPr>
        <w:t>qdrant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. Al consultar directamente la API, el índice vectorial refleja exactamente los datos servidos por el catálogo, manteniendo a </w:t>
      </w:r>
      <w:r>
        <w:rPr>
          <w:rFonts w:ascii="Consolas" w:hAnsi="Consolas" w:cs="Consolas"/>
          <w:b w:val="0"/>
          <w:i w:val="0"/>
          <w:sz w:val="20"/>
        </w:rPr>
        <w:t>catalog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completamente desacoplado de </w:t>
      </w:r>
      <w:r>
        <w:rPr>
          <w:rFonts w:ascii="Consolas" w:hAnsi="Consolas" w:cs="Consolas"/>
          <w:b w:val="0"/>
          <w:i w:val="0"/>
          <w:sz w:val="20"/>
        </w:rPr>
        <w:t>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de </w:t>
      </w:r>
      <w:r>
        <w:rPr>
          <w:rFonts w:ascii="Consolas" w:hAnsi="Consolas" w:cs="Consolas"/>
          <w:b w:val="0"/>
          <w:i w:val="0"/>
          <w:sz w:val="20"/>
        </w:rPr>
        <w:t>qdrant</w:t>
      </w:r>
      <w:r>
        <w:rPr>
          <w:rFonts w:ascii="Times New Roman" w:hAnsi="Times New Roman" w:cs="Times New Roman"/>
          <w:b w:val="0"/>
          <w:i w:val="0"/>
          <w:sz w:val="22"/>
        </w:rPr>
        <w:t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00" w:before="0" w:lineRule="auto"/>
        <w:ind w:left="283.46456692913387" w:hanging="300"/>
        <w:jc w:val="both"/>
        <w:rPr/>
      </w:pPr>
      <w:r/>
      <w:r>
        <w:rPr>
          <w:rFonts w:ascii="Times New Roman" w:hAnsi="Times New Roman" w:cs="Times New Roman"/>
          <w:b/>
          <w:i w:val="0"/>
          <w:sz w:val="22"/>
        </w:rPr>
        <w:t xml:space="preserve">Contrato UI con </w:t>
      </w:r>
      <w:r>
        <w:rPr>
          <w:rFonts w:ascii="Consolas" w:hAnsi="Consolas" w:cs="Consolas"/>
          <w:b/>
          <w:i w:val="0"/>
          <w:sz w:val="20"/>
        </w:rPr>
        <w:t>assistant</w:t>
      </w:r>
      <w:r>
        <w:rPr>
          <w:rFonts w:ascii="Times New Roman" w:hAnsi="Times New Roman" w:cs="Times New Roman"/>
          <w:b/>
          <w:i w:val="0"/>
          <w:sz w:val="22"/>
        </w:rPr>
        <w:t>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Se incorpora un nuevo provider de chat en la </w:t>
      </w:r>
      <w:r>
        <w:rPr>
          <w:rFonts w:ascii="Consolas" w:hAnsi="Consolas" w:cs="Consolas"/>
          <w:b w:val="0"/>
          <w:i w:val="0"/>
          <w:sz w:val="20"/>
        </w:rPr>
        <w:t>ui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denominado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compuesto por las clases </w:t>
      </w:r>
      <w:r>
        <w:rPr>
          <w:rFonts w:ascii="Consolas" w:hAnsi="Consolas" w:cs="Consolas"/>
          <w:b w:val="0"/>
          <w:i w:val="0"/>
          <w:sz w:val="20"/>
        </w:rPr>
        <w:t>AssistantChatConfig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AssistantChatModel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siguiendo el mismo patrón de los providers existentes para OpenAI, Bedrock y mock, activándose mediante la propiedad de configuración </w:t>
      </w:r>
      <w:r>
        <w:rPr>
          <w:rFonts w:ascii="Consolas" w:hAnsi="Consolas" w:cs="Consolas"/>
          <w:b w:val="0"/>
          <w:i w:val="0"/>
          <w:sz w:val="20"/>
        </w:rPr>
        <w:t>retail.ui.chat.provider=assistant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. La clase </w:t>
      </w:r>
      <w:r>
        <w:rPr>
          <w:rFonts w:ascii="Consolas" w:hAnsi="Consolas" w:cs="Consolas"/>
          <w:b w:val="0"/>
          <w:i w:val="0"/>
          <w:sz w:val="20"/>
        </w:rPr>
        <w:t>ChatController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obtiene el identificador de sesión mediante </w:t>
      </w:r>
      <w:r>
        <w:rPr>
          <w:rFonts w:ascii="Consolas" w:hAnsi="Consolas" w:cs="Consolas"/>
          <w:b w:val="0"/>
          <w:i w:val="0"/>
          <w:sz w:val="20"/>
        </w:rPr>
        <w:t>SessionIDUtil.getSessionId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lo transmite dentro de un </w:t>
      </w:r>
      <w:r>
        <w:rPr>
          <w:rFonts w:ascii="Consolas" w:hAnsi="Consolas" w:cs="Consolas"/>
          <w:b w:val="0"/>
          <w:i w:val="0"/>
          <w:sz w:val="20"/>
        </w:rPr>
        <w:t>ChatOptions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propio. El provider envía dicho valor en la cabecera HTTP </w:t>
      </w:r>
      <w:r>
        <w:rPr>
          <w:rFonts w:ascii="Consolas" w:hAnsi="Consolas" w:cs="Consolas"/>
          <w:b w:val="0"/>
          <w:i w:val="0"/>
          <w:sz w:val="20"/>
        </w:rPr>
        <w:t>X-Session-ID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hacia </w:t>
      </w:r>
      <w:r>
        <w:rPr>
          <w:rFonts w:ascii="Consolas" w:hAnsi="Consolas" w:cs="Consolas"/>
          <w:b w:val="0"/>
          <w:i w:val="0"/>
          <w:sz w:val="20"/>
        </w:rPr>
        <w:t>POST /chat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enviando en el cuerpo del mensaje el campo message y recibiendo una respuesta en streaming con formato </w:t>
      </w:r>
      <w:r>
        <w:rPr>
          <w:rFonts w:ascii="Consolas" w:hAnsi="Consolas" w:cs="Consolas"/>
          <w:b w:val="0"/>
          <w:i w:val="0"/>
          <w:sz w:val="20"/>
        </w:rPr>
        <w:t>text/event-stream</w:t>
      </w:r>
      <w:r>
        <w:rPr>
          <w:rFonts w:ascii="Times New Roman" w:hAnsi="Times New Roman" w:cs="Times New Roman"/>
          <w:b w:val="0"/>
          <w:i w:val="0"/>
          <w:sz w:val="22"/>
        </w:rPr>
        <w:t xml:space="preserve">. Adicionalmente,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expone el endpoint </w:t>
      </w:r>
      <w:r>
        <w:rPr>
          <w:rFonts w:ascii="Consolas" w:hAnsi="Consolas" w:cs="Consolas"/>
          <w:b w:val="0"/>
          <w:i w:val="0"/>
          <w:sz w:val="20"/>
        </w:rPr>
        <w:t>GET /products/{id}/similar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para obtener los vecinos más cercanos en </w:t>
      </w:r>
      <w:r>
        <w:rPr>
          <w:rFonts w:ascii="Consolas" w:hAnsi="Consolas" w:cs="Consolas"/>
          <w:b w:val="0"/>
          <w:i w:val="0"/>
          <w:sz w:val="20"/>
        </w:rPr>
        <w:t>qdrant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destinados a la vista de detalle de cada producto. El código de frontend en </w:t>
      </w:r>
      <w:r>
        <w:rPr>
          <w:rFonts w:ascii="Consolas" w:hAnsi="Consolas" w:cs="Consolas"/>
          <w:b w:val="0"/>
          <w:i w:val="0"/>
          <w:sz w:val="20"/>
        </w:rPr>
        <w:t>chat.js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se mantiene sin alteraciones, ya que </w:t>
      </w:r>
      <w:r>
        <w:rPr>
          <w:rFonts w:ascii="Consolas" w:hAnsi="Consolas" w:cs="Consolas"/>
          <w:b w:val="0"/>
          <w:i w:val="0"/>
          <w:sz w:val="20"/>
        </w:rPr>
        <w:t>SessionIDWebFilter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se encarga de transformar la cookie </w:t>
      </w:r>
      <w:r>
        <w:rPr>
          <w:rFonts w:ascii="Consolas" w:hAnsi="Consolas" w:cs="Consolas"/>
          <w:b w:val="0"/>
          <w:i w:val="0"/>
          <w:sz w:val="20"/>
        </w:rPr>
        <w:t>SESSIONID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en la cabecera </w:t>
      </w:r>
      <w:r>
        <w:rPr>
          <w:rFonts w:ascii="Consolas" w:hAnsi="Consolas" w:cs="Consolas"/>
          <w:b w:val="0"/>
          <w:i w:val="0"/>
          <w:sz w:val="20"/>
        </w:rPr>
        <w:t>X-Session-ID</w:t>
      </w:r>
      <w:r>
        <w:rPr>
          <w:rFonts w:ascii="Times New Roman" w:hAnsi="Times New Roman" w:cs="Times New Roman"/>
          <w:b w:val="0"/>
          <w:i w:val="0"/>
          <w:sz w:val="22"/>
        </w:rPr>
        <w:t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00" w:before="0" w:lineRule="auto"/>
        <w:ind w:left="283.46456692913387" w:hanging="300"/>
        <w:jc w:val="both"/>
        <w:rPr/>
      </w:pPr>
      <w:r/>
      <w:r>
        <w:rPr>
          <w:rFonts w:ascii="Times New Roman" w:hAnsi="Times New Roman" w:cs="Times New Roman"/>
          <w:b/>
          <w:i w:val="0"/>
          <w:sz w:val="22"/>
        </w:rPr>
        <w:t>Identidad y memoria.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El valor de </w:t>
      </w:r>
      <w:r>
        <w:rPr>
          <w:rFonts w:ascii="Consolas" w:hAnsi="Consolas" w:cs="Consolas"/>
          <w:b w:val="0"/>
          <w:i w:val="0"/>
          <w:sz w:val="20"/>
        </w:rPr>
        <w:t>X-Session-ID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coincide con el identificador que la aplicación utiliza como </w:t>
      </w:r>
      <w:r>
        <w:rPr>
          <w:rFonts w:ascii="Consolas" w:hAnsi="Consolas" w:cs="Consolas"/>
          <w:b w:val="0"/>
          <w:i w:val="0"/>
          <w:sz w:val="20"/>
        </w:rPr>
        <w:t>customerId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frente al servicio </w:t>
      </w:r>
      <w:r>
        <w:rPr>
          <w:rFonts w:ascii="Consolas" w:hAnsi="Consolas" w:cs="Consolas"/>
          <w:b w:val="0"/>
          <w:i w:val="0"/>
          <w:sz w:val="20"/>
        </w:rPr>
        <w:t>cart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. El microservicio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lo emplea como clave para la memoria conversacional basada en una ventana de turnos en memoria RAM, así como también en calidad de </w:t>
      </w:r>
      <w:r>
        <w:rPr>
          <w:rFonts w:ascii="Consolas" w:hAnsi="Consolas" w:cs="Consolas"/>
          <w:b w:val="0"/>
          <w:i w:val="0"/>
          <w:sz w:val="20"/>
        </w:rPr>
        <w:t>customerId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para la herramienta de carrito, logrando que los artículos incorporados por el asistente se reflejen inmediatamente en el carrito visible desde la </w:t>
      </w:r>
      <w:r>
        <w:rPr>
          <w:rFonts w:ascii="Consolas" w:hAnsi="Consolas" w:cs="Consolas"/>
          <w:b w:val="0"/>
          <w:i w:val="0"/>
          <w:sz w:val="20"/>
        </w:rPr>
        <w:t>ui</w:t>
      </w:r>
      <w:r>
        <w:rPr>
          <w:rFonts w:ascii="Times New Roman" w:hAnsi="Times New Roman" w:cs="Times New Roman"/>
          <w:b w:val="0"/>
          <w:i w:val="0"/>
          <w:sz w:val="22"/>
        </w:rPr>
        <w:t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283.46456692913387" w:hanging="300"/>
        <w:jc w:val="both"/>
        <w:rPr/>
      </w:pPr>
      <w:r/>
      <w:r>
        <w:rPr>
          <w:rFonts w:ascii="Times New Roman" w:hAnsi="Times New Roman" w:cs="Times New Roman"/>
          <w:b/>
          <w:i w:val="0"/>
          <w:sz w:val="22"/>
        </w:rPr>
        <w:t>Herramientas de Function Calling.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Se exponen tres herramientas al modelo de lenguaje: búsqueda con filtros estructurados que combina tags y ordenamiento de </w:t>
      </w:r>
      <w:r>
        <w:rPr>
          <w:rFonts w:ascii="Consolas" w:hAnsi="Consolas" w:cs="Consolas"/>
          <w:b w:val="0"/>
          <w:i w:val="0"/>
          <w:sz w:val="20"/>
        </w:rPr>
        <w:t>GET /catalog/products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junto con filtros de rango de precio sobre el payload en </w:t>
      </w:r>
      <w:r>
        <w:rPr>
          <w:rFonts w:ascii="Consolas" w:hAnsi="Consolas" w:cs="Consolas"/>
          <w:b w:val="0"/>
          <w:i w:val="0"/>
          <w:sz w:val="20"/>
        </w:rPr>
        <w:t>qdrant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consulta de detalle y precio en tiempo real mediante </w:t>
      </w:r>
      <w:r>
        <w:rPr>
          <w:rFonts w:ascii="Consolas" w:hAnsi="Consolas" w:cs="Consolas"/>
          <w:b w:val="0"/>
          <w:i w:val="0"/>
          <w:sz w:val="20"/>
        </w:rPr>
        <w:t>GET /catalog/products/{id}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e incorporación de productos al carrito mediante </w:t>
      </w:r>
      <w:r>
        <w:rPr>
          <w:rFonts w:ascii="Consolas" w:hAnsi="Consolas" w:cs="Consolas"/>
          <w:b w:val="0"/>
          <w:i w:val="0"/>
          <w:sz w:val="20"/>
        </w:rPr>
        <w:t>POST /carts/{customerId}/items</w:t>
      </w:r>
      <w:r>
        <w:rPr>
          <w:rFonts w:ascii="Times New Roman" w:hAnsi="Times New Roman" w:cs="Times New Roman"/>
          <w:b w:val="0"/>
          <w:i w:val="0"/>
          <w:sz w:val="22"/>
        </w:rPr>
        <w:t>.</w:t>
      </w:r>
    </w:p>
    <w:p w:rsidR="00000000" w:rsidDel="00000000" w:rsidP="00000000" w:rsidRDefault="00000000" w:rsidRPr="00000000" w14:paraId="00000025">
      <w:pPr>
        <w:pStyle w:val="Heading2"/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 w:val="0"/>
          <w:i w:val="0"/>
          <w:sz w:val="32"/>
        </w:rPr>
        <w:t>3. Scope del POC y casos de uso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 w:val="0"/>
          <w:i w:val="0"/>
          <w:sz w:val="22"/>
        </w:rPr>
        <w:t>Implementamos los bloques 1 a 4 de capacidades del asistente, abarcando embeddings, modelo compacto con RAG, modelo intermedio con razonamiento y function calling. Debido a que el catálogo, la interfaz de usuario y la definición del personaje del chat se encuentran en idioma inglés, los ejemplos de consulta se detallan en dicho idioma.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Bloque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Caso de uso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Criterio de aceptación en la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1. Embeddings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Búsqueda semántica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"something to escape a chase without being seen" devuelve al menos 3 productos reales del catálogo, sin coincidencia léxica exacta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1. Embeddings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Productos similares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La ficha de producto muestra los k vecinos más cercanos y coherentes con 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1. Embeddings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Tolerancia a errores de tipeo y sinónimos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"umbrela with a grapling hok" encuentra el mismo producto que la grafía correcta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2. LLM compacto con RAG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Respuesta con productos reales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La respuesta menciona únicamente productos existentes con su precio real y enlace a su ficha correspondiente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2. LLM compacto con RAG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Reescritura de consulta previa al retrieval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La recuperación de información mejora de forma observable respecto de buscar la consulta cruda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3. LLM con razonamiento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Comparación justificada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Compara dos productos con criterios explícitos de precio y atributos, evitando respuestas simplistas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3. LLM con razonamiento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Conversación multi-turno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Ante expresiones como "cheaper" o "not a vehicle", mantiene el contexto del turno anterior utilizando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X-Session-ID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4. Function calling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Agregar al carrito desde el chat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Invoca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POST /carts/{customerId}/items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y el carrito de la interfaz refleja los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4. Function calling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Precio y detalle en tiempo real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Consulta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GET /catalog/products/{id}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en lugar de tomar el valor estático del vector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4. Function calling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Filtros estructurados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Traduce la categoría y el presupuesto expresados en lenguaje natural a filtros reales de tags y orden en la API y rango de precio en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Qdrant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/>
          <w:i w:val="0"/>
          <w:sz w:val="22"/>
        </w:rPr>
        <w:t>Aspectos transversales del alcance: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Transmisión de tokens mediante streaming de punta a punta a través de SSE entre el navegador, </w:t>
      </w:r>
      <w:r>
        <w:rPr>
          <w:rFonts w:ascii="Consolas" w:hAnsi="Consolas" w:cs="Consolas"/>
          <w:b w:val="0"/>
          <w:i w:val="0"/>
          <w:sz w:val="20"/>
        </w:rPr>
        <w:t>ui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, junto con el citado riguroso de fuentes donde cada producto mencionado incluye un enlace directo hacia su ficha en </w:t>
      </w:r>
      <w:r>
        <w:rPr>
          <w:rFonts w:ascii="Consolas" w:hAnsi="Consolas" w:cs="Consolas"/>
          <w:b w:val="0"/>
          <w:i w:val="0"/>
          <w:sz w:val="20"/>
        </w:rPr>
        <w:t>/catalog/{id}</w:t>
      </w:r>
      <w:r>
        <w:rPr>
          <w:rFonts w:ascii="Times New Roman" w:hAnsi="Times New Roman" w:cs="Times New Roman"/>
          <w:b w:val="0"/>
          <w:i w:val="0"/>
          <w:sz w:val="22"/>
        </w:rPr>
        <w:t>, garantizando la ausencia de alucinaciones.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/>
          <w:i w:val="0"/>
          <w:sz w:val="22"/>
        </w:rPr>
        <w:t>Alcance futuro fuera de la entrega: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Bloque 5 correspondiente a capacidades multimodales como búsqueda por imagen y preguntas visuales, y Bloque 6 correspondiente a ventanas de contexto extendidas para cargar el catálogo completo en el prompt.</w:t>
      </w:r>
    </w:p>
    <w:p w:rsidR="00000000" w:rsidDel="00000000" w:rsidP="00000000" w:rsidRDefault="00000000" w:rsidRPr="00000000" w14:paraId="0000004D">
      <w:pPr>
        <w:pStyle w:val="Heading2"/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 w:val="0"/>
          <w:i w:val="0"/>
          <w:sz w:val="32"/>
        </w:rPr>
        <w:t>4. Diagrama de arquitectura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>flowchart TB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U["Navegador del usuario"]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subgraph HOST["Host Ubuntu 24.04.5 LTS, kernel 6.8, Docker 29.8, bridge kind 172.19.0.0/16"]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subgraph NODE["Nodo kind 172.19.0.2, Debian 13, containerd 2.3.4, Kubernetes v1.37, namespace the-store"]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ING["ingress-nginx v1.13.1&lt;br/&gt;NodePort 32046/31045&lt;br/&gt;hostPort 80/443"]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NET["Pod CIDR 10.244.0.0/24, cluster 10.244.0.0/16&lt;br/&gt;Service CIDR 10.96.0.0/16&lt;br/&gt;kube-dns 10.96.0.10"]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UI["ui :8080&lt;br/&gt;AL2023 + Corretto 21"]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ASSIST["assistant :8080, NUEVO&lt;br/&gt;AL2023 + Corretto 21&lt;br/&gt;Spring AI, RAG, tools y memoria por sesión"]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CATALOG["catalog :8080&lt;br/&gt;AL2023 + binario Go"]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CART["cart :8080&lt;br/&gt;AL2023 + Corretto 21"]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OTROS["orders :8080, checkout :8080&lt;br/&gt;AL2023, sin cambios"]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QDRANT["qdrant, NUEVO&lt;br/&gt;REST :6333, gRPC :6334&lt;br/&gt;PVC StorageClass standard"]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  OLLAMA["ollama :11434, NUEVO&lt;br/&gt;imagen oficial ollama/ollama, sólo CPU&lt;br/&gt;llama3.2:3b Q4 y nomic-embed-text&lt;br/&gt;PVC StorageClass standard"]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  end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end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U -- "HTTP/1.1 + SSE, puerto 80" --&gt; ING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ING -- "HTTP :8080" --&gt; UI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ING ~~~ NET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UI -- "REST" --&gt; CATALOG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UI -- "REST" --&gt; CART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UI -- "REST" --&gt; OTROS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UI -- "HTTP + SSE, header X-Session-ID, provider assistant" --&gt; ASSIST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ASSIST -- "REST: tool precio y detalle en vivo y lectura de catálogo al arrancar" --&gt; CATALOG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ASSIST -- "REST: tool agregar al carrito" --&gt; CART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ASSIST -- "REST y gRPC: indexación y retrieval" --&gt; QDRANT</w:t>
            </w:r>
          </w:p>
          <w:p>
            <w:r/>
            <w:r>
              <w:rPr>
                <w:rFonts w:ascii="Consolas" w:hAnsi="Consolas" w:cs="Consolas"/>
                <w:b w:val="0"/>
                <w:i w:val="0"/>
                <w:sz w:val="19"/>
              </w:rPr>
              <w:t xml:space="preserve">  ASSIST -- "HTTP :11434: chat y embeddings" --&gt; OLLAMA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Elemento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Red bridge Docker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kind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172.19.0.0/16, con gateway en 172.19.0.1 y nodo en 172.19.0.2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Pod CIDR y Service CIDR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10.244.0.0/16 para el cluster con 10.244.0.0/24 por nodo, y 10.96.0.0/16 para servicios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Servicio DNS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kube-dns en 10.96.0.10, dominio cluster.local en puertos UDP y TCP 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Ingress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ingress-nginx v1.13.1, Service LoadBalancer, NodePorts 32046 para HTTP y 31045 para HTTPS, publicados en el host en los puertos 80 y 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Almacenamiento persistente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StorageClass standard con provisionador rancher.io/local-path y política WaitForFirstConsumer para los PVC de Qdrant y de Ollama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Sistemas operativos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Host con Ubuntu 24.04.5 LTS, nodo kind con Debian 13 y containerd 2.3.4, y contenedores de la aplicación sobre Amazon Linux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Protocolos de red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HTTP/1.1 REST entre servicios mediante ClusterIP en puerto 8080, SSE entre navegador, ui y assistant, HTTP en puerto 11434 hacia Ollama, y REST 6333 o gRPC 6334 hacia Qdrant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Tráfico hacia afuera del cluster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hd w:fill="f5f5f5" w:val="clear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Nulo en operación normal interna, requiriendo únicamente salida a Internet durante el primer arranque para la descarga inicial de modelos en Ollama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 w:val="0"/>
          <w:i w:val="0"/>
          <w:sz w:val="32"/>
        </w:rPr>
        <w:t>5. Alternativas consideradas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Decisión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Alternativa descartada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Por qué se descarta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Dónde vive el asistente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Extender el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ChatController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de la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ui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Mezcla presentación con lógica inteligente sin contrato de API explícito entre componentes ni aislamiento de fallas, sobrecargando de inferencia a un servicio web que atiende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Dónde vive el asistente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Servicio nuevo en Python con FastAPI y LangChain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Incorpora un cuarto lenguaje al repositorio que ya contiene Java, Go y Node, alejándose además de Spring AI que es la tecnología designada para el trabajo.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Runtime del modelo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Ollama nativo en el host con aceleración GPU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Requiere software instalado en el host, configuración manual de firewall y fijar direcciones IP en Service y EndpointSlice, perdiendo reproducibilidad frente a un despliegue estándar.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Runtime del modelo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Ollama en un pod con GPU passthrough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Demanda passthrough anidado entre host, Docker y containerd, además de soporte exclusivo para hardware de un fabricante específico, impidiendo la portabilidad del cluster.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Runtime del modelo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Ollama como sidecar dentro del pod de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assistant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Reiniciar o escalar horizontalmente el servicio assistant duplicaría o recargaría innecesariamente el modelo en memoria RAM, perdiendo aislamiento de recursos.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Runtime del modelo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Uso de llama.cpp directo sin Ollama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Brinda mayor control de bajo nivel pero carece de la gestión integral de modelos y de la API HTTP lista que aporta Ollama, incrementando el riesgo operativo.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Modelo seleccionado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Modelos de 7 u 8 mil millones de parámetros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 ejecutarse en CPU la velocidad de generación resultaría excesivamente lenta para una demo interactiva y consumiría un volumen inviable de memoria RAM en el nodo.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Vector store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pgvector sobre PostgreSQL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Ningún servicio de The Store utiliza PostgreSQL, por lo que requeriría desplegar y mantener una base de datos relacional completa únicamente para esta funcionalidad.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Vector store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Uso simultáneo de Qdrant y pgvector con comparativa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Duplica el esfuerzo de indexación y los posibles puntos de falla en la demostración sin aportar valor diferencial a la solución.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Proceso de indexación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Indexación directa desde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catalog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hacia Ollama y Qdrant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Acopla el microservicio de catálogo a la infraestructura de inteligencia artificial y duplica en Go la lógica de embeddings y el esquema que Spring AI gestiona nativamente.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Contrato UI con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assistant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API compatible con OpenAI mediante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base-url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Exige modificar de igual forma el ChatController para propagar la sesión y depende de que la librería externa admita cabeceras personalizadas como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X-Session-ID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Contrato UI con </w:t>
            </w:r>
            <w:r>
              <w:rPr>
                <w:rFonts w:ascii="Consolas" w:hAnsi="Consolas" w:cs="Consolas"/>
                <w:b w:val="0"/>
                <w:i w:val="0"/>
                <w:sz w:val="20"/>
              </w:rPr>
              <w:t>assistant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Incorporación de un proxy intermedio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Agrega una capa adicional sin aportar desacoplamiento real, ya que ambos extremos son componentes controlados internamente.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Modelo de inteligencia artificial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APIs comerciales en la nube como OpenAI o Bedrock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Poseen costos variables por token y contradicen el objetivo central del enunciado orientado a modelos locales y privados.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Recuperación de contexto</w:t>
            </w:r>
          </w:p>
        </w:tc>
        <w:tc>
          <w:tcPr>
            <w:tcW w:type="dxa" w:w="3010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Catálogo completo en el prompt sin base vectorial</w:t>
            </w:r>
          </w:p>
        </w:tc>
        <w:tc>
          <w:tcPr>
            <w:tcW w:type="dxa" w:w="3010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 escala ante un incremento en la cantidad de productos y no permite demostrar la aplicación práctica de embeddings.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Mecanismo de búsqueda</w:t>
            </w:r>
          </w:p>
        </w:tc>
        <w:tc>
          <w:tcPr>
            <w:tcW w:type="dxa" w:w="3010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Búsqueda tradicional por SQL LIKE o Elasticsearch sin GenAI</w:t>
            </w:r>
          </w:p>
        </w:tc>
        <w:tc>
          <w:tcPr>
            <w:tcW w:type="dxa" w:w="3010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Resuelve únicamente búsquedas sintácticas pero no aporta comprensión semántica ni tolerancia a intenciones complejas del usuario.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 w:cs="Times New Roman"/>
          <w:b/>
          <w:i w:val="0"/>
          <w:sz w:val="22"/>
        </w:rPr>
        <w:t>Riesgos identificados y estrategias de mitigación.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/>
          <w:b/>
          <w:i w:val="0"/>
          <w:sz w:val="22"/>
        </w:rPr>
        <w:t>Latencia del modelo local: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streaming continuo de tokens, uso de modelo 3B cuantizado a cuatro bits, contexto de recuperación acotado y precarga del modelo antes de la demostración. Si las pruebas de velocidad o de function calling no alcanzan el rendimiento esperado, se evaluará la adopción de un modelo más ligero como Llama 3.2 1B.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/>
          <w:b/>
          <w:i w:val="0"/>
          <w:sz w:val="22"/>
        </w:rPr>
        <w:t>Memoria del nodo: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el Deployment de </w:t>
      </w:r>
      <w:r>
        <w:rPr>
          <w:rFonts w:ascii="Consolas" w:hAnsi="Consolas" w:cs="Consolas"/>
          <w:b w:val="0"/>
          <w:i w:val="0"/>
          <w:sz w:val="20"/>
        </w:rPr>
        <w:t>ollama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fija un límite de memoria estricto para evitar que el modelo compita con los servicios Java del cluster.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/>
          <w:b/>
          <w:i w:val="0"/>
          <w:sz w:val="22"/>
        </w:rPr>
        <w:t>Alucinaciones del modelo compacto: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arquitectura RAG con datos reales de la tienda y citado estricto de fuentes con enlaces a cada producto.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</w:t>
      </w:r>
      <w:r>
        <w:rPr>
          <w:rFonts w:ascii="Times New Roman" w:hAnsi="Times New Roman" w:cs="Times New Roman"/>
          <w:b/>
          <w:i w:val="0"/>
          <w:sz w:val="22"/>
        </w:rPr>
        <w:t>Memoria efímera: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el historial conversacional reside en la memoria del servicio </w:t>
      </w:r>
      <w:r>
        <w:rPr>
          <w:rFonts w:ascii="Consolas" w:hAnsi="Consolas" w:cs="Consolas"/>
          <w:b w:val="0"/>
          <w:i w:val="0"/>
          <w:sz w:val="20"/>
        </w:rPr>
        <w:t>assistant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de forma efímera, perdiéndose ante un reinicio del pod, lo cual replica exactamente la arquitectura existente en el microservicio de carrito.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zequiel Testoni" w:id="4" w:date="2026-09-19T18:59:02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si dejamos esto o no</w:t>
      </w:r>
    </w:p>
  </w:comment>
  <w:comment w:author="Filipo Ardenghi" w:id="2" w:date="2026-09-19T18:40:10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diria de volar la parte de que GPU usa. capaz detallaria el modelo a usar</w:t>
      </w:r>
    </w:p>
  </w:comment>
  <w:comment w:author="Ezequiel Testoni" w:id="0" w:date="2026-09-19T18:34:19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definir</w:t>
      </w:r>
    </w:p>
  </w:comment>
  <w:comment w:author="Filipo Ardenghi" w:id="3" w:date="2026-09-19T18:42:23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vuela cuando diga bien que corre todo en docker</w:t>
      </w:r>
    </w:p>
  </w:comment>
  <w:comment w:author="Ezequiel Testoni" w:id="1" w:date="2026-09-19T18:34:39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definir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3.46456692913387" w:hanging="30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3.46456692913387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3.46456692913387" w:hanging="30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