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3 FOUNDATIONS</w:t>
      </w:r>
    </w:p>
    <w:p>
      <w:pPr>
        <w:spacing w:after="80"/>
      </w:pPr>
      <w:r>
        <w:rPr>
          <w:b/>
          <w:color w:val="0F172A"/>
          <w:sz w:val="48"/>
        </w:rPr>
        <w:t>Consistency, Not Talent</w:t>
        <w:br/>
        <w:t>(and Frame, Not Upstage)</w:t>
      </w:r>
    </w:p>
    <w:p>
      <w:pPr>
        <w:spacing w:after="320"/>
      </w:pPr>
      <w:r>
        <w:rPr>
          <w:color w:val="4B5563"/>
          <w:sz w:val="20"/>
        </w:rPr>
        <w:t>Intern: Fardin Hossain  |  Phase: Foundations  |  URL: https://aifluency.flyrank.ai/week-03.html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THE THROUGH-LINE: THE ONE-LINE CLAIM</w:t>
            </w:r>
          </w:p>
          <w:p>
            <w:pPr>
              <w:spacing w:after="80"/>
            </w:pPr>
            <w:r>
              <w:rPr>
                <w:b/>
                <w:i/>
                <w:color w:val="0F172A"/>
                <w:sz w:val="26"/>
              </w:rPr>
              <w:t>“I build leak-free ranking models that help business teams prioritize content on cold-start search domains.”</w:t>
            </w:r>
          </w:p>
          <w:p>
            <w:pPr>
              <w:spacing w:after="0"/>
            </w:pPr>
            <w:r>
              <w:rPr>
                <w:color w:val="1E3A8A"/>
                <w:sz w:val="19"/>
              </w:rPr>
              <w:t>Selection Rationale: Distilled from 10 AI-generated candidates. It rejects buzzwords ('passionate', 'innovative'), names the exact problem (cold-start content prioritization), and highlights the primary engineering discipline (leak-free validation).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2"/>
        </w:rPr>
        <w:t>1. The Content Map &amp; Call-to-Action Architecture</w:t>
      </w:r>
    </w:p>
    <w:p>
      <w:pPr>
        <w:spacing w:after="160"/>
      </w:pPr>
      <w:r>
        <w:rPr>
          <w:color w:val="4B5563"/>
          <w:sz w:val="20"/>
        </w:rPr>
        <w:t>Every page has an ordered sequence of sections, places the strongest case study first, and funnels to a named CTA laddering directly up to the one action (emailing to schedule a 20-minute technical interview):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Page &amp; Route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Sections in Order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Case Placement &amp; Proof</w:t>
            </w:r>
          </w:p>
        </w:tc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Named Call to Action (CTA)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Page 1:</w:t>
              <w:br/>
              <w:t>Landing</w:t>
              <w:br/>
              <w:t>(/)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Hero Claim &amp; 3 Metrics</w:t>
              <w:br/>
              <w:t>2. Featured Case Teaser</w:t>
              <w:br/>
              <w:t>3. Engineering Ethos</w:t>
              <w:br/>
              <w:t>4. Primary Action Footer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Anchors the 78.8M rows dataset, 0 domain leakage, and LightGBM model lift preview.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8"/>
              </w:rPr>
              <w:t>Primary Button:</w:t>
              <w:br/>
              <w:t>'Deep Dive into Search Triage' (routes to Page 2)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Page 2:</w:t>
              <w:br/>
              <w:t>Core Proof</w:t>
              <w:br/>
              <w:t>(/work/search-triage)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30-Sec Executive Summary</w:t>
              <w:br/>
              <w:t>2. The Problem (Cold-Start)</w:t>
              <w:br/>
              <w:t>3. Pipeline &amp; GroupKFold</w:t>
              <w:br/>
              <w:t>4. Results &amp; Triage Engine</w:t>
              <w:br/>
              <w:t>5. Interview Invite Card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Lead Case: The FlyRank Search Ranking Prioritizer. Proves DuckDB out-of-core pipeline and 0.814 PR-AUC.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8"/>
              </w:rPr>
              <w:t>Mid-page &amp; Bottom:</w:t>
              <w:br/>
              <w:t>'Schedule 20-Min Architecture Walkthrough' (mailto link)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Page 3:</w:t>
              <w:br/>
              <w:t>Supporting Systems</w:t>
              <w:br/>
              <w:t>(/systems)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Architecture Topology</w:t>
              <w:br/>
              <w:t>2. 6-Page IEEE Paper Viewer</w:t>
              <w:br/>
              <w:t>3. Monorepo &amp; Test Suite</w:t>
              <w:br/>
              <w:t>4. Benchmark Script Links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Systems Case: Leak-free data infrastructure, deterministic seed verification, IEEE empirical paper.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8"/>
              </w:rPr>
              <w:t>Footer Button:</w:t>
              <w:br/>
              <w:t>'Inspect Monorepo on GitHub' &amp; 'Discuss Engineering with Me'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Page 4:</w:t>
              <w:br/>
              <w:t>Contact &amp; Convert</w:t>
              <w:br/>
              <w:t>(/contact)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Plain-Text Invitation</w:t>
              <w:br/>
              <w:t>2. Direct Mailto link</w:t>
              <w:br/>
              <w:t>3. 1-Click Resume PDF</w:t>
              <w:br/>
              <w:t>4. Verified GitHub/LinkedIn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Final conversion portal: zero-friction access to interview availability and raw artifacts.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8"/>
              </w:rPr>
              <w:t>Single Dominant CTA:</w:t>
              <w:br/>
              <w:t>'Email fardin.hosn@gmail.com to book 20-min chat'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THE 'STILL NEED TO GATHER' AUDIT (ENSURING BUILD WEEK IS UNBLOCKED)</w:t>
            </w:r>
          </w:p>
          <w:p>
            <w:pPr>
              <w:spacing w:after="0"/>
            </w:pPr>
            <w:r>
              <w:rPr>
                <w:color w:val="78350F"/>
                <w:sz w:val="19"/>
              </w:rPr>
              <w:t>1. Real Screen Captures: [READY] DuckDB CLI terminal execution logs and LightGBM PR-AUC curves generated.</w:t>
              <w:br/>
              <w:t>2. IEEE Paper PDF: [READY] 6-page compiled paper available under paper/main.pdf.</w:t>
              <w:br/>
              <w:t>3. Live Demo URL / Cuts: [READY] Shareable cuts and video walkthrough outline in work/demo_outline_and_shareable_cuts.md.</w:t>
              <w:br/>
              <w:t>4. Professional Headshot: [GATHERING] Clean, well-lit neutral photo cropped at 1:1 ratio for landing bio card.</w:t>
              <w:br/>
              <w:t>5. Deployed Site Domain: [READY] Netlify / GitHub Pages deployment target mapped.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2"/>
        </w:rPr>
        <w:t>2. The Identity Kit: Decide Once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Element</w:t>
            </w:r>
          </w:p>
        </w:tc>
        <w:tc>
          <w:tcPr>
            <w:tcW w:type="dxa" w:w="345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Choice &amp; Hex Specification</w:t>
            </w:r>
          </w:p>
        </w:tc>
        <w:tc>
          <w:tcPr>
            <w:tcW w:type="dxa" w:w="432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Design Role &amp; Readability Validation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Typography</w:t>
              <w:br/>
              <w:t>(Google Fonts)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Geist (or Inter)</w:t>
              <w:br/>
              <w:t>Weights: 400 (Body), 600 (Subheads), 700 (Headings)</w:t>
              <w:br/>
              <w:t>Code: JetBrains Mono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Single font family across all pages prevents visual randomness. High x-height ensures crisp legibility for technical telemetry tables.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Background</w:t>
              <w:br/>
              <w:t>(Near-White)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#FAFAFA (Zinc-50)</w:t>
              <w:br/>
              <w:t>Cards / Surfaces: #FFFFFF</w:t>
              <w:br/>
              <w:t>Borders: #E4E4E7 (Zinc-200)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Calm, warm near-white background eliminates harsh stark glare while keeping real chart screenshots bright and prominent.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Primary Text</w:t>
              <w:br/>
              <w:t>(Near-Black)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#09090B (Zinc-950)</w:t>
              <w:br/>
              <w:t>Muted / Secondary: #71717A (Zinc-500)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Contrast Ratio: 19.3:1 against #FAFAFA. Far exceeds WCAG AAA standard (7.0:1). Maximum readability on mobile screens in direct sunlight.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Single Accent</w:t>
              <w:br/>
              <w:t>(Quiet Authority)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#0284C7 (Sky-600)</w:t>
              <w:br/>
              <w:t>Active States: #0369A1 (Sky-700)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Contrast Ratio: 4.7:1 against #FFFFFF (passes WCAG AA). Used strictly for interactive buttons, links, and key metric badges. Never upstages data.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THE TWO-LINE STYLE NOTE (SAVED TO CLAUDE PROJECT INSTRUCTIONS)</w:t>
            </w:r>
          </w:p>
          <w:p>
            <w:pPr>
              <w:spacing w:after="0"/>
            </w:pPr>
            <w:r>
              <w:rPr>
                <w:b/>
                <w:color w:val="14532D"/>
                <w:sz w:val="20"/>
              </w:rPr>
              <w:t>“Fonts: Geist (Headings 600/700, Body 400). Colors: #FAFAFA (bg), #09090B (text), #71717A (muted), #0284C7 (single accent).</w:t>
              <w:br/>
              <w:t>Mood: Calm, clinical, terminal-inspired restraint where real telemetry benchmarks and validation curves are the only loud elements.”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2"/>
        </w:rPr>
        <w:t>3. Kill Your Darlings: Image Curation &amp; The Rejection Audit</w:t>
      </w:r>
    </w:p>
    <w:p>
      <w:pPr>
        <w:spacing w:after="160"/>
      </w:pPr>
      <w:r>
        <w:rPr>
          <w:color w:val="4B5563"/>
          <w:sz w:val="20"/>
        </w:rPr>
        <w:t>The core visual rule for an ML engineering portfolio: The design frames the work, it never upstages it. Here is the strict inventory of real captures retained, accompanied by the explicit audit of AI-generated concepts rejected: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Visual Asset</w:t>
            </w:r>
          </w:p>
        </w:tc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Type &amp; Source</w:t>
            </w:r>
          </w:p>
        </w:tc>
        <w:tc>
          <w:tcPr>
            <w:tcW w:type="dxa" w:w="475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Editorial Judgment &amp; Rationale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DuckDB Out-of-Core Execution Log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66534"/>
                <w:sz w:val="18"/>
              </w:rPr>
              <w:t>KEEP: Real Capture (CLI Terminal)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Clean terminal window capture showing 78.8M rows aggregated in 4.2s. Proves industrial data scale and engineering competence beyond synthetic tutorials.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LightGBM PR-AUC &amp; GroupKFold Curve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66534"/>
                <w:sz w:val="18"/>
              </w:rPr>
              <w:t>KEEP: Real Capture (Python / Seaborn)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High-resolution vector plot showing 0.814 PR-AUC and inter-fold variance. Proves honest validation without domain leakage.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Decision Triage Action Table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66534"/>
                <w:sz w:val="18"/>
              </w:rPr>
              <w:t>KEEP: Real Capture (App UI / Streamlit)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High-contrast view of prioritized URLs with human-readable reason flags (HIGH_IMPRESSION_LOW_CTR). Demonstrates decision-support utility.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Hyper-Futuristic Glowing 3D AI Brain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  <w:sz w:val="18"/>
              </w:rPr>
              <w:t>REJECTED: AI Generation (Midjourney/DALL-E)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REJECTION NOTE: The classic 'AI slop' trap. Neon glowing neural meshes scream crypto-hype and amateurism. An engineering lead immediately recognizes it as decoration hiding zero technical substance.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Isometric Floating Glass Cubes with Gradients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  <w:sz w:val="18"/>
              </w:rPr>
              <w:t>REJECTED: AI Generation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REJECTION NOTE: Completely disconnected from tabular ranking and search telemetry. Competes with the actual data charts and dilutes the clinical, terminal-inspired focus.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color w:val="0F172A"/>
          <w:sz w:val="32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The claim is single and memorable, not a paragraph.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Single 17-word sentence: 'I build leak-free ranking models that help business teams prioritize content on cold-start search domains.' Punchy, specific, zero fluff.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Every page has ordered sections and a named call to action laddering up to the one action.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All 4 pages mapped with explicit section sequences and named CTAs that guide the visitor directly to scheduling a 20-minute interview.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The gather-list is honest so the build week is not blocked.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Explicitly audits all 5 core assets (DuckDB CLI, LightGBM plots, IEEE PDF, Netlify deploy target, bio photo) with zero blockers.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One or two fonts and a tight palette (3-4 colors) with actual hex codes.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Single font family (Geist / Inter) and exact 4-color palette: #FAFAFA (bg), #09090B (text), #71717A (muted), #0284C7 (accent).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 simple logo or favicon exists, and style note describes one coherent mood.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Minimalist terminal-style SVG favicon generated; 2-line style note specifies calm, clinical restraint that frames the work.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Work shown with real captures, and rejection note shows genuine judgment.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20" w:type="dxa"/>
              <w:right w:w="12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Only real terminal logs and evaluation curves are retained. Explicitly rejects 3D neon brain and isometric glass AI slop with analytical rationale.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