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E40AF"/>
          <w:sz w:val="19"/>
        </w:rPr>
        <w:t>GENERAL AI FLUENCY TRACK  |  ASSIGNMENT FL-05 (WEEK 4)</w:t>
      </w:r>
    </w:p>
    <w:p>
      <w:pPr>
        <w:spacing w:after="80"/>
      </w:pPr>
      <w:r>
        <w:rPr>
          <w:b/>
          <w:color w:val="0F172A"/>
          <w:sz w:val="44"/>
        </w:rPr>
        <w:t>FL-05: Agent Concepts and MCP Basics</w:t>
        <w:br/>
        <w:t>Architectural Analysis, Protocol Primitives &amp; Tool Execution</w:t>
      </w:r>
    </w:p>
    <w:p>
      <w:pPr>
        <w:spacing w:after="280"/>
      </w:pPr>
      <w:r>
        <w:rPr>
          <w:color w:val="4B5563"/>
          <w:sz w:val="20"/>
        </w:rPr>
        <w:t>Intern: Md. Fardin Hossain  |  Workload: ~5 Hours  |  Core Focus: Anthropic 'Building Effective Agents' &amp; Model Context Protocol</w:t>
      </w:r>
    </w:p>
    <w:tbl>
      <w:tblPr>
        <w:tblW w:type="auto" w:w="0"/>
        <w:jc w:val="center"/>
        <w:tblLook w:firstColumn="1" w:firstRow="1" w:lastColumn="0" w:lastRow="0" w:noHBand="0" w:noVBand="1" w:val="04A0"/>
      </w:tblPr>
      <w:tblGrid>
        <w:gridCol w:w="9936"/>
      </w:tblGrid>
      <w:tr>
        <w:tc>
          <w:tcPr>
            <w:tcW w:type="dxa" w:w="9936"/>
            <w:shd w:fill="F5F3FF"/>
            <w:tcMar>
              <w:top w:w="160" w:type="dxa"/>
              <w:bottom w:w="160" w:type="dxa"/>
              <w:left w:w="200" w:type="dxa"/>
              <w:right w:w="200" w:type="dxa"/>
            </w:tcMar>
            <w:tcBorders>
              <w:left w:val="single" w:sz="24" w:space="0" w:color="7C3AED"/>
              <w:top w:val="none"/>
              <w:bottom w:val="none"/>
              <w:right w:val="none"/>
            </w:tcBorders>
          </w:tcPr>
          <w:p>
            <w:pPr>
              <w:spacing w:after="80"/>
            </w:pPr>
            <w:r>
              <w:rPr>
                <w:b/>
                <w:color w:val="6D28D9"/>
                <w:sz w:val="20"/>
              </w:rPr>
              <w:t>THE PARADIGM SHIFT: PREDICTABLE WORKFLOWS VS DYNAMIC AGENTS</w:t>
            </w:r>
          </w:p>
          <w:p>
            <w:pPr>
              <w:spacing w:after="0"/>
            </w:pPr>
            <w:r>
              <w:rPr>
                <w:color w:val="4C1D95"/>
                <w:sz w:val="19"/>
              </w:rPr>
              <w:t>A workflow orchestrates LLMs and code through rigid, predefined execution graphs where the system path is fixed and human-engineered. An agent, by contrast, gives the language model autonomous control over its own execution path: the model dynamically decides which tools to invoke, inspects the environment's feedback, and loops until its goal is satisfied. The Model Context Protocol (MCP) provides the open, universal USB-C standard connecting these reasoning loops to local filesystems, databases, and live production APIs.</w:t>
            </w:r>
          </w:p>
        </w:tc>
      </w:tr>
    </w:tbl>
    <w:p>
      <w:pPr>
        <w:spacing w:after="280"/>
      </w:pPr>
    </w:p>
    <w:p>
      <w:pPr>
        <w:spacing w:after="120"/>
      </w:pPr>
      <w:r>
        <w:rPr>
          <w:b/>
          <w:color w:val="0F172A"/>
          <w:sz w:val="30"/>
        </w:rPr>
        <w:t>1. Architectural Explainer: Workflows, Agents &amp; MCP (780 Words)</w:t>
      </w:r>
    </w:p>
    <w:p>
      <w:pPr>
        <w:spacing w:before="120" w:after="60"/>
      </w:pPr>
      <w:r>
        <w:rPr>
          <w:b/>
          <w:color w:val="1E40AF"/>
          <w:sz w:val="24"/>
        </w:rPr>
        <w:t>Understanding the Workflow vs. Agent Divide</w:t>
      </w:r>
    </w:p>
    <w:p>
      <w:pPr>
        <w:spacing w:after="160"/>
      </w:pPr>
      <w:r>
        <w:rPr>
          <w:sz w:val="20"/>
        </w:rPr>
        <w:t>In modern AI engineering, precision in terminology dictates system reliability. Based on Anthropic's foundational research in 'Building Effective Agents', the distinction between workflows and agents comes down to who controls the control flow.</w:t>
        <w:br/>
        <w:br/>
        <w:t>A workflow is a system where the sequence of operations is predetermined by human code. Whether structured as prompt chaining, routing, parallel voting, or an orchestrator-workers pattern, the execution path is fixed. The LLM acts as a specialized probabilistic reasoning engine at defined nodes, but it does not decide which node to visit next or when execution terminates.</w:t>
        <w:br/>
        <w:br/>
        <w:t>An agent, conversely, is an autonomous system where the LLM directs its own control loop. Given a high-level goal and a suite of tools, the model assesses environment observations, determines the appropriate action, invokes an external function, evaluates the result, and decides whether to iterate or conclude. Workflows maximize predictability, consistency, and cost-efficiency for well-scoped processes. Agents maximize adaptability, problem-solving breadth, and autonomy in open-ended or non-deterministic domains.</w:t>
      </w:r>
    </w:p>
    <w:p>
      <w:pPr>
        <w:spacing w:before="120" w:after="60"/>
      </w:pPr>
      <w:r>
        <w:rPr>
          <w:b/>
          <w:color w:val="1E40AF"/>
          <w:sz w:val="24"/>
        </w:rPr>
        <w:t>Why My FL-04 Pipeline is a Workflow, Not an Agent</w:t>
      </w:r>
    </w:p>
    <w:p>
      <w:pPr>
        <w:spacing w:after="160"/>
      </w:pPr>
      <w:r>
        <w:rPr>
          <w:sz w:val="20"/>
        </w:rPr>
        <w:t>In assignment FL-04, I constructed the 'Search Telemetry Triage &amp; Engineering Action Brief Pipeline'. Despite employing advanced prompt engineering, statistical anomaly baselines, and automated self-critique, it is definitively a workflow, not an agent.</w:t>
        <w:br/>
        <w:br/>
        <w:t>Its control flow is hardcoded: every query strictly passes through Step 1 (Telemetry Ingestion) → Step 2 (SERP Intent Diagnosis) → Step 3 (Action Brief Synthesis) → Step 4 (Quality Control Gate). The pipeline cannot autonomously decide to skip Step 2, run a custom SQL query against an external data warehouse, or spawn parallel web crawlers if SERP volatility is anomalous. It follows an invariant assembly line designed by me. Classifying FL-04 as a workflow is not a criticism; for high-volume enterprise telemetry triage where auditability and strict formatting schemas are required, a deterministic workflow is vastly superior to an unpredictable autonomous agent.</w:t>
      </w:r>
    </w:p>
    <w:p>
      <w:pPr>
        <w:spacing w:before="120" w:after="60"/>
      </w:pPr>
      <w:r>
        <w:rPr>
          <w:b/>
          <w:color w:val="1E40AF"/>
          <w:sz w:val="24"/>
        </w:rPr>
        <w:t>The Model Context Protocol (MCP) and Its Three Core Primitives</w:t>
      </w:r>
    </w:p>
    <w:p>
      <w:pPr>
        <w:spacing w:after="160"/>
      </w:pPr>
      <w:r>
        <w:rPr>
          <w:sz w:val="20"/>
        </w:rPr>
        <w:t>Historically, connecting an LLM to external data required writing bespoke API wrappers, custom function-calling schemas, and brittle webhook integrations for every tool. Anthropic's Model Context Protocol (MCP) solves this fragmentation by establishing an open, standardized client-server protocol—an architectural 'USB-C for AI'. MCP allows an AI client (such as Claude Desktop or Antigravity IDE) to discover and interact with any MCP-compliant server through three standardized primitives:</w:t>
        <w:br/>
        <w:br/>
        <w:t>1. Tools: Executable functions exposed by the server that allow the model to take actions and affect the external environment (e.g., executing a DuckDB query, writing a file to disk, or making an authenticated POST request to a REST API). Tools return dynamic runtime output back into the model's context.</w:t>
        <w:br/>
        <w:br/>
        <w:t>2. Resources: Read-only data streams and content attachments provided by the server to give the model rich context without tool-call overhead (e.g., streaming live application logs, inspecting Git repository trees, or reading database schemas).</w:t>
        <w:br/>
        <w:br/>
        <w:t>3. Prompts: Pre-packaged, parameterized prompt templates and workflow recipes provided by the server to guide the model through standardized domain tasks (e.g., a pre-tuned prompt for debugging a Postgres deadlock or auditing a pull request).</w:t>
      </w:r>
    </w:p>
    <w:p>
      <w:pPr>
        <w:spacing w:before="120" w:after="60"/>
      </w:pPr>
      <w:r>
        <w:rPr>
          <w:b/>
          <w:color w:val="1E40AF"/>
          <w:sz w:val="24"/>
        </w:rPr>
        <w:t>The Concrete Agent Upgrade for FL-04</w:t>
      </w:r>
    </w:p>
    <w:p>
      <w:pPr>
        <w:spacing w:after="160"/>
      </w:pPr>
      <w:r>
        <w:rPr>
          <w:sz w:val="20"/>
        </w:rPr>
        <w:t>To elevate my FL-04 telemetry workflow into a true autonomous agent, I would implement an MCP-Powered Search Optimization Agent with an active environmental feedback loop:</w:t>
        <w:br/>
        <w:br/>
        <w:t>Instead of ingesting static JSON snippets, the agent would connect to a Google Search Console MCP Server and a Git/Content Repo MCP Server. Given the high-level objective ('Diagnose and fix organic search traffic decay on all /blog/ URLs underperforming by &gt;3% CTR'), the agent would autonomously: (1) Query the GSC MCP resource for the 50 worst-performing queries; (2) Use a Web Search tool to inspect live competitor SERP snippets in real time; (3) Invoke an AST parsing tool to locate the exact Markdown source file in the local GitHub repository; (4) Generate and commit an editorial pull request with revised title tags and content sections; and (5) Schedule a cron check via MCP to evaluate CTR uplift 14 days post-deployment. This dynamic, self-directed loop transforms static reporting into automated engineering remediation.</w:t>
      </w:r>
    </w:p>
    <w:p>
      <w:pPr>
        <w:spacing w:after="200"/>
      </w:pPr>
    </w:p>
    <w:p>
      <w:pPr>
        <w:spacing w:after="120"/>
      </w:pPr>
      <w:r>
        <w:rPr>
          <w:b/>
          <w:color w:val="0F172A"/>
          <w:sz w:val="30"/>
        </w:rPr>
        <w:t>2. Verification: Three Real MCP Tasks (Beyond Plain Chat)</w:t>
      </w:r>
    </w:p>
    <w:p>
      <w:pPr>
        <w:spacing w:after="160"/>
      </w:pPr>
      <w:r>
        <w:t>A foundational tenet of MCP is enabling capabilities impossible in isolated web chat. The three tasks below demonstrate real tool-call executions interacting directly with local system state, real filesystem artifacts, and live dynamic data:</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4968"/>
        <w:gridCol w:w="4968"/>
      </w:tblGrid>
      <w:tr>
        <w:tc>
          <w:tcPr>
            <w:tcW w:type="dxa" w:w="2592"/>
            <w:tcMar>
              <w:top w:w="80" w:type="dxa"/>
              <w:bottom w:w="80" w:type="dxa"/>
              <w:left w:w="100" w:type="dxa"/>
              <w:right w:w="100" w:type="dxa"/>
            </w:tcMar>
            <w:shd w:fill="EEF2FF"/>
          </w:tcPr>
          <w:p>
            <w:r>
              <w:rPr>
                <w:b/>
                <w:color w:val="3730A3"/>
                <w:sz w:val="17"/>
              </w:rPr>
              <w:t>Task 1: Direct Local Filesystem Inspection &amp; Telemetry Schema Audit</w:t>
            </w:r>
          </w:p>
        </w:tc>
        <w:tc>
          <w:tcPr>
            <w:tcW w:type="dxa" w:w="7344"/>
            <w:tcMar>
              <w:top w:w="80" w:type="dxa"/>
              <w:bottom w:w="80" w:type="dxa"/>
              <w:left w:w="100" w:type="dxa"/>
              <w:right w:w="100" w:type="dxa"/>
            </w:tcMar>
            <w:shd w:fill="EEF2FF"/>
          </w:tcPr>
          <w:p>
            <w:r>
              <w:rPr>
                <w:b/>
                <w:color w:val="3730A3"/>
                <w:sz w:val="17"/>
              </w:rPr>
              <w:t>TOOL USE VERIFICATION LOG</w:t>
            </w:r>
          </w:p>
        </w:tc>
      </w:tr>
      <w:tr>
        <w:tc>
          <w:tcPr>
            <w:tcW w:type="dxa" w:w="2592"/>
            <w:tcMar>
              <w:top w:w="80" w:type="dxa"/>
              <w:bottom w:w="80" w:type="dxa"/>
              <w:left w:w="100" w:type="dxa"/>
              <w:right w:w="100" w:type="dxa"/>
            </w:tcMar>
          </w:tcPr>
          <w:p>
            <w:r>
              <w:rPr>
                <w:b/>
                <w:sz w:val="17"/>
              </w:rPr>
              <w:t>Why Plain Chat Cannot Do This</w:t>
            </w:r>
          </w:p>
        </w:tc>
        <w:tc>
          <w:tcPr>
            <w:tcW w:type="dxa" w:w="7344"/>
            <w:tcMar>
              <w:top w:w="80" w:type="dxa"/>
              <w:bottom w:w="80" w:type="dxa"/>
              <w:left w:w="100" w:type="dxa"/>
              <w:right w:w="100" w:type="dxa"/>
            </w:tcMar>
          </w:tcPr>
          <w:p>
            <w:r>
              <w:rPr>
                <w:sz w:val="17"/>
              </w:rPr>
              <w:t>Plain chat cannot access local disk drives, cannot read private corporate data, and relies on hallucinated file paths.</w:t>
            </w:r>
          </w:p>
        </w:tc>
      </w:tr>
      <w:tr>
        <w:tc>
          <w:tcPr>
            <w:tcW w:type="dxa" w:w="2592"/>
            <w:tcMar>
              <w:top w:w="80" w:type="dxa"/>
              <w:bottom w:w="80" w:type="dxa"/>
              <w:left w:w="100" w:type="dxa"/>
              <w:right w:w="100" w:type="dxa"/>
            </w:tcMar>
          </w:tcPr>
          <w:p>
            <w:r>
              <w:rPr>
                <w:b/>
                <w:sz w:val="17"/>
              </w:rPr>
              <w:t>MCP Tool Call Executed</w:t>
            </w:r>
          </w:p>
        </w:tc>
        <w:tc>
          <w:tcPr>
            <w:tcW w:type="dxa" w:w="7344"/>
            <w:tcMar>
              <w:top w:w="80" w:type="dxa"/>
              <w:bottom w:w="80" w:type="dxa"/>
              <w:left w:w="100" w:type="dxa"/>
              <w:right w:w="100" w:type="dxa"/>
            </w:tcMar>
          </w:tcPr>
          <w:p>
            <w:r>
              <w:rPr>
                <w:rFonts w:ascii="Consolas" w:hAnsi="Consolas"/>
                <w:sz w:val="16"/>
              </w:rPr>
              <w:t>view_file(AbsolutePath="d:/My All Project/FlyRankAI-ML-Internship-Task/General AI Fluency/AI_Fluency_Complete_Guide.md", StartLine=1, EndLine=40)</w:t>
            </w:r>
          </w:p>
        </w:tc>
      </w:tr>
      <w:tr>
        <w:tc>
          <w:tcPr>
            <w:tcW w:type="dxa" w:w="2592"/>
            <w:tcMar>
              <w:top w:w="80" w:type="dxa"/>
              <w:bottom w:w="80" w:type="dxa"/>
              <w:left w:w="100" w:type="dxa"/>
              <w:right w:w="100" w:type="dxa"/>
            </w:tcMar>
          </w:tcPr>
          <w:p>
            <w:r>
              <w:rPr>
                <w:b/>
                <w:sz w:val="17"/>
              </w:rPr>
              <w:t>Tool Execution Result &amp; Evidence</w:t>
            </w:r>
          </w:p>
        </w:tc>
        <w:tc>
          <w:tcPr>
            <w:tcW w:type="dxa" w:w="7344"/>
            <w:tcMar>
              <w:top w:w="80" w:type="dxa"/>
              <w:bottom w:w="80" w:type="dxa"/>
              <w:left w:w="100" w:type="dxa"/>
              <w:right w:w="100" w:type="dxa"/>
            </w:tcMar>
          </w:tcPr>
          <w:p>
            <w:r>
              <w:rPr>
                <w:sz w:val="17"/>
              </w:rPr>
              <w:t>Returned exact byte-level contents of local markdown document containing curriculum mapping, verified line 3: 'Track: General AI Fluency · Intern: Md. Fardin Hossain'. Zero hallucination; ground-truth local context verified.</w:t>
            </w:r>
          </w:p>
        </w:tc>
      </w:tr>
    </w:tbl>
    <w:p>
      <w:pPr>
        <w:spacing w:after="200"/>
      </w:pP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4968"/>
        <w:gridCol w:w="4968"/>
      </w:tblGrid>
      <w:tr>
        <w:tc>
          <w:tcPr>
            <w:tcW w:type="dxa" w:w="2592"/>
            <w:tcMar>
              <w:top w:w="80" w:type="dxa"/>
              <w:bottom w:w="80" w:type="dxa"/>
              <w:left w:w="100" w:type="dxa"/>
              <w:right w:w="100" w:type="dxa"/>
            </w:tcMar>
            <w:shd w:fill="EEF2FF"/>
          </w:tcPr>
          <w:p>
            <w:r>
              <w:rPr>
                <w:b/>
                <w:color w:val="3730A3"/>
                <w:sz w:val="17"/>
              </w:rPr>
              <w:t>Task 2: Dynamic Local Subprocess Execution &amp; Environment Verification</w:t>
            </w:r>
          </w:p>
        </w:tc>
        <w:tc>
          <w:tcPr>
            <w:tcW w:type="dxa" w:w="7344"/>
            <w:tcMar>
              <w:top w:w="80" w:type="dxa"/>
              <w:bottom w:w="80" w:type="dxa"/>
              <w:left w:w="100" w:type="dxa"/>
              <w:right w:w="100" w:type="dxa"/>
            </w:tcMar>
            <w:shd w:fill="EEF2FF"/>
          </w:tcPr>
          <w:p>
            <w:r>
              <w:rPr>
                <w:b/>
                <w:color w:val="3730A3"/>
                <w:sz w:val="17"/>
              </w:rPr>
              <w:t>TOOL USE VERIFICATION LOG</w:t>
            </w:r>
          </w:p>
        </w:tc>
      </w:tr>
      <w:tr>
        <w:tc>
          <w:tcPr>
            <w:tcW w:type="dxa" w:w="2592"/>
            <w:tcMar>
              <w:top w:w="80" w:type="dxa"/>
              <w:bottom w:w="80" w:type="dxa"/>
              <w:left w:w="100" w:type="dxa"/>
              <w:right w:w="100" w:type="dxa"/>
            </w:tcMar>
          </w:tcPr>
          <w:p>
            <w:r>
              <w:rPr>
                <w:b/>
                <w:sz w:val="17"/>
              </w:rPr>
              <w:t>Why Plain Chat Cannot Do This</w:t>
            </w:r>
          </w:p>
        </w:tc>
        <w:tc>
          <w:tcPr>
            <w:tcW w:type="dxa" w:w="7344"/>
            <w:tcMar>
              <w:top w:w="80" w:type="dxa"/>
              <w:bottom w:w="80" w:type="dxa"/>
              <w:left w:w="100" w:type="dxa"/>
              <w:right w:w="100" w:type="dxa"/>
            </w:tcMar>
          </w:tcPr>
          <w:p>
            <w:r>
              <w:rPr>
                <w:sz w:val="17"/>
              </w:rPr>
              <w:t>Plain chat has zero execution environment; it cannot run shell commands, check git branch status, or verify installed compiler dependencies.</w:t>
            </w:r>
          </w:p>
        </w:tc>
      </w:tr>
      <w:tr>
        <w:tc>
          <w:tcPr>
            <w:tcW w:type="dxa" w:w="2592"/>
            <w:tcMar>
              <w:top w:w="80" w:type="dxa"/>
              <w:bottom w:w="80" w:type="dxa"/>
              <w:left w:w="100" w:type="dxa"/>
              <w:right w:w="100" w:type="dxa"/>
            </w:tcMar>
          </w:tcPr>
          <w:p>
            <w:r>
              <w:rPr>
                <w:b/>
                <w:sz w:val="17"/>
              </w:rPr>
              <w:t>MCP Tool Call Executed</w:t>
            </w:r>
          </w:p>
        </w:tc>
        <w:tc>
          <w:tcPr>
            <w:tcW w:type="dxa" w:w="7344"/>
            <w:tcMar>
              <w:top w:w="80" w:type="dxa"/>
              <w:bottom w:w="80" w:type="dxa"/>
              <w:left w:w="100" w:type="dxa"/>
              <w:right w:w="100" w:type="dxa"/>
            </w:tcMar>
          </w:tcPr>
          <w:p>
            <w:r>
              <w:rPr>
                <w:rFonts w:ascii="Consolas" w:hAnsi="Consolas"/>
                <w:sz w:val="16"/>
              </w:rPr>
              <w:t>run_command(CommandLine="python -c \"import docx; print(docx.__version__)\"", Cwd="d:/My All Project/FlyRankAI-ML-Internship-Task")</w:t>
            </w:r>
          </w:p>
        </w:tc>
      </w:tr>
      <w:tr>
        <w:tc>
          <w:tcPr>
            <w:tcW w:type="dxa" w:w="2592"/>
            <w:tcMar>
              <w:top w:w="80" w:type="dxa"/>
              <w:bottom w:w="80" w:type="dxa"/>
              <w:left w:w="100" w:type="dxa"/>
              <w:right w:w="100" w:type="dxa"/>
            </w:tcMar>
          </w:tcPr>
          <w:p>
            <w:r>
              <w:rPr>
                <w:b/>
                <w:sz w:val="17"/>
              </w:rPr>
              <w:t>Tool Execution Result &amp; Evidence</w:t>
            </w:r>
          </w:p>
        </w:tc>
        <w:tc>
          <w:tcPr>
            <w:tcW w:type="dxa" w:w="7344"/>
            <w:tcMar>
              <w:top w:w="80" w:type="dxa"/>
              <w:bottom w:w="80" w:type="dxa"/>
              <w:left w:w="100" w:type="dxa"/>
              <w:right w:w="100" w:type="dxa"/>
            </w:tcMar>
          </w:tcPr>
          <w:p>
            <w:r>
              <w:rPr>
                <w:sz w:val="17"/>
              </w:rPr>
              <w:t>Command executed synchronously in Windows shell, exited with code 0, returning exact installed library version: '1.2.0'. Proved real Python runtime execution within local project virtual environment.</w:t>
            </w:r>
          </w:p>
        </w:tc>
      </w:tr>
    </w:tbl>
    <w:p>
      <w:pPr>
        <w:spacing w:after="200"/>
      </w:pP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4968"/>
        <w:gridCol w:w="4968"/>
      </w:tblGrid>
      <w:tr>
        <w:tc>
          <w:tcPr>
            <w:tcW w:type="dxa" w:w="2592"/>
            <w:tcMar>
              <w:top w:w="80" w:type="dxa"/>
              <w:bottom w:w="80" w:type="dxa"/>
              <w:left w:w="100" w:type="dxa"/>
              <w:right w:w="100" w:type="dxa"/>
            </w:tcMar>
            <w:shd w:fill="EEF2FF"/>
          </w:tcPr>
          <w:p>
            <w:r>
              <w:rPr>
                <w:b/>
                <w:color w:val="3730A3"/>
                <w:sz w:val="17"/>
              </w:rPr>
              <w:t>Task 3: Live Repository Branch &amp; Multi-File Telemetry Audit</w:t>
            </w:r>
          </w:p>
        </w:tc>
        <w:tc>
          <w:tcPr>
            <w:tcW w:type="dxa" w:w="7344"/>
            <w:tcMar>
              <w:top w:w="80" w:type="dxa"/>
              <w:bottom w:w="80" w:type="dxa"/>
              <w:left w:w="100" w:type="dxa"/>
              <w:right w:w="100" w:type="dxa"/>
            </w:tcMar>
            <w:shd w:fill="EEF2FF"/>
          </w:tcPr>
          <w:p>
            <w:r>
              <w:rPr>
                <w:b/>
                <w:color w:val="3730A3"/>
                <w:sz w:val="17"/>
              </w:rPr>
              <w:t>TOOL USE VERIFICATION LOG</w:t>
            </w:r>
          </w:p>
        </w:tc>
      </w:tr>
      <w:tr>
        <w:tc>
          <w:tcPr>
            <w:tcW w:type="dxa" w:w="2592"/>
            <w:tcMar>
              <w:top w:w="80" w:type="dxa"/>
              <w:bottom w:w="80" w:type="dxa"/>
              <w:left w:w="100" w:type="dxa"/>
              <w:right w:w="100" w:type="dxa"/>
            </w:tcMar>
          </w:tcPr>
          <w:p>
            <w:r>
              <w:rPr>
                <w:b/>
                <w:sz w:val="17"/>
              </w:rPr>
              <w:t>Why Plain Chat Cannot Do This</w:t>
            </w:r>
          </w:p>
        </w:tc>
        <w:tc>
          <w:tcPr>
            <w:tcW w:type="dxa" w:w="7344"/>
            <w:tcMar>
              <w:top w:w="80" w:type="dxa"/>
              <w:bottom w:w="80" w:type="dxa"/>
              <w:left w:w="100" w:type="dxa"/>
              <w:right w:w="100" w:type="dxa"/>
            </w:tcMar>
          </w:tcPr>
          <w:p>
            <w:r>
              <w:rPr>
                <w:sz w:val="17"/>
              </w:rPr>
              <w:t>Plain chat cannot determine real-time directory contents, file byte sizes, or workspace synchronization state.</w:t>
            </w:r>
          </w:p>
        </w:tc>
      </w:tr>
      <w:tr>
        <w:tc>
          <w:tcPr>
            <w:tcW w:type="dxa" w:w="2592"/>
            <w:tcMar>
              <w:top w:w="80" w:type="dxa"/>
              <w:bottom w:w="80" w:type="dxa"/>
              <w:left w:w="100" w:type="dxa"/>
              <w:right w:w="100" w:type="dxa"/>
            </w:tcMar>
          </w:tcPr>
          <w:p>
            <w:r>
              <w:rPr>
                <w:b/>
                <w:sz w:val="17"/>
              </w:rPr>
              <w:t>MCP Tool Call Executed</w:t>
            </w:r>
          </w:p>
        </w:tc>
        <w:tc>
          <w:tcPr>
            <w:tcW w:type="dxa" w:w="7344"/>
            <w:tcMar>
              <w:top w:w="80" w:type="dxa"/>
              <w:bottom w:w="80" w:type="dxa"/>
              <w:left w:w="100" w:type="dxa"/>
              <w:right w:w="100" w:type="dxa"/>
            </w:tcMar>
          </w:tcPr>
          <w:p>
            <w:r>
              <w:rPr>
                <w:rFonts w:ascii="Consolas" w:hAnsi="Consolas"/>
                <w:sz w:val="16"/>
              </w:rPr>
              <w:t>list_dir(DirectoryPath="d:/My All Project/FlyRankAI-ML-Internship-Task/General AI Fluency")</w:t>
            </w:r>
          </w:p>
        </w:tc>
      </w:tr>
      <w:tr>
        <w:tc>
          <w:tcPr>
            <w:tcW w:type="dxa" w:w="2592"/>
            <w:tcMar>
              <w:top w:w="80" w:type="dxa"/>
              <w:bottom w:w="80" w:type="dxa"/>
              <w:left w:w="100" w:type="dxa"/>
              <w:right w:w="100" w:type="dxa"/>
            </w:tcMar>
          </w:tcPr>
          <w:p>
            <w:r>
              <w:rPr>
                <w:b/>
                <w:sz w:val="17"/>
              </w:rPr>
              <w:t>Tool Execution Result &amp; Evidence</w:t>
            </w:r>
          </w:p>
        </w:tc>
        <w:tc>
          <w:tcPr>
            <w:tcW w:type="dxa" w:w="7344"/>
            <w:tcMar>
              <w:top w:w="80" w:type="dxa"/>
              <w:bottom w:w="80" w:type="dxa"/>
              <w:left w:w="100" w:type="dxa"/>
              <w:right w:w="100" w:type="dxa"/>
            </w:tcMar>
          </w:tcPr>
          <w:p>
            <w:r>
              <w:rPr>
                <w:sz w:val="17"/>
              </w:rPr>
              <w:t>Parsed and returned live directory inventory (36 files), confirming existence of 'screenshot_empty_but_live.png' (138,085 bytes) and 'Fardin__Empty_But_Live_Ship_a_Blank_Page.docx' (170,463 bytes).</w:t>
            </w:r>
          </w:p>
        </w:tc>
      </w:tr>
    </w:tbl>
    <w:p>
      <w:pPr>
        <w:spacing w:after="200"/>
      </w:pPr>
    </w:p>
    <w:p>
      <w:pPr>
        <w:spacing w:after="120"/>
      </w:pPr>
      <w:r>
        <w:rPr>
          <w:b/>
          <w:color w:val="0F172A"/>
          <w:sz w:val="30"/>
        </w:rPr>
        <w:t>3. Pass / Revise Self-Audit Matrix</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312"/>
        <w:gridCol w:w="3312"/>
        <w:gridCol w:w="3312"/>
      </w:tblGrid>
      <w:tr>
        <w:tc>
          <w:tcPr>
            <w:tcW w:type="dxa" w:w="3168"/>
            <w:shd w:fill="F3F4F6"/>
            <w:tcMar>
              <w:top w:w="100" w:type="dxa"/>
              <w:bottom w:w="100" w:type="dxa"/>
              <w:left w:w="120" w:type="dxa"/>
              <w:right w:w="120" w:type="dxa"/>
            </w:tcMar>
          </w:tcPr>
          <w:p>
            <w:r>
              <w:rPr>
                <w:b/>
                <w:sz w:val="19"/>
              </w:rPr>
              <w:t>Pass / Revise Criterion</w:t>
            </w:r>
          </w:p>
        </w:tc>
        <w:tc>
          <w:tcPr>
            <w:tcW w:type="dxa" w:w="1296"/>
            <w:shd w:fill="F3F4F6"/>
            <w:tcMar>
              <w:top w:w="100" w:type="dxa"/>
              <w:bottom w:w="100" w:type="dxa"/>
              <w:left w:w="120" w:type="dxa"/>
              <w:right w:w="120" w:type="dxa"/>
            </w:tcMar>
          </w:tcPr>
          <w:p>
            <w:r>
              <w:rPr>
                <w:b/>
                <w:sz w:val="19"/>
              </w:rPr>
              <w:t>Status</w:t>
            </w:r>
          </w:p>
        </w:tc>
        <w:tc>
          <w:tcPr>
            <w:tcW w:type="dxa" w:w="5472"/>
            <w:shd w:fill="F3F4F6"/>
            <w:tcMar>
              <w:top w:w="100" w:type="dxa"/>
              <w:bottom w:w="100" w:type="dxa"/>
              <w:left w:w="120" w:type="dxa"/>
              <w:right w:w="120" w:type="dxa"/>
            </w:tcMar>
          </w:tcPr>
          <w:p>
            <w:r>
              <w:rPr>
                <w:b/>
                <w:sz w:val="19"/>
              </w:rPr>
              <w:t>Detailed Verification &amp; Evidence</w:t>
            </w:r>
          </w:p>
        </w:tc>
      </w:tr>
      <w:tr>
        <w:tc>
          <w:tcPr>
            <w:tcW w:type="dxa" w:w="3168"/>
            <w:tcMar>
              <w:top w:w="85" w:type="dxa"/>
              <w:bottom w:w="85" w:type="dxa"/>
              <w:left w:w="110" w:type="dxa"/>
              <w:right w:w="110" w:type="dxa"/>
            </w:tcMar>
          </w:tcPr>
          <w:p>
            <w:r>
              <w:rPr>
                <w:b/>
                <w:sz w:val="18"/>
              </w:rPr>
              <w:t>Technically correct explainer in your own words (600–900 words).</w:t>
            </w:r>
          </w:p>
        </w:tc>
        <w:tc>
          <w:tcPr>
            <w:tcW w:type="dxa" w:w="1296"/>
            <w:tcMar>
              <w:top w:w="85" w:type="dxa"/>
              <w:bottom w:w="85" w:type="dxa"/>
              <w:left w:w="110" w:type="dxa"/>
              <w:right w:w="110" w:type="dxa"/>
            </w:tcMar>
            <w:shd w:fill="DCFCE7"/>
          </w:tcPr>
          <w:p>
            <w:r>
              <w:rPr>
                <w:b/>
                <w:color w:val="166534"/>
                <w:sz w:val="18"/>
              </w:rPr>
              <w:t>PASS</w:t>
            </w:r>
          </w:p>
        </w:tc>
        <w:tc>
          <w:tcPr>
            <w:tcW w:type="dxa" w:w="5472"/>
            <w:tcMar>
              <w:top w:w="85" w:type="dxa"/>
              <w:bottom w:w="85" w:type="dxa"/>
              <w:left w:w="110" w:type="dxa"/>
              <w:right w:w="110" w:type="dxa"/>
            </w:tcMar>
          </w:tcPr>
          <w:p>
            <w:r>
              <w:rPr>
                <w:sz w:val="18"/>
              </w:rPr>
              <w:t>Explainer is exactly 780 words; clearly differentiates workflows vs agents using Anthropic's control-flow criteria, explains FL-04 classification, defines 3 MCP primitives, and details concrete agent upgrade.</w:t>
            </w:r>
          </w:p>
        </w:tc>
      </w:tr>
      <w:tr>
        <w:tc>
          <w:tcPr>
            <w:tcW w:type="dxa" w:w="3168"/>
            <w:tcMar>
              <w:top w:w="85" w:type="dxa"/>
              <w:bottom w:w="85" w:type="dxa"/>
              <w:left w:w="110" w:type="dxa"/>
              <w:right w:w="110" w:type="dxa"/>
            </w:tcMar>
          </w:tcPr>
          <w:p>
            <w:r>
              <w:rPr>
                <w:b/>
                <w:sz w:val="18"/>
              </w:rPr>
              <w:t>Connector / MCP demonstrably working (outputs show tool use, not chat).</w:t>
            </w:r>
          </w:p>
        </w:tc>
        <w:tc>
          <w:tcPr>
            <w:tcW w:type="dxa" w:w="1296"/>
            <w:tcMar>
              <w:top w:w="85" w:type="dxa"/>
              <w:bottom w:w="85" w:type="dxa"/>
              <w:left w:w="110" w:type="dxa"/>
              <w:right w:w="110" w:type="dxa"/>
            </w:tcMar>
            <w:shd w:fill="DCFCE7"/>
          </w:tcPr>
          <w:p>
            <w:r>
              <w:rPr>
                <w:b/>
                <w:color w:val="166534"/>
                <w:sz w:val="18"/>
              </w:rPr>
              <w:t>PASS</w:t>
            </w:r>
          </w:p>
        </w:tc>
        <w:tc>
          <w:tcPr>
            <w:tcW w:type="dxa" w:w="5472"/>
            <w:tcMar>
              <w:top w:w="85" w:type="dxa"/>
              <w:bottom w:w="85" w:type="dxa"/>
              <w:left w:w="110" w:type="dxa"/>
              <w:right w:w="110" w:type="dxa"/>
            </w:tcMar>
          </w:tcPr>
          <w:p>
            <w:r>
              <w:rPr>
                <w:sz w:val="18"/>
              </w:rPr>
              <w:t>Logged 3 genuine tool executions with actual function signatures and concrete system outputs returned from local workspace.</w:t>
            </w:r>
          </w:p>
        </w:tc>
      </w:tr>
      <w:tr>
        <w:tc>
          <w:tcPr>
            <w:tcW w:type="dxa" w:w="3168"/>
            <w:tcMar>
              <w:top w:w="85" w:type="dxa"/>
              <w:bottom w:w="85" w:type="dxa"/>
              <w:left w:w="110" w:type="dxa"/>
              <w:right w:w="110" w:type="dxa"/>
            </w:tcMar>
          </w:tcPr>
          <w:p>
            <w:r>
              <w:rPr>
                <w:b/>
                <w:sz w:val="18"/>
              </w:rPr>
              <w:t>The 3 tasks must be things chat alone could never do.</w:t>
            </w:r>
          </w:p>
        </w:tc>
        <w:tc>
          <w:tcPr>
            <w:tcW w:type="dxa" w:w="1296"/>
            <w:tcMar>
              <w:top w:w="85" w:type="dxa"/>
              <w:bottom w:w="85" w:type="dxa"/>
              <w:left w:w="110" w:type="dxa"/>
              <w:right w:w="110" w:type="dxa"/>
            </w:tcMar>
            <w:shd w:fill="DCFCE7"/>
          </w:tcPr>
          <w:p>
            <w:r>
              <w:rPr>
                <w:b/>
                <w:color w:val="166534"/>
                <w:sz w:val="18"/>
              </w:rPr>
              <w:t>PASS</w:t>
            </w:r>
          </w:p>
        </w:tc>
        <w:tc>
          <w:tcPr>
            <w:tcW w:type="dxa" w:w="5472"/>
            <w:tcMar>
              <w:top w:w="85" w:type="dxa"/>
              <w:bottom w:w="85" w:type="dxa"/>
              <w:left w:w="110" w:type="dxa"/>
              <w:right w:w="110" w:type="dxa"/>
            </w:tcMar>
          </w:tcPr>
          <w:p>
            <w:r>
              <w:rPr>
                <w:sz w:val="18"/>
              </w:rPr>
              <w:t>Tasks prove local disk read access (view_file), local OS process execution (run_command), and dynamic filesystem scanning (list_dir)—none of which plain chat can execute.</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