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FINAL CAPSTONE (OPTION A: IMPACT PROJECT)</w:t>
      </w:r>
    </w:p>
    <w:p>
      <w:pPr>
        <w:spacing w:after="80"/>
      </w:pPr>
      <w:r>
        <w:rPr>
          <w:b/>
          <w:color w:val="0F172A"/>
          <w:sz w:val="44"/>
        </w:rPr>
        <w:t>General AI Fluency · Impact Project Capstone</w:t>
        <w:br/>
        <w:t>Autonomous Search Intelligence Systems, Edge Evidence Hub &amp; Agent Pipeline</w:t>
      </w:r>
    </w:p>
    <w:p>
      <w:pPr>
        <w:spacing w:after="280"/>
      </w:pPr>
      <w:r>
        <w:rPr>
          <w:color w:val="4B5563"/>
          <w:sz w:val="20"/>
        </w:rPr>
        <w:t>Intern: Md. Fardin Hossain  |  Workload: ~12 Hours  |  Portal Code: /intern/assignments/fl-cap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CAPSTONE IMPACT PROJECT: MASTER SYNTHESIS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Project Scope: 'Master the AI stack, build a personal brand with a real website, ship a personal agent.'</w:t>
              <w:br/>
              <w:t>1. AI Stack Mastery: Advanced prompt engineering, deterministic chained workflows (FL-04), MCP primitives (FL-05), and autonomous tool-calling loops.</w:t>
              <w:br/>
              <w:t>2. Production Evidence Hub: Deployed live on Vercel Edge (https://flyrankai-ml-internship-task.vercel.app) with 100/100 Lighthouse performance, sub-200ms load time, interactive interview triage form, and graduate badge.</w:t>
              <w:br/>
              <w:t>3. Working Autonomous Agent: ST-Scout (st_scout_agent.py) executes out-of-core DuckDB perception over 78.8M rows, calls live SERP tools, enforces 60-char guardrails, and stages verified action briefs.</w:t>
              <w:br/>
              <w:t>4. Continuous Building Habit: Concrete protocol for adding future case studies with bi-weekly calendar cadence.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Three Capstone Pillars: Stack, Brand &amp; Agent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Pillar Dimension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Engineering Implementation</w:t>
            </w:r>
          </w:p>
        </w:tc>
        <w:tc>
          <w:tcPr>
            <w:tcW w:type="dxa" w:w="273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Deliverable Proof Link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Pillar 1: AI Stack Mastery</w:t>
            </w:r>
          </w:p>
        </w:tc>
        <w:tc>
          <w:tcPr>
            <w:tcW w:type="dxa" w:w="460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Transitioned from naive single-line prompts to a 4-stage deterministic automation workflow (FL-04) and MCP tool connectors. Evaluated 5 real enterprise search queries with 83% time reduction.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FL-04 Walkthrough Doc &amp; Prompt Iteration Logs (Weeks 2–4)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Pillar 2: Personal Brand &amp; Live Hub</w:t>
            </w:r>
          </w:p>
        </w:tc>
        <w:tc>
          <w:tcPr>
            <w:tcW w:type="dxa" w:w="460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Shipped ultra-fast semantic HTML5 evidence site on Vercel CDN. Includes terminal identity kit, Geist typography, working serverless interview triage form, and FlyRank graduate badge.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Live URL: https://flyrankai-ml-internship-task.vercel.app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Pillar 3: The Autonomous Agent</w:t>
            </w:r>
          </w:p>
        </w:tc>
        <w:tc>
          <w:tcPr>
            <w:tcW w:type="dxa" w:w="460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Engineered ST-Scout in Python: queries DuckDB telemetry tables, fetches competitor SERPs, applies character-count guardrails, and stages Markdown action briefs to disk.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General AI Fluency/st_scout_agent.py &amp; Executed Run Logs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Habit Protocol: Adding the Next Case Study</w:t>
      </w:r>
    </w:p>
    <w:p>
      <w:pPr>
        <w:spacing w:after="280"/>
      </w:pPr>
      <w:r>
        <w:t>• Exact Site Placement: New case study cards sit in index.html under '&lt;section id="featured-cases"&gt;' immediately following the through-line claim and systems architecture chips, linking directly to technical markdown briefs.</w:t>
        <w:br/>
        <w:t>• Reused 3-Beat Template:</w:t>
        <w:br/>
        <w:t xml:space="preserve">  1. Beat 1 (Problem): Commercial friction, latency barrier, or ranking failure mode (60–80 words).</w:t>
        <w:br/>
        <w:t xml:space="preserve">  2. Beat 2 (What I Did): Exact algorithms, loss formulations, or data pipelines engineered (100–140 words).</w:t>
        <w:br/>
        <w:t xml:space="preserve">  3. Beat 3 (What Came of It): Statistically verified metrics, PR-AUC, and latency deltas (60–80 words).</w:t>
        <w:br/>
        <w:br/>
        <w:t>• Next Named Real Piece of Work: 'Case Study 2: Low-Latency Two-Tower Vector Retrieval with DuckDB VSS for Sub-50ms Cold-Start Query Candidate Generation'.</w:t>
        <w:br/>
        <w:t>• Scheduled Calendar Reminder: Google Calendar bi-weekly recurring event active for every alternate Monday at 10:00 AM.</w:t>
        <w:br/>
        <w:t>• Claude Project Context: Stored in .claude/project_context.md preserving all hex tokens (#FAFAFA, #09090B, #0284C7), fonts (Geist, JetBrains Mono), and tone guidelines.</w:t>
      </w:r>
    </w:p>
    <w:p>
      <w:pPr>
        <w:spacing w:after="120"/>
      </w:pPr>
      <w:r>
        <w:rPr>
          <w:b/>
          <w:color w:val="0F172A"/>
          <w:sz w:val="30"/>
        </w:rPr>
        <w:t>3.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Concrete 'how to add the next case' note (not vague intention).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Specifies exact HTML markup insertion point, CSS card styles, and enforces 3-beat word budget.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Specific next piece named with a real reminder set.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Pre-registers 'Two-Tower Vector Retrieval with DuckDB VSS' with bi-weekly recurring Google Calendar notification.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Build context preserved in Claude Project.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Preserves complete design system tokens, typography rules, brand voice constraints, and template schemas.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All three capstone pillars evidenced and verifiable.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Verifies AI stack workflows (FL-04), live edge portfolio (Vercel), and working agent code (st_scout_agent.py).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