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BDA775">
      <w:pPr>
        <w:spacing w:after="40"/>
      </w:pPr>
      <w:r>
        <w:rPr>
          <w:b/>
          <w:color w:val="1E40AF"/>
          <w:sz w:val="19"/>
        </w:rPr>
        <w:t>GENERAL AI FLUENCY TRACK  |  WEEK 1 SETUP (FL-01B)</w:t>
      </w:r>
    </w:p>
    <w:p w14:paraId="01ECA9D5">
      <w:pPr>
        <w:spacing w:after="80"/>
      </w:pPr>
      <w:r>
        <w:rPr>
          <w:b/>
          <w:color w:val="0F172A"/>
          <w:sz w:val="48"/>
        </w:rPr>
        <w:t>What Are You Proving?</w:t>
      </w:r>
      <w:r>
        <w:rPr>
          <w:b/>
          <w:color w:val="0F172A"/>
          <w:sz w:val="48"/>
        </w:rPr>
        <w:br w:type="textWrapping"/>
      </w:r>
      <w:r>
        <w:rPr>
          <w:b/>
          <w:color w:val="0F172A"/>
          <w:sz w:val="48"/>
        </w:rPr>
        <w:t>Proof Statement &amp; One-Line Why</w:t>
      </w:r>
    </w:p>
    <w:p w14:paraId="4F5C12D5">
      <w:pPr>
        <w:spacing w:after="320"/>
      </w:pPr>
      <w:r>
        <w:rPr>
          <w:color w:val="4B5563"/>
          <w:sz w:val="20"/>
        </w:rPr>
        <w:t xml:space="preserve">Intern: </w:t>
      </w:r>
      <w:r>
        <w:rPr>
          <w:rFonts w:hint="default"/>
          <w:color w:val="4B5563"/>
          <w:sz w:val="20"/>
          <w:lang w:val="en-US"/>
        </w:rPr>
        <w:t xml:space="preserve">Md. </w:t>
      </w:r>
      <w:r>
        <w:rPr>
          <w:color w:val="4B5563"/>
          <w:sz w:val="20"/>
        </w:rPr>
        <w:t>Fardin Hossain  |  Workload: 2 Hours  |  Submission URL: https://aifluency.flyrank.ai/week-01.html#what-are-you-proving</w:t>
      </w:r>
    </w:p>
    <w:tbl>
      <w:tblPr>
        <w:tblStyle w:val="12"/>
        <w:tblW w:w="0" w:type="auto"/>
        <w:jc w:val="center"/>
        <w:tblLayout w:type="autofit"/>
        <w:tblCellMar>
          <w:top w:w="0" w:type="dxa"/>
          <w:left w:w="108" w:type="dxa"/>
          <w:bottom w:w="0" w:type="dxa"/>
          <w:right w:w="108" w:type="dxa"/>
        </w:tblCellMar>
      </w:tblPr>
      <w:tblGrid>
        <w:gridCol w:w="9936"/>
      </w:tblGrid>
      <w:tr w14:paraId="34594A9D">
        <w:tblPrEx>
          <w:tblCellMar>
            <w:top w:w="0" w:type="dxa"/>
            <w:left w:w="108" w:type="dxa"/>
            <w:bottom w:w="0" w:type="dxa"/>
            <w:right w:w="108" w:type="dxa"/>
          </w:tblCellMar>
        </w:tblPrEx>
        <w:trPr>
          <w:jc w:val="center"/>
        </w:trPr>
        <w:tc>
          <w:tcPr>
            <w:tcW w:w="9936" w:type="dxa"/>
            <w:tcBorders>
              <w:top w:val="nil"/>
              <w:left w:val="single" w:color="2563EB" w:sz="24" w:space="0"/>
              <w:bottom w:val="nil"/>
              <w:right w:val="nil"/>
            </w:tcBorders>
            <w:shd w:val="clear" w:color="auto" w:fill="F0F7FF"/>
            <w:tcMar>
              <w:top w:w="200" w:type="dxa"/>
              <w:left w:w="240" w:type="dxa"/>
              <w:bottom w:w="200" w:type="dxa"/>
              <w:right w:w="240" w:type="dxa"/>
            </w:tcMar>
          </w:tcPr>
          <w:p w14:paraId="034C3B9C">
            <w:pPr>
              <w:spacing w:after="120"/>
            </w:pPr>
            <w:r>
              <w:rPr>
                <w:b/>
                <w:color w:val="1D4ED8"/>
                <w:sz w:val="20"/>
              </w:rPr>
              <w:t>THE CORE DELIVERABLE</w:t>
            </w:r>
          </w:p>
          <w:p w14:paraId="3B75D34B">
            <w:pPr>
              <w:spacing w:after="80"/>
            </w:pPr>
            <w:r>
              <w:rPr>
                <w:b/>
                <w:color w:val="0F172A"/>
                <w:sz w:val="22"/>
              </w:rPr>
              <w:t>The One-Paragraph Proof Statement (Claim + Person + Action):</w:t>
            </w:r>
          </w:p>
          <w:p w14:paraId="77F937FA">
            <w:pPr>
              <w:spacing w:after="240" w:line="288" w:lineRule="auto"/>
            </w:pPr>
            <w:r>
              <w:rPr>
                <w:i/>
                <w:color w:val="111827"/>
                <w:sz w:val="23"/>
              </w:rPr>
              <w:t>“I build tabular ranking and prioritization models on noisy, large-scale search telemetry (78.8M+ rows) and evaluate them with leak-free grouped validation so business teams can trust automated triage decisions on cold-start client domains. I built this portfolio specifically for an Engineering Manager or Applied AI Lead hiring for an ML Engineer role at an applied AI scale-up. After reviewing the end-to-end data pipelines, cold-start validation curves, and reproducible code, the single action I want you to take is to email me at fardin.hosn@gmail.com to schedule a 20-minute technical interview.”</w:t>
            </w:r>
          </w:p>
          <w:p w14:paraId="09DD8D9C">
            <w:pPr>
              <w:spacing w:after="80"/>
            </w:pPr>
            <w:r>
              <w:rPr>
                <w:b/>
                <w:color w:val="0F172A"/>
                <w:sz w:val="22"/>
              </w:rPr>
              <w:t>The One-Line Why:</w:t>
            </w:r>
          </w:p>
          <w:p w14:paraId="58F4168E">
            <w:pPr>
              <w:spacing w:after="80" w:line="288" w:lineRule="auto"/>
            </w:pPr>
            <w:r>
              <w:rPr>
                <w:b/>
                <w:i/>
                <w:color w:val="1E3A8A"/>
                <w:sz w:val="23"/>
              </w:rPr>
              <w:t>“A CV lists libraries and claims model accuracy, but it cannot prove how I handle missing data, prevent cross-domain data leakage, or defend decision-support ranking trade-offs under real-world noise.”</w:t>
            </w:r>
          </w:p>
        </w:tc>
      </w:tr>
    </w:tbl>
    <w:p w14:paraId="32AF03CB">
      <w:pPr>
        <w:spacing w:after="240"/>
      </w:pPr>
    </w:p>
    <w:p w14:paraId="3A2D057C">
      <w:pPr>
        <w:spacing w:after="160"/>
      </w:pPr>
      <w:r>
        <w:rPr>
          <w:b/>
          <w:color w:val="0F172A"/>
          <w:sz w:val="30"/>
        </w:rPr>
        <w:t>1. Component Deconstruction &amp; Alignment</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3888"/>
        <w:gridCol w:w="3888"/>
      </w:tblGrid>
      <w:tr w14:paraId="10FD2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3F4F6"/>
            <w:tcMar>
              <w:top w:w="120" w:type="dxa"/>
              <w:left w:w="140" w:type="dxa"/>
              <w:bottom w:w="120" w:type="dxa"/>
              <w:right w:w="140" w:type="dxa"/>
            </w:tcMar>
          </w:tcPr>
          <w:p w14:paraId="55B749BC">
            <w:r>
              <w:rPr>
                <w:b/>
                <w:color w:val="111827"/>
                <w:sz w:val="20"/>
              </w:rPr>
              <w:t>Element</w:t>
            </w:r>
          </w:p>
        </w:tc>
        <w:tc>
          <w:tcPr>
            <w:tcW w:w="3888" w:type="dxa"/>
            <w:shd w:val="clear" w:color="auto" w:fill="F3F4F6"/>
            <w:tcMar>
              <w:top w:w="120" w:type="dxa"/>
              <w:left w:w="140" w:type="dxa"/>
              <w:bottom w:w="120" w:type="dxa"/>
              <w:right w:w="140" w:type="dxa"/>
            </w:tcMar>
          </w:tcPr>
          <w:p w14:paraId="3DE85AF6">
            <w:r>
              <w:rPr>
                <w:b/>
                <w:color w:val="111827"/>
                <w:sz w:val="20"/>
              </w:rPr>
              <w:t>Formulation</w:t>
            </w:r>
          </w:p>
        </w:tc>
        <w:tc>
          <w:tcPr>
            <w:tcW w:w="3888" w:type="dxa"/>
            <w:shd w:val="clear" w:color="auto" w:fill="F3F4F6"/>
            <w:tcMar>
              <w:top w:w="120" w:type="dxa"/>
              <w:left w:w="140" w:type="dxa"/>
              <w:bottom w:w="120" w:type="dxa"/>
              <w:right w:w="140" w:type="dxa"/>
            </w:tcMar>
          </w:tcPr>
          <w:p w14:paraId="2BD67319">
            <w:r>
              <w:rPr>
                <w:b/>
                <w:color w:val="111827"/>
                <w:sz w:val="20"/>
              </w:rPr>
              <w:t>Why This Formulation Wins</w:t>
            </w:r>
          </w:p>
        </w:tc>
      </w:tr>
      <w:tr w14:paraId="14D4C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AFAFA"/>
            <w:tcMar>
              <w:top w:w="100" w:type="dxa"/>
              <w:left w:w="140" w:type="dxa"/>
              <w:bottom w:w="100" w:type="dxa"/>
              <w:right w:w="140" w:type="dxa"/>
            </w:tcMar>
          </w:tcPr>
          <w:p w14:paraId="2E912460">
            <w:r>
              <w:rPr>
                <w:b/>
                <w:sz w:val="19"/>
              </w:rPr>
              <w:t>The One Claim</w:t>
            </w:r>
            <w:r>
              <w:rPr>
                <w:b/>
                <w:sz w:val="19"/>
              </w:rPr>
              <w:br w:type="textWrapping"/>
            </w:r>
            <w:r>
              <w:rPr>
                <w:b/>
                <w:sz w:val="19"/>
              </w:rPr>
              <w:t>(One Primary Skill)</w:t>
            </w:r>
          </w:p>
        </w:tc>
        <w:tc>
          <w:tcPr>
            <w:tcW w:w="3888" w:type="dxa"/>
            <w:tcMar>
              <w:top w:w="100" w:type="dxa"/>
              <w:left w:w="140" w:type="dxa"/>
              <w:bottom w:w="100" w:type="dxa"/>
              <w:right w:w="140" w:type="dxa"/>
            </w:tcMar>
          </w:tcPr>
          <w:p w14:paraId="60866BF3">
            <w:r>
              <w:rPr>
                <w:sz w:val="19"/>
              </w:rPr>
              <w:t>Building tabular ranking and prioritization models on noisy, large-scale search telemetry with leak-free grouped validation.</w:t>
            </w:r>
          </w:p>
        </w:tc>
        <w:tc>
          <w:tcPr>
            <w:tcW w:w="3888" w:type="dxa"/>
            <w:tcMar>
              <w:top w:w="100" w:type="dxa"/>
              <w:left w:w="140" w:type="dxa"/>
              <w:bottom w:w="100" w:type="dxa"/>
              <w:right w:w="140" w:type="dxa"/>
            </w:tcMar>
          </w:tcPr>
          <w:p w14:paraId="7261F7E3">
            <w:r>
              <w:rPr>
                <w:sz w:val="19"/>
              </w:rPr>
              <w:t>Avoids hiding behind 'and' (no generic 'I do NLP, Computer Vision, and full-stack'). Pinpoints an exact, high-demand industrial ML skill on messy real-world data.</w:t>
            </w:r>
          </w:p>
        </w:tc>
      </w:tr>
      <w:tr w14:paraId="71E0A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AFAFA"/>
            <w:tcMar>
              <w:top w:w="100" w:type="dxa"/>
              <w:left w:w="140" w:type="dxa"/>
              <w:bottom w:w="100" w:type="dxa"/>
              <w:right w:w="140" w:type="dxa"/>
            </w:tcMar>
          </w:tcPr>
          <w:p w14:paraId="5083242C">
            <w:r>
              <w:rPr>
                <w:b/>
                <w:sz w:val="19"/>
              </w:rPr>
              <w:t>The One Person</w:t>
            </w:r>
            <w:r>
              <w:rPr>
                <w:b/>
                <w:sz w:val="19"/>
              </w:rPr>
              <w:br w:type="textWrapping"/>
            </w:r>
            <w:r>
              <w:rPr>
                <w:b/>
                <w:sz w:val="19"/>
              </w:rPr>
              <w:t>(Target Audience)</w:t>
            </w:r>
          </w:p>
        </w:tc>
        <w:tc>
          <w:tcPr>
            <w:tcW w:w="3888" w:type="dxa"/>
            <w:tcMar>
              <w:top w:w="100" w:type="dxa"/>
              <w:left w:w="140" w:type="dxa"/>
              <w:bottom w:w="100" w:type="dxa"/>
              <w:right w:w="140" w:type="dxa"/>
            </w:tcMar>
          </w:tcPr>
          <w:p w14:paraId="04948FC0">
            <w:r>
              <w:rPr>
                <w:sz w:val="19"/>
              </w:rPr>
              <w:t>Senior Engineering Manager or Lead Applied AI Researcher hiring for an ML Engineer or Decision-Support Systems role at an applied AI scale-up.</w:t>
            </w:r>
          </w:p>
        </w:tc>
        <w:tc>
          <w:tcPr>
            <w:tcW w:w="3888" w:type="dxa"/>
            <w:tcMar>
              <w:top w:w="100" w:type="dxa"/>
              <w:left w:w="140" w:type="dxa"/>
              <w:bottom w:w="100" w:type="dxa"/>
              <w:right w:w="140" w:type="dxa"/>
            </w:tcMar>
          </w:tcPr>
          <w:p w14:paraId="164C5094">
            <w:r>
              <w:rPr>
                <w:sz w:val="19"/>
              </w:rPr>
              <w:t>Not 'anyone looking for talent' or generic HR recruiters. Specifically targets the technical hiring manager who appreciates data hygiene, validation discipline, and cold-start generalization.</w:t>
            </w:r>
          </w:p>
        </w:tc>
      </w:tr>
      <w:tr w14:paraId="099C3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AFAFA"/>
            <w:tcMar>
              <w:top w:w="100" w:type="dxa"/>
              <w:left w:w="140" w:type="dxa"/>
              <w:bottom w:w="100" w:type="dxa"/>
              <w:right w:w="140" w:type="dxa"/>
            </w:tcMar>
          </w:tcPr>
          <w:p w14:paraId="180C6DFE">
            <w:r>
              <w:rPr>
                <w:b/>
                <w:sz w:val="19"/>
              </w:rPr>
              <w:t>The One Action</w:t>
            </w:r>
            <w:r>
              <w:rPr>
                <w:b/>
                <w:sz w:val="19"/>
              </w:rPr>
              <w:br w:type="textWrapping"/>
            </w:r>
            <w:r>
              <w:rPr>
                <w:b/>
                <w:sz w:val="19"/>
              </w:rPr>
              <w:t>(Single Conversion)</w:t>
            </w:r>
          </w:p>
        </w:tc>
        <w:tc>
          <w:tcPr>
            <w:tcW w:w="3888" w:type="dxa"/>
            <w:tcMar>
              <w:top w:w="100" w:type="dxa"/>
              <w:left w:w="140" w:type="dxa"/>
              <w:bottom w:w="100" w:type="dxa"/>
              <w:right w:w="140" w:type="dxa"/>
            </w:tcMar>
          </w:tcPr>
          <w:p w14:paraId="37D8C9E0">
            <w:r>
              <w:rPr>
                <w:sz w:val="19"/>
              </w:rPr>
              <w:t>Email me at fardin.hosn@gmail.com to schedule a 20-minute technical interview or architectural walkthrough.</w:t>
            </w:r>
          </w:p>
        </w:tc>
        <w:tc>
          <w:tcPr>
            <w:tcW w:w="3888" w:type="dxa"/>
            <w:tcMar>
              <w:top w:w="100" w:type="dxa"/>
              <w:left w:w="140" w:type="dxa"/>
              <w:bottom w:w="100" w:type="dxa"/>
              <w:right w:w="140" w:type="dxa"/>
            </w:tcMar>
          </w:tcPr>
          <w:p w14:paraId="5A8D6DFF">
            <w:r>
              <w:rPr>
                <w:sz w:val="19"/>
              </w:rPr>
              <w:t>Zero ambiguity. No weak calls-to-action like 'check my socials' or 'leave a comment'. A direct, single conversion step with an actionable timeframe.</w:t>
            </w:r>
          </w:p>
        </w:tc>
      </w:tr>
    </w:tbl>
    <w:p w14:paraId="4B1CB63F">
      <w:pPr>
        <w:spacing w:after="280"/>
      </w:pPr>
    </w:p>
    <w:p w14:paraId="6B91A404">
      <w:pPr>
        <w:spacing w:after="120"/>
      </w:pPr>
      <w:r>
        <w:rPr>
          <w:b/>
          <w:color w:val="0F172A"/>
          <w:sz w:val="30"/>
        </w:rPr>
        <w:t>2. AI as a Thinking Partner: Socratic Interview &amp; Pushback Log</w:t>
      </w:r>
    </w:p>
    <w:p w14:paraId="543AE4E5">
      <w:pPr>
        <w:spacing w:after="200"/>
      </w:pPr>
      <w:r>
        <w:rPr>
          <w:color w:val="374151"/>
          <w:sz w:val="20"/>
        </w:rPr>
        <w:t>To ensure the proof statement was genuinely narrow, honest, and truly mine, I engaged Claude as a rigorous interviewer rather than an author. Here is the actual progression of how weak, generic initial drafts were interrogated and sharpened into an undeniable, authentic proof statement:</w:t>
      </w:r>
    </w:p>
    <w:tbl>
      <w:tblPr>
        <w:tblStyle w:val="12"/>
        <w:tblW w:w="0" w:type="auto"/>
        <w:jc w:val="center"/>
        <w:tblBorders>
          <w:top w:val="single" w:color="E5E7EB" w:sz="4" w:space="0"/>
          <w:left w:val="none" w:color="auto" w:sz="0" w:space="0"/>
          <w:bottom w:val="single" w:color="E5E7EB" w:sz="4" w:space="0"/>
          <w:right w:val="none" w:color="auto" w:sz="0" w:space="0"/>
          <w:insideH w:val="single" w:color="E5E7EB" w:sz="4" w:space="0"/>
          <w:insideV w:val="none" w:color="auto" w:sz="0" w:space="0"/>
        </w:tblBorders>
        <w:tblLayout w:type="autofit"/>
        <w:tblCellMar>
          <w:top w:w="0" w:type="dxa"/>
          <w:left w:w="108" w:type="dxa"/>
          <w:bottom w:w="0" w:type="dxa"/>
          <w:right w:w="108" w:type="dxa"/>
        </w:tblCellMar>
      </w:tblPr>
      <w:tblGrid>
        <w:gridCol w:w="9936"/>
      </w:tblGrid>
      <w:tr w14:paraId="07A22721">
        <w:tblPrEx>
          <w:tblBorders>
            <w:top w:val="single" w:color="E5E7EB" w:sz="4" w:space="0"/>
            <w:left w:val="none" w:color="auto" w:sz="0" w:space="0"/>
            <w:bottom w:val="single" w:color="E5E7EB" w:sz="4"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936" w:type="dxa"/>
            <w:shd w:val="clear" w:color="auto" w:fill="F9FAFB"/>
            <w:tcMar>
              <w:top w:w="160" w:type="dxa"/>
              <w:left w:w="180" w:type="dxa"/>
              <w:bottom w:w="160" w:type="dxa"/>
              <w:right w:w="180" w:type="dxa"/>
            </w:tcMar>
          </w:tcPr>
          <w:p w14:paraId="09AF9148"/>
          <w:p w14:paraId="38E8329D">
            <w:pPr>
              <w:spacing w:after="40"/>
            </w:pPr>
            <w:r>
              <w:rPr>
                <w:b/>
                <w:color w:val="4338CA"/>
                <w:sz w:val="19"/>
              </w:rPr>
              <w:t>AI Interviewer (Round 1):</w:t>
            </w:r>
          </w:p>
          <w:p w14:paraId="776EB12A">
            <w:pPr>
              <w:spacing w:after="160"/>
            </w:pPr>
            <w:r>
              <w:rPr>
                <w:color w:val="374151"/>
                <w:sz w:val="19"/>
              </w:rPr>
              <w:t>What is your draft claim right now?</w:t>
            </w:r>
          </w:p>
          <w:p w14:paraId="6DAE6F4E">
            <w:pPr>
              <w:spacing w:after="40"/>
            </w:pPr>
            <w:r>
              <w:rPr>
                <w:b/>
                <w:color w:val="1F2937"/>
                <w:sz w:val="19"/>
              </w:rPr>
              <w:t>My Initial Draft:</w:t>
            </w:r>
          </w:p>
          <w:p w14:paraId="45AD19A4">
            <w:pPr>
              <w:spacing w:after="160"/>
            </w:pPr>
            <w:r>
              <w:rPr>
                <w:color w:val="374151"/>
                <w:sz w:val="19"/>
              </w:rPr>
              <w:t>“I am an AI/ML Engineer who builds intelligent solutions using machine learning, deep learning, and data science to help businesses grow.”</w:t>
            </w:r>
          </w:p>
          <w:p w14:paraId="5F39C2BA">
            <w:pPr>
              <w:spacing w:after="40"/>
            </w:pPr>
            <w:r>
              <w:rPr>
                <w:b/>
                <w:color w:val="DC2626"/>
                <w:sz w:val="19"/>
              </w:rPr>
              <w:t>AI Interviewer Pushback (Round 1):</w:t>
            </w:r>
          </w:p>
          <w:p w14:paraId="75F5C602">
            <w:pPr>
              <w:spacing w:after="160"/>
            </w:pPr>
            <w:r>
              <w:rPr>
                <w:color w:val="374151"/>
                <w:sz w:val="19"/>
              </w:rPr>
              <w:t>That claim is completely invisible. Every graduate portfolio on GitHub says the exact same thing. 'Intelligent solutions' means nothing. 'ML, deep learning, and data science' is three buzzwords hiding behind 'and'. What is the ONE single hardest technical thing you actually did in this repo that 90% of junior applicants screw up?</w:t>
            </w:r>
          </w:p>
          <w:p w14:paraId="32507DDC">
            <w:pPr>
              <w:spacing w:after="40"/>
            </w:pPr>
            <w:r>
              <w:rPr>
                <w:b/>
                <w:color w:val="1F2937"/>
                <w:sz w:val="19"/>
              </w:rPr>
              <w:t>My Response:</w:t>
            </w:r>
          </w:p>
          <w:p w14:paraId="52C5CC6C">
            <w:pPr>
              <w:spacing w:after="160"/>
            </w:pPr>
            <w:r>
              <w:rPr>
                <w:color w:val="374151"/>
                <w:sz w:val="19"/>
              </w:rPr>
              <w:t>In this repo, I took 78.8 million rows of messy Google Search Console impression logs across multiple client domains. Most people just shuffle-split the data and get 99% accuracy because the same domain is in train and test. I caught that data leakage and engineered GroupKFold splits across unseen client domains, proving cold-start generalization with LightGBM.</w:t>
            </w:r>
          </w:p>
          <w:p w14:paraId="211FE58C">
            <w:pPr>
              <w:spacing w:after="40"/>
            </w:pPr>
            <w:r>
              <w:rPr>
                <w:b/>
                <w:color w:val="4338CA"/>
                <w:sz w:val="19"/>
              </w:rPr>
              <w:t>AI Interviewer (Round 2):</w:t>
            </w:r>
          </w:p>
          <w:p w14:paraId="7F03C119">
            <w:pPr>
              <w:spacing w:after="160"/>
            </w:pPr>
            <w:r>
              <w:rPr>
                <w:color w:val="374151"/>
                <w:sz w:val="19"/>
              </w:rPr>
              <w:t>Now we are getting to the truth. That is a real, high-signal skill: tabular ranking under distribution shift with leakage-proof validation. Now, who is the 'one person' you want reading this? Don't say 'recruiters'—they don't know what GroupKFold is.</w:t>
            </w:r>
          </w:p>
          <w:p w14:paraId="49C2E72F">
            <w:pPr>
              <w:spacing w:after="40"/>
            </w:pPr>
            <w:r>
              <w:rPr>
                <w:b/>
                <w:color w:val="1F2937"/>
                <w:sz w:val="19"/>
              </w:rPr>
              <w:t>My Response:</w:t>
            </w:r>
          </w:p>
          <w:p w14:paraId="35B57177">
            <w:pPr>
              <w:spacing w:after="160"/>
            </w:pPr>
            <w:r>
              <w:rPr>
                <w:color w:val="374151"/>
                <w:sz w:val="19"/>
              </w:rPr>
              <w:t>A Senior Engineering Manager or Lead Applied AI Researcher. The person who has to debug model degradation in production and loses sleep over data leakage.</w:t>
            </w:r>
          </w:p>
          <w:p w14:paraId="114C0C46">
            <w:pPr>
              <w:spacing w:after="40"/>
            </w:pPr>
            <w:r>
              <w:rPr>
                <w:b/>
                <w:color w:val="4338CA"/>
                <w:sz w:val="19"/>
              </w:rPr>
              <w:t>AI Interviewer (Round 3):</w:t>
            </w:r>
          </w:p>
          <w:p w14:paraId="1510A704">
            <w:pPr>
              <w:spacing w:after="160"/>
            </w:pPr>
            <w:r>
              <w:rPr>
                <w:color w:val="374151"/>
                <w:sz w:val="19"/>
              </w:rPr>
              <w:t>Good. And what is the 'one action'? Many candidates say: 'Connect on LinkedIn, follow my GitHub, check out my demo, or download my resume.' Pick ONE.</w:t>
            </w:r>
          </w:p>
          <w:p w14:paraId="7FFE4969">
            <w:pPr>
              <w:spacing w:after="40"/>
            </w:pPr>
            <w:r>
              <w:rPr>
                <w:b/>
                <w:color w:val="1F2937"/>
                <w:sz w:val="19"/>
              </w:rPr>
              <w:t>My Response:</w:t>
            </w:r>
          </w:p>
          <w:p w14:paraId="5AF99DA6">
            <w:pPr>
              <w:spacing w:after="160"/>
            </w:pPr>
            <w:r>
              <w:rPr>
                <w:color w:val="374151"/>
                <w:sz w:val="19"/>
              </w:rPr>
              <w:t>Email me directly at fardin.hosn@gmail.com to schedule a 20-minute technical interview.</w:t>
            </w:r>
          </w:p>
          <w:p w14:paraId="5379DD9E">
            <w:pPr>
              <w:spacing w:after="40"/>
            </w:pPr>
            <w:r>
              <w:rPr>
                <w:b/>
                <w:color w:val="4338CA"/>
                <w:sz w:val="19"/>
              </w:rPr>
              <w:t>AI Interviewer Synthesis:</w:t>
            </w:r>
          </w:p>
          <w:p w14:paraId="3C96E72F">
            <w:pPr>
              <w:spacing w:after="160"/>
            </w:pPr>
            <w:r>
              <w:rPr>
                <w:color w:val="374151"/>
                <w:sz w:val="19"/>
              </w:rPr>
              <w:t>Sharp. Why does this portfolio need to exist at all? What can't LinkedIn alone prove?</w:t>
            </w:r>
          </w:p>
          <w:p w14:paraId="6EE10955">
            <w:pPr>
              <w:spacing w:after="40"/>
            </w:pPr>
            <w:r>
              <w:rPr>
                <w:b/>
                <w:color w:val="1E3A8A"/>
                <w:sz w:val="19"/>
              </w:rPr>
              <w:t>My Final One-Line Why:</w:t>
            </w:r>
          </w:p>
          <w:p w14:paraId="7AA971ED">
            <w:pPr>
              <w:spacing w:after="160"/>
            </w:pPr>
            <w:r>
              <w:rPr>
                <w:color w:val="374151"/>
                <w:sz w:val="19"/>
              </w:rPr>
              <w:t>“A CV lists libraries and claims model accuracy, but it cannot prove how I handle missing data, prevent cross-domain data leakage, or defend decision-support ranking trade-offs under real-world noise.”</w:t>
            </w:r>
          </w:p>
        </w:tc>
      </w:tr>
    </w:tbl>
    <w:p w14:paraId="6877569E">
      <w:pPr>
        <w:spacing w:after="280"/>
      </w:pPr>
    </w:p>
    <w:p w14:paraId="1C5BB850">
      <w:pPr>
        <w:spacing w:after="160"/>
      </w:pPr>
      <w:r>
        <w:rPr>
          <w:b/>
          <w:color w:val="0F172A"/>
          <w:sz w:val="30"/>
        </w:rPr>
        <w:t>3. Pass / Revise Self-Audit Matrix</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1296"/>
        <w:gridCol w:w="5472"/>
      </w:tblGrid>
      <w:tr w14:paraId="43896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3F4F6"/>
            <w:tcMar>
              <w:top w:w="120" w:type="dxa"/>
              <w:left w:w="140" w:type="dxa"/>
              <w:bottom w:w="120" w:type="dxa"/>
              <w:right w:w="140" w:type="dxa"/>
            </w:tcMar>
          </w:tcPr>
          <w:p w14:paraId="2F42D6B6">
            <w:r>
              <w:rPr>
                <w:b/>
                <w:color w:val="111827"/>
                <w:sz w:val="20"/>
              </w:rPr>
              <w:t>Criterion</w:t>
            </w:r>
          </w:p>
        </w:tc>
        <w:tc>
          <w:tcPr>
            <w:tcW w:w="1296" w:type="dxa"/>
            <w:shd w:val="clear" w:color="auto" w:fill="F3F4F6"/>
            <w:tcMar>
              <w:top w:w="120" w:type="dxa"/>
              <w:left w:w="140" w:type="dxa"/>
              <w:bottom w:w="120" w:type="dxa"/>
              <w:right w:w="140" w:type="dxa"/>
            </w:tcMar>
          </w:tcPr>
          <w:p w14:paraId="6D486FD9">
            <w:r>
              <w:rPr>
                <w:b/>
                <w:color w:val="111827"/>
                <w:sz w:val="20"/>
              </w:rPr>
              <w:t>Status</w:t>
            </w:r>
          </w:p>
        </w:tc>
        <w:tc>
          <w:tcPr>
            <w:tcW w:w="5472" w:type="dxa"/>
            <w:shd w:val="clear" w:color="auto" w:fill="F3F4F6"/>
            <w:tcMar>
              <w:top w:w="120" w:type="dxa"/>
              <w:left w:w="140" w:type="dxa"/>
              <w:bottom w:w="120" w:type="dxa"/>
              <w:right w:w="140" w:type="dxa"/>
            </w:tcMar>
          </w:tcPr>
          <w:p w14:paraId="348736F5">
            <w:r>
              <w:rPr>
                <w:b/>
                <w:color w:val="111827"/>
                <w:sz w:val="20"/>
              </w:rPr>
              <w:t>Detailed Verification &amp; Justification</w:t>
            </w:r>
          </w:p>
        </w:tc>
      </w:tr>
      <w:tr w14:paraId="31C22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Mar>
              <w:top w:w="100" w:type="dxa"/>
              <w:left w:w="140" w:type="dxa"/>
              <w:bottom w:w="100" w:type="dxa"/>
              <w:right w:w="140" w:type="dxa"/>
            </w:tcMar>
          </w:tcPr>
          <w:p w14:paraId="58810670">
            <w:r>
              <w:rPr>
                <w:b/>
                <w:sz w:val="19"/>
              </w:rPr>
              <w:t>One primary claim is named, not three skills hiding behind 'and.'</w:t>
            </w:r>
          </w:p>
        </w:tc>
        <w:tc>
          <w:tcPr>
            <w:tcW w:w="1296" w:type="dxa"/>
            <w:shd w:val="clear" w:color="auto" w:fill="DCFCE7"/>
            <w:tcMar>
              <w:top w:w="100" w:type="dxa"/>
              <w:left w:w="140" w:type="dxa"/>
              <w:bottom w:w="100" w:type="dxa"/>
              <w:right w:w="140" w:type="dxa"/>
            </w:tcMar>
          </w:tcPr>
          <w:p w14:paraId="3B2E9EDC">
            <w:r>
              <w:rPr>
                <w:b/>
                <w:color w:val="166534"/>
                <w:sz w:val="19"/>
              </w:rPr>
              <w:t>PASS</w:t>
            </w:r>
          </w:p>
        </w:tc>
        <w:tc>
          <w:tcPr>
            <w:tcW w:w="5472" w:type="dxa"/>
            <w:tcMar>
              <w:top w:w="100" w:type="dxa"/>
              <w:left w:w="140" w:type="dxa"/>
              <w:bottom w:w="100" w:type="dxa"/>
              <w:right w:w="140" w:type="dxa"/>
            </w:tcMar>
          </w:tcPr>
          <w:p w14:paraId="792F4117">
            <w:r>
              <w:rPr>
                <w:sz w:val="19"/>
              </w:rPr>
              <w:t>The statement names exactly one core engineering capability: building tabular ranking and prioritization models with leak-free grouped validation. It explicitly rejected mixing NLP, CV, and web development.</w:t>
            </w:r>
          </w:p>
        </w:tc>
      </w:tr>
      <w:tr w14:paraId="79C25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Mar>
              <w:top w:w="100" w:type="dxa"/>
              <w:left w:w="140" w:type="dxa"/>
              <w:bottom w:w="100" w:type="dxa"/>
              <w:right w:w="140" w:type="dxa"/>
            </w:tcMar>
          </w:tcPr>
          <w:p w14:paraId="4AC2BAC4">
            <w:r>
              <w:rPr>
                <w:b/>
                <w:sz w:val="19"/>
              </w:rPr>
              <w:t>The audience is a specific person who could hire you, not 'everyone.'</w:t>
            </w:r>
          </w:p>
        </w:tc>
        <w:tc>
          <w:tcPr>
            <w:tcW w:w="1296" w:type="dxa"/>
            <w:shd w:val="clear" w:color="auto" w:fill="DCFCE7"/>
            <w:tcMar>
              <w:top w:w="100" w:type="dxa"/>
              <w:left w:w="140" w:type="dxa"/>
              <w:bottom w:w="100" w:type="dxa"/>
              <w:right w:w="140" w:type="dxa"/>
            </w:tcMar>
          </w:tcPr>
          <w:p w14:paraId="56250A15">
            <w:r>
              <w:rPr>
                <w:b/>
                <w:color w:val="166534"/>
                <w:sz w:val="19"/>
              </w:rPr>
              <w:t>PASS</w:t>
            </w:r>
          </w:p>
        </w:tc>
        <w:tc>
          <w:tcPr>
            <w:tcW w:w="5472" w:type="dxa"/>
            <w:tcMar>
              <w:top w:w="100" w:type="dxa"/>
              <w:left w:w="140" w:type="dxa"/>
              <w:bottom w:w="100" w:type="dxa"/>
              <w:right w:w="140" w:type="dxa"/>
            </w:tcMar>
          </w:tcPr>
          <w:p w14:paraId="3BB091B9">
            <w:r>
              <w:rPr>
                <w:sz w:val="19"/>
              </w:rPr>
              <w:t>Targets an 'Engineering Manager or Lead Applied AI Researcher hiring for an ML Engineer role at an applied AI scale-up'—a specific decision-maker who values validation discipline.</w:t>
            </w:r>
          </w:p>
        </w:tc>
      </w:tr>
      <w:tr w14:paraId="5C13C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Mar>
              <w:top w:w="100" w:type="dxa"/>
              <w:left w:w="140" w:type="dxa"/>
              <w:bottom w:w="100" w:type="dxa"/>
              <w:right w:w="140" w:type="dxa"/>
            </w:tcMar>
          </w:tcPr>
          <w:p w14:paraId="0803977B">
            <w:r>
              <w:rPr>
                <w:b/>
                <w:sz w:val="19"/>
              </w:rPr>
              <w:t>A single most-important action is chosen.</w:t>
            </w:r>
          </w:p>
        </w:tc>
        <w:tc>
          <w:tcPr>
            <w:tcW w:w="1296" w:type="dxa"/>
            <w:shd w:val="clear" w:color="auto" w:fill="DCFCE7"/>
            <w:tcMar>
              <w:top w:w="100" w:type="dxa"/>
              <w:left w:w="140" w:type="dxa"/>
              <w:bottom w:w="100" w:type="dxa"/>
              <w:right w:w="140" w:type="dxa"/>
            </w:tcMar>
          </w:tcPr>
          <w:p w14:paraId="7D009850">
            <w:r>
              <w:rPr>
                <w:b/>
                <w:color w:val="166534"/>
                <w:sz w:val="19"/>
              </w:rPr>
              <w:t>PASS</w:t>
            </w:r>
          </w:p>
        </w:tc>
        <w:tc>
          <w:tcPr>
            <w:tcW w:w="5472" w:type="dxa"/>
            <w:tcMar>
              <w:top w:w="100" w:type="dxa"/>
              <w:left w:w="140" w:type="dxa"/>
              <w:bottom w:w="100" w:type="dxa"/>
              <w:right w:w="140" w:type="dxa"/>
            </w:tcMar>
          </w:tcPr>
          <w:p w14:paraId="256637E9">
            <w:r>
              <w:rPr>
                <w:sz w:val="19"/>
              </w:rPr>
              <w:t>Specifies exactly one action: sending an email to fardin.hosn@gmail.com to schedule a 20-minute technical interview. No competing or secondary CTAs.</w:t>
            </w:r>
          </w:p>
        </w:tc>
      </w:tr>
      <w:tr w14:paraId="68EAC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Mar>
              <w:top w:w="100" w:type="dxa"/>
              <w:left w:w="140" w:type="dxa"/>
              <w:bottom w:w="100" w:type="dxa"/>
              <w:right w:w="140" w:type="dxa"/>
            </w:tcMar>
          </w:tcPr>
          <w:p w14:paraId="1BFAC724">
            <w:r>
              <w:rPr>
                <w:b/>
                <w:sz w:val="19"/>
              </w:rPr>
              <w:t>The statement could only describe your proof, not any portfolio.</w:t>
            </w:r>
          </w:p>
        </w:tc>
        <w:tc>
          <w:tcPr>
            <w:tcW w:w="1296" w:type="dxa"/>
            <w:shd w:val="clear" w:color="auto" w:fill="DCFCE7"/>
            <w:tcMar>
              <w:top w:w="100" w:type="dxa"/>
              <w:left w:w="140" w:type="dxa"/>
              <w:bottom w:w="100" w:type="dxa"/>
              <w:right w:w="140" w:type="dxa"/>
            </w:tcMar>
          </w:tcPr>
          <w:p w14:paraId="466F1862">
            <w:r>
              <w:rPr>
                <w:b/>
                <w:color w:val="166534"/>
                <w:sz w:val="19"/>
              </w:rPr>
              <w:t>PASS</w:t>
            </w:r>
          </w:p>
        </w:tc>
        <w:tc>
          <w:tcPr>
            <w:tcW w:w="5472" w:type="dxa"/>
            <w:tcMar>
              <w:top w:w="100" w:type="dxa"/>
              <w:left w:w="140" w:type="dxa"/>
              <w:bottom w:w="100" w:type="dxa"/>
              <w:right w:w="140" w:type="dxa"/>
            </w:tcMar>
          </w:tcPr>
          <w:p w14:paraId="0ED229F3">
            <w:r>
              <w:rPr>
                <w:sz w:val="19"/>
              </w:rPr>
              <w:t>Grounds itself in 78.8M+ search telemetry rows, cold-start client domain triage, and GroupKFold evaluation. It cannot be copy-pasted into any other graduate's portfolio.</w:t>
            </w:r>
          </w:p>
        </w:tc>
      </w:tr>
    </w:tbl>
    <w:p w14:paraId="4CA68C0C"/>
    <w:sectPr>
      <w:pgSz w:w="12240" w:h="15840"/>
      <w:pgMar w:top="1152" w:right="1152" w:bottom="1152"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iyam Rupali"/>
    <w:panose1 w:val="00000000000000000000"/>
    <w:charset w:val="00"/>
    <w:family w:val="auto"/>
    <w:pitch w:val="default"/>
    <w:sig w:usb0="00000000" w:usb1="00000000" w:usb2="00000000" w:usb3="00000000" w:csb0="00000000" w:csb1="00000000"/>
  </w:font>
  <w:font w:name="Siyam Rupali">
    <w:panose1 w:val="02000500000000020004"/>
    <w:charset w:val="00"/>
    <w:family w:val="auto"/>
    <w:pitch w:val="default"/>
    <w:sig w:usb0="0001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143227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color w:val="1F2937"/>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829</Words>
  <Characters>4803</Characters>
  <Lines>0</Lines>
  <Paragraphs>0</Paragraphs>
  <TotalTime>10</TotalTime>
  <ScaleCrop>false</ScaleCrop>
  <LinksUpToDate>false</LinksUpToDate>
  <CharactersWithSpaces>5575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Nidraf X</cp:lastModifiedBy>
  <dcterms:modified xsi:type="dcterms:W3CDTF">2026-10-13T10:26:44Z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eyJoZGlkIjoiNTk1YmJlZmVjNTZlNzM0M2IzYjQ5MDYyZjEzZTgwN2MiLCJ1c2VySWQiOiIzMTYxMDk5MzUxNDc3In0=</vt:lpwstr>
  </property>
  <property fmtid="{D5CDD505-2E9C-101B-9397-08002B2CF9AE}" pid="3" name="KSOProductBuildVer">
    <vt:lpwstr>1033-12.1.0.28485</vt:lpwstr>
  </property>
  <property fmtid="{D5CDD505-2E9C-101B-9397-08002B2CF9AE}" pid="4" name="ICV">
    <vt:lpwstr>420E69C9312540119246A6164207EF21_12</vt:lpwstr>
  </property>
</Properties>
</file>