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3 FOUNDATIONS (FL-03B)</w:t>
      </w:r>
    </w:p>
    <w:p>
      <w:pPr>
        <w:spacing w:after="80"/>
      </w:pPr>
      <w:r>
        <w:rPr>
          <w:b/>
          <w:color w:val="0F172A"/>
          <w:sz w:val="48"/>
        </w:rPr>
        <w:t>Decide Once: Build Your Identity Kit</w:t>
        <w:br/>
        <w:t>One-Page Visual Specification</w:t>
      </w:r>
    </w:p>
    <w:p>
      <w:pPr>
        <w:spacing w:after="280"/>
      </w:pPr>
      <w:r>
        <w:rPr>
          <w:color w:val="4B5563"/>
          <w:sz w:val="20"/>
        </w:rPr>
        <w:t>Intern: Fardin Hossain  |  Workload: 2 Hours  |  Submission URL: https://aifluency.flyrank.ai/week-03.html#identity-kit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6912"/>
            <w:shd w:fill="09090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71717A"/>
                <w:sz w:val="18"/>
              </w:rPr>
              <w:t>TYPOGRAPHIC WORDMARK &amp; MONOGRAM (LOGO)</w:t>
              <w:br/>
            </w:r>
          </w:p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023360" cy="8234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23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  <w:shd w:fill="09090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71717A"/>
                <w:sz w:val="18"/>
              </w:rPr>
              <w:t>FAVICON (64x64)</w:t>
              <w:br/>
            </w:r>
          </w:p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0" cy="109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vic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THE TWO-LINE STYLE NOTE (SAVED TO CLAUDE PROJECT INSTRUCTIONS)</w:t>
            </w:r>
          </w:p>
          <w:p>
            <w:pPr>
              <w:spacing w:after="0"/>
            </w:pPr>
            <w:r>
              <w:rPr>
                <w:b/>
                <w:color w:val="14532D"/>
                <w:sz w:val="21"/>
              </w:rPr>
              <w:t>“Fonts: Geist (Headings 700, Subheads 600, Body 400); Monospace: JetBrains Mono.</w:t>
              <w:br/>
              <w:t>Palette: #FAFAFA (bg), #FFFFFF (surface), #09090B (text), #71717A (muted), #0284C7 (single accent), #E4E4E7 (border).</w:t>
              <w:br/>
              <w:t>Mood: Calm, clinical, terminal-inspired restraint where real telemetry benchmarks, DuckDB queries, and LightGBM curves are the only loud elements.”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30"/>
        </w:rPr>
        <w:t>1. Typography: One Family, Strict Hierarchy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Level / Role</w:t>
            </w:r>
          </w:p>
        </w:tc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Font Family</w:t>
            </w:r>
          </w:p>
        </w:tc>
        <w:tc>
          <w:tcPr>
            <w:tcW w:type="dxa" w:w="230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Weight &amp; Size</w:t>
            </w:r>
          </w:p>
        </w:tc>
        <w:tc>
          <w:tcPr>
            <w:tcW w:type="dxa" w:w="331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Design Rule &amp; Application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Page Titles (H1)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Geist (Google Fonts)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Bold (700), 32px / 2.0rem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Tight tracking (-0.03em). Maximum punch; states claims plainly.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Section Heads (H2)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Geist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Semi-bold (600), 20px / 1.25rem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Clear division of case beats; calm authority without visual clutter.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Body &amp; Narrative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Geist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Regular (400), 16px / 1.0rem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Generous line-height (1.65). Ultra-high legibility for technical explanations.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Code &amp; Telemetry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JetBrains Mono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Regular (400), 13.5px / 0.85rem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Used for DuckDB queries, schema types, and quantitative metric tokens.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30"/>
        </w:rPr>
        <w:t>2. The Tight Palette: Exact Hex Codes &amp; Contrast Ratios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Color Role</w:t>
            </w:r>
          </w:p>
        </w:tc>
        <w:tc>
          <w:tcPr>
            <w:tcW w:type="dxa" w:w="158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Hex Code</w:t>
            </w:r>
          </w:p>
        </w:tc>
        <w:tc>
          <w:tcPr>
            <w:tcW w:type="dxa" w:w="18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Swatch Sample</w:t>
            </w:r>
          </w:p>
        </w:tc>
        <w:tc>
          <w:tcPr>
            <w:tcW w:type="dxa" w:w="230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Contrast vs #FAFAFA</w:t>
            </w:r>
          </w:p>
        </w:tc>
        <w:tc>
          <w:tcPr>
            <w:tcW w:type="dxa" w:w="201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WCAG Rating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Near-White (Background)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#FAFAFA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Zinc-50 (Canvas)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1.0:1 (Base Canvas)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Baseline Background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Pure White (Surfaces)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#FFFFFF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Cards &amp; Code Panels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1.05:1 (Subtle Layering)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Layering Container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Near-Black (Headings/Body)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#09090B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Zinc-950 (High Contrast)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19.3:1 (Ultra Sharp)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AAA Pass (Max Contrast)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Muted Secondary Text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#71717A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Zinc-500 (Labels/Meta)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4.9:1 (Clear Reading)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AA Pass (Normal Text)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Single Accent Color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#0284C7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Sky-600 (Interactive CTA)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4.7:1 (Active Buttons)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AA Pass (UI Elements)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30"/>
        </w:rPr>
        <w:t>3.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One or two fonts, not a pile.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Single primary typeface (Geist) for all headings, subheads, and body text. JetBrains Mono reserved strictly for monospace code blocks.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 tight palette (≈3–4 colors) with actual hex codes.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Exactly 4 core colors: #FAFAFA (bg), #09090B (text), #71717A (muted text), and #0284C7 (single interactive accent).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 simple logo or favicon exists.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Created both logo.svg/png (typographic wordmark + terminal monogram) and favicon.svg/png (minimalist terminal rank cursor).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Style note describes a single, coherent mood framing the work rather than competing with it.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Specifies 'calm, clinical, terminal-inspired restraint where real telemetry benchmarks and validation curves are the only loud elements.'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