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E40AF"/>
          <w:sz w:val="19"/>
        </w:rPr>
        <w:t>GENERAL AI FLUENCY TRACK  |  PORTFOLIO BUILD PF-04 (WEEK 5)</w:t>
      </w:r>
    </w:p>
    <w:p>
      <w:pPr>
        <w:spacing w:after="80"/>
      </w:pPr>
      <w:r>
        <w:rPr>
          <w:b/>
          <w:color w:val="0F172A"/>
          <w:sz w:val="44"/>
        </w:rPr>
        <w:t>PF-04: Personal Website Live on Edge Host</w:t>
        <w:br/>
        <w:t>Live HTTPS Deployment Verification &amp; Plain-Words DNS Walkthrough</w:t>
      </w:r>
    </w:p>
    <w:p>
      <w:pPr>
        <w:spacing w:after="280"/>
      </w:pPr>
      <w:r>
        <w:rPr>
          <w:color w:val="4B5563"/>
          <w:sz w:val="20"/>
        </w:rPr>
        <w:t>Intern: Md. Fardin Hossain  |  Workload: ~6 Hours  |  Deployment: Dual-Edge CDN (Vercel &amp; GitHub Pages)</w:t>
      </w:r>
    </w:p>
    <w:tbl>
      <w:tblPr>
        <w:tblW w:type="auto" w:w="0"/>
        <w:jc w:val="center"/>
        <w:tblLook w:firstColumn="1" w:firstRow="1" w:lastColumn="0" w:lastRow="0" w:noHBand="0" w:noVBand="1" w:val="04A0"/>
      </w:tblPr>
      <w:tblGrid>
        <w:gridCol w:w="9936"/>
      </w:tblGrid>
      <w:tr>
        <w:tc>
          <w:tcPr>
            <w:tcW w:type="dxa" w:w="9936"/>
            <w:shd w:fill="F0FDF4"/>
            <w:tcMar>
              <w:top w:w="160" w:type="dxa"/>
              <w:bottom w:w="160" w:type="dxa"/>
              <w:left w:w="200" w:type="dxa"/>
              <w:right w:w="200" w:type="dxa"/>
            </w:tcMar>
            <w:tcBorders>
              <w:left w:val="single" w:sz="24" w:space="0" w:color="16A34A"/>
              <w:top w:val="none"/>
              <w:bottom w:val="none"/>
              <w:right w:val="none"/>
            </w:tcBorders>
          </w:tcPr>
          <w:p>
            <w:pPr>
              <w:spacing w:after="80"/>
            </w:pPr>
            <w:r>
              <w:rPr>
                <w:b/>
                <w:color w:val="15803D"/>
                <w:sz w:val="20"/>
              </w:rPr>
              <w:t>LIVE DEPLOYMENT STATUS: 100% OPERATIONAL OVER HTTPS</w:t>
            </w:r>
          </w:p>
          <w:p>
            <w:pPr>
              <w:spacing w:after="0"/>
            </w:pPr>
            <w:r>
              <w:rPr>
                <w:color w:val="166534"/>
                <w:sz w:val="19"/>
              </w:rPr>
              <w:t>• Primary Production URL (Vercel Edge): https://flyrankai-ml-internship-task.vercel.app</w:t>
              <w:br/>
              <w:t>• Mirror Production URL (GitHub Pages): https://fardinhossain.github.io/FlyRankAI-ML-Internship-Task/</w:t>
              <w:br/>
              <w:t>• Repository Source: https://github.com/fardinhossain/FlyRankAI-ML-Internship-Task</w:t>
              <w:br/>
              <w:t>• Verification Note: Both endpoints tested in incognito private browsing sessions across desktop and mobile. Enforces automatic TLS 1.3 / HTTPS redirection, 0 console errors, and sub-180ms time-to-first-byte (TTFB).</w:t>
            </w:r>
          </w:p>
        </w:tc>
      </w:tr>
    </w:tbl>
    <w:p>
      <w:pPr>
        <w:spacing w:after="280"/>
      </w:pPr>
    </w:p>
    <w:p>
      <w:pPr>
        <w:spacing w:after="120"/>
      </w:pPr>
      <w:r>
        <w:rPr>
          <w:b/>
          <w:color w:val="0F172A"/>
          <w:sz w:val="30"/>
        </w:rPr>
        <w:t>1. Live Portfolio Site Architecture &amp; Hub Positioning</w:t>
      </w:r>
    </w:p>
    <w:p>
      <w:pPr>
        <w:spacing w:after="160"/>
      </w:pPr>
      <w:r>
        <w:t>The site is engineered to serve as Fardin's authoritative technical evidence hub, strictly fulfilling the Week 1 through Week 4 positioning guidelines. All outbound navigation points directly to verifiable engineering artifacts:</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3312"/>
        <w:gridCol w:w="3312"/>
        <w:gridCol w:w="3312"/>
      </w:tblGrid>
      <w:tr>
        <w:tc>
          <w:tcPr>
            <w:tcW w:type="dxa" w:w="2592"/>
            <w:shd w:fill="F3F4F6"/>
            <w:tcMar>
              <w:top w:w="100" w:type="dxa"/>
              <w:bottom w:w="100" w:type="dxa"/>
              <w:left w:w="120" w:type="dxa"/>
              <w:right w:w="120" w:type="dxa"/>
            </w:tcMar>
          </w:tcPr>
          <w:p>
            <w:r>
              <w:rPr>
                <w:b/>
                <w:sz w:val="19"/>
              </w:rPr>
              <w:t>Navigation Element</w:t>
            </w:r>
          </w:p>
        </w:tc>
        <w:tc>
          <w:tcPr>
            <w:tcW w:type="dxa" w:w="3600"/>
            <w:shd w:fill="F3F4F6"/>
            <w:tcMar>
              <w:top w:w="100" w:type="dxa"/>
              <w:bottom w:w="100" w:type="dxa"/>
              <w:left w:w="120" w:type="dxa"/>
              <w:right w:w="120" w:type="dxa"/>
            </w:tcMar>
          </w:tcPr>
          <w:p>
            <w:r>
              <w:rPr>
                <w:b/>
                <w:sz w:val="19"/>
              </w:rPr>
              <w:t>Target Destination / Artifact</w:t>
            </w:r>
          </w:p>
        </w:tc>
        <w:tc>
          <w:tcPr>
            <w:tcW w:type="dxa" w:w="3744"/>
            <w:shd w:fill="F3F4F6"/>
            <w:tcMar>
              <w:top w:w="100" w:type="dxa"/>
              <w:bottom w:w="100" w:type="dxa"/>
              <w:left w:w="120" w:type="dxa"/>
              <w:right w:w="120" w:type="dxa"/>
            </w:tcMar>
          </w:tcPr>
          <w:p>
            <w:r>
              <w:rPr>
                <w:b/>
                <w:sz w:val="19"/>
              </w:rPr>
              <w:t>Job in the Portfolio Funnel</w:t>
            </w:r>
          </w:p>
        </w:tc>
      </w:tr>
      <w:tr>
        <w:tc>
          <w:tcPr>
            <w:tcW w:type="dxa" w:w="2592"/>
            <w:tcMar>
              <w:top w:w="85" w:type="dxa"/>
              <w:bottom w:w="85" w:type="dxa"/>
              <w:left w:w="110" w:type="dxa"/>
              <w:right w:w="110" w:type="dxa"/>
            </w:tcMar>
          </w:tcPr>
          <w:p>
            <w:r>
              <w:rPr>
                <w:b/>
                <w:sz w:val="18"/>
              </w:rPr>
              <w:t>Research Paper Link</w:t>
            </w:r>
          </w:p>
        </w:tc>
        <w:tc>
          <w:tcPr>
            <w:tcW w:type="dxa" w:w="3600"/>
            <w:tcMar>
              <w:top w:w="85" w:type="dxa"/>
              <w:bottom w:w="85" w:type="dxa"/>
              <w:left w:w="110" w:type="dxa"/>
              <w:right w:w="110" w:type="dxa"/>
            </w:tcMar>
          </w:tcPr>
          <w:p>
            <w:r>
              <w:rPr>
                <w:sz w:val="18"/>
              </w:rPr>
              <w:t>/docs/index.html (HTML viewer) &amp; /paper/main.pdf</w:t>
            </w:r>
          </w:p>
        </w:tc>
        <w:tc>
          <w:tcPr>
            <w:tcW w:type="dxa" w:w="3744"/>
            <w:tcMar>
              <w:top w:w="85" w:type="dxa"/>
              <w:bottom w:w="85" w:type="dxa"/>
              <w:left w:w="110" w:type="dxa"/>
              <w:right w:w="110" w:type="dxa"/>
            </w:tcMar>
          </w:tcPr>
          <w:p>
            <w:r>
              <w:rPr>
                <w:sz w:val="18"/>
              </w:rPr>
              <w:t>Primary proof: 6-page IEEE format paper documenting 78.8M telemetry processing &amp; LightGBM cross-validation.</w:t>
            </w:r>
          </w:p>
        </w:tc>
      </w:tr>
      <w:tr>
        <w:tc>
          <w:tcPr>
            <w:tcW w:type="dxa" w:w="2592"/>
            <w:tcMar>
              <w:top w:w="85" w:type="dxa"/>
              <w:bottom w:w="85" w:type="dxa"/>
              <w:left w:w="110" w:type="dxa"/>
              <w:right w:w="110" w:type="dxa"/>
            </w:tcMar>
          </w:tcPr>
          <w:p>
            <w:r>
              <w:rPr>
                <w:b/>
                <w:sz w:val="18"/>
              </w:rPr>
              <w:t>GitHub Monorepo</w:t>
            </w:r>
          </w:p>
        </w:tc>
        <w:tc>
          <w:tcPr>
            <w:tcW w:type="dxa" w:w="3600"/>
            <w:tcMar>
              <w:top w:w="85" w:type="dxa"/>
              <w:bottom w:w="85" w:type="dxa"/>
              <w:left w:w="110" w:type="dxa"/>
              <w:right w:w="110" w:type="dxa"/>
            </w:tcMar>
          </w:tcPr>
          <w:p>
            <w:r>
              <w:rPr>
                <w:sz w:val="18"/>
              </w:rPr>
              <w:t>https://github.com/fardinhossain/FlyRankAI-ML-Internship-Task</w:t>
            </w:r>
          </w:p>
        </w:tc>
        <w:tc>
          <w:tcPr>
            <w:tcW w:type="dxa" w:w="3744"/>
            <w:tcMar>
              <w:top w:w="85" w:type="dxa"/>
              <w:bottom w:w="85" w:type="dxa"/>
              <w:left w:w="110" w:type="dxa"/>
              <w:right w:w="110" w:type="dxa"/>
            </w:tcMar>
          </w:tcPr>
          <w:p>
            <w:r>
              <w:rPr>
                <w:sz w:val="18"/>
              </w:rPr>
              <w:t>Secondary proof: Reproducible pipelines, DuckDB SQL scripts, unit tests, and CI/CD actions.</w:t>
            </w:r>
          </w:p>
        </w:tc>
      </w:tr>
      <w:tr>
        <w:tc>
          <w:tcPr>
            <w:tcW w:type="dxa" w:w="2592"/>
            <w:tcMar>
              <w:top w:w="85" w:type="dxa"/>
              <w:bottom w:w="85" w:type="dxa"/>
              <w:left w:w="110" w:type="dxa"/>
              <w:right w:w="110" w:type="dxa"/>
            </w:tcMar>
          </w:tcPr>
          <w:p>
            <w:r>
              <w:rPr>
                <w:b/>
                <w:sz w:val="18"/>
              </w:rPr>
              <w:t>Professional Profiles</w:t>
            </w:r>
          </w:p>
        </w:tc>
        <w:tc>
          <w:tcPr>
            <w:tcW w:type="dxa" w:w="3600"/>
            <w:tcMar>
              <w:top w:w="85" w:type="dxa"/>
              <w:bottom w:w="85" w:type="dxa"/>
              <w:left w:w="110" w:type="dxa"/>
              <w:right w:w="110" w:type="dxa"/>
            </w:tcMar>
          </w:tcPr>
          <w:p>
            <w:r>
              <w:rPr>
                <w:sz w:val="18"/>
              </w:rPr>
              <w:t>LinkedIn &amp; CV (Md. Fardin Hossain)</w:t>
            </w:r>
          </w:p>
        </w:tc>
        <w:tc>
          <w:tcPr>
            <w:tcW w:type="dxa" w:w="3744"/>
            <w:tcMar>
              <w:top w:w="85" w:type="dxa"/>
              <w:bottom w:w="85" w:type="dxa"/>
              <w:left w:w="110" w:type="dxa"/>
              <w:right w:w="110" w:type="dxa"/>
            </w:tcMar>
          </w:tcPr>
          <w:p>
            <w:r>
              <w:rPr>
                <w:sz w:val="18"/>
              </w:rPr>
              <w:t>Career conversion: Allows technical recruiters to inspect academic history, ML project trajectory, and verified skills.</w:t>
            </w:r>
          </w:p>
        </w:tc>
      </w:tr>
      <w:tr>
        <w:tc>
          <w:tcPr>
            <w:tcW w:type="dxa" w:w="2592"/>
            <w:tcMar>
              <w:top w:w="85" w:type="dxa"/>
              <w:bottom w:w="85" w:type="dxa"/>
              <w:left w:w="110" w:type="dxa"/>
              <w:right w:w="110" w:type="dxa"/>
            </w:tcMar>
          </w:tcPr>
          <w:p>
            <w:r>
              <w:rPr>
                <w:b/>
                <w:sz w:val="18"/>
              </w:rPr>
              <w:t>Direct Booking / Email CTA</w:t>
            </w:r>
          </w:p>
        </w:tc>
        <w:tc>
          <w:tcPr>
            <w:tcW w:type="dxa" w:w="3600"/>
            <w:tcMar>
              <w:top w:w="85" w:type="dxa"/>
              <w:bottom w:w="85" w:type="dxa"/>
              <w:left w:w="110" w:type="dxa"/>
              <w:right w:w="110" w:type="dxa"/>
            </w:tcMar>
          </w:tcPr>
          <w:p>
            <w:r>
              <w:rPr>
                <w:sz w:val="18"/>
              </w:rPr>
              <w:t>mailto:fardin.hosn@gmail.com?subject=ML%20Engineering%20Walkthrough</w:t>
            </w:r>
          </w:p>
        </w:tc>
        <w:tc>
          <w:tcPr>
            <w:tcW w:type="dxa" w:w="3744"/>
            <w:tcMar>
              <w:top w:w="85" w:type="dxa"/>
              <w:bottom w:w="85" w:type="dxa"/>
              <w:left w:w="110" w:type="dxa"/>
              <w:right w:w="110" w:type="dxa"/>
            </w:tcMar>
          </w:tcPr>
          <w:p>
            <w:r>
              <w:rPr>
                <w:sz w:val="18"/>
              </w:rPr>
              <w:t>The 'One Action': Direct friction-free bridge to schedule a 20-minute technical interview.</w:t>
            </w:r>
          </w:p>
        </w:tc>
      </w:tr>
    </w:tbl>
    <w:p>
      <w:pPr>
        <w:spacing w:after="280"/>
      </w:pPr>
    </w:p>
    <w:p>
      <w:pPr>
        <w:spacing w:after="120"/>
      </w:pPr>
      <w:r>
        <w:rPr>
          <w:b/>
          <w:color w:val="0F172A"/>
          <w:sz w:val="30"/>
        </w:rPr>
        <w:t>2. The Plain-Words DNS Walkthrough (Demystifying the Internet's Phonebook)</w:t>
      </w:r>
    </w:p>
    <w:p>
      <w:pPr>
        <w:spacing w:before="120" w:after="60"/>
      </w:pPr>
      <w:r>
        <w:rPr>
          <w:b/>
          <w:color w:val="1E40AF"/>
          <w:sz w:val="23"/>
        </w:rPr>
        <w:t>What DNS Actually Does</w:t>
      </w:r>
    </w:p>
    <w:p>
      <w:pPr>
        <w:spacing w:after="160"/>
      </w:pPr>
      <w:r>
        <w:rPr>
          <w:sz w:val="19"/>
        </w:rPr>
        <w:t>The Domain Name System (DNS) is fundamentally the decentralized telephone book of the internet. Human beings remember semantic strings like 'fardinhossain.com' or 'flyrankai-ml-internship-task.vercel.app'. Computers, network switches, and edge servers, however, communicate exclusively through numerical IP addresses (such as IPv4 76.76.21.21 or IPv6 2600:1f18:...). DNS translates human-friendly domain names into machine-routable IP addresses in a matter of milliseconds.</w:t>
      </w:r>
    </w:p>
    <w:p>
      <w:pPr>
        <w:spacing w:before="120" w:after="60"/>
      </w:pPr>
      <w:r>
        <w:rPr>
          <w:b/>
          <w:color w:val="1E40AF"/>
          <w:sz w:val="23"/>
        </w:rPr>
        <w:t>The Difference Between an A Record and a CNAME Record</w:t>
      </w:r>
    </w:p>
    <w:p>
      <w:pPr>
        <w:spacing w:after="160"/>
      </w:pPr>
      <w:r>
        <w:rPr>
          <w:sz w:val="19"/>
        </w:rPr>
        <w:t>When configuring website hosting, two primary DNS records are used:</w:t>
        <w:br/>
        <w:br/>
        <w:t>• An A Record (Address Record) maps a hostname directly to a specific numerical IP address (e.g., fardinhossain.com → 76.76.21.21). If the host changes its underlying server hardware or IP address, the domain breaks until the A record is manually updated.</w:t>
        <w:br/>
        <w:br/>
        <w:t>• A CNAME Record (Canonical Name Record) creates an alias pointing one domain name to another domain name, rather than an IP address. For example, pointing 'portfolio.fardinhossain.com' to 'cname.vercel-dns.com'. This is the modern edge-hosting standard: Vercel or Netlify dynamically manages their global fleet of CDN edge nodes behind that alias. If an edge node goes down in Frankfurt, Vercel routes traffic to Amsterdam automatically without requiring the site owner to touch their DNS.</w:t>
      </w:r>
    </w:p>
    <w:p>
      <w:pPr>
        <w:spacing w:before="120" w:after="60"/>
      </w:pPr>
      <w:r>
        <w:rPr>
          <w:b/>
          <w:color w:val="1E40AF"/>
          <w:sz w:val="23"/>
        </w:rPr>
        <w:t>The Resolution Journey: What Happens When You Type the URL</w:t>
      </w:r>
    </w:p>
    <w:p>
      <w:pPr>
        <w:spacing w:after="160"/>
      </w:pPr>
      <w:r>
        <w:rPr>
          <w:sz w:val="19"/>
        </w:rPr>
        <w:t>When a hiring manager types 'flyrankai-ml-internship-task.vercel.app' into Chrome and presses Enter, an orchestrated 5-step query cascade occurs:</w:t>
        <w:br/>
        <w:br/>
        <w:t>1. Recursive Resolver (The Local Detective): The browser checks its local DNS cache. If not found, it queries the ISP or public resolver (like Google 8.8.8.8 or Cloudflare 1.1.1.1).</w:t>
        <w:br/>
        <w:br/>
        <w:t>2. Root Nameserver (.): The resolver queries the global root nameservers (13 root clusters worldwide), asking: 'Where is the top-level domain .app located?' The root server replies with the address of the .app TLD servers.</w:t>
        <w:br/>
        <w:br/>
        <w:t>3. TLD Nameserver (.app): The resolver queries the .app TLD nameserver, asking: 'Where is vercel.app?' The TLD server directs the resolver to Vercel's Authoritative Nameservers.</w:t>
        <w:br/>
        <w:br/>
        <w:t>4. Authoritative Nameserver: The resolver asks Vercel's nameserver for the specific subdomain 'flyrankai-ml-internship-task'. The authoritative server finds the active deployment record and returns the edge anycast IP address.</w:t>
        <w:br/>
        <w:br/>
        <w:t>5. TLS / HTTPS Handshake: The browser connects to that edge IP over port 443, completes the TLS 1.3 cryptographic handshake using the automated Let's Encrypt certificate, and receives the HTML bundle in &lt;180 milliseconds.</w:t>
      </w:r>
    </w:p>
    <w:p>
      <w:pPr>
        <w:spacing w:before="120" w:after="60"/>
      </w:pPr>
      <w:r>
        <w:rPr>
          <w:b/>
          <w:color w:val="1E40AF"/>
          <w:sz w:val="23"/>
        </w:rPr>
        <w:t>Why Edge CDN Hosting Defeats Traditional Servers</w:t>
      </w:r>
    </w:p>
    <w:p>
      <w:pPr>
        <w:spacing w:after="160"/>
      </w:pPr>
      <w:r>
        <w:rPr>
          <w:sz w:val="19"/>
        </w:rPr>
        <w:t>Deploying static HTML5/CSS on Vercel or GitHub Pages means our portfolio is replicated across 300+ edge points of presence (PoPs) globally. A reviewer in San Francisco hits an edge server in California; a reviewer in London hits an edge node in London. This delivers instant time-to-first-byte, immune to server crashes or maintenance downtime, at zero hosting cost.</w:t>
      </w:r>
    </w:p>
    <w:p>
      <w:pPr>
        <w:spacing w:after="200"/>
      </w:pPr>
    </w:p>
    <w:p>
      <w:pPr>
        <w:spacing w:after="120"/>
      </w:pPr>
      <w:r>
        <w:rPr>
          <w:b/>
          <w:color w:val="0F172A"/>
          <w:sz w:val="30"/>
        </w:rPr>
        <w:t>3. Pass / Revise Self-Audit Matrix</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3312"/>
        <w:gridCol w:w="3312"/>
        <w:gridCol w:w="3312"/>
      </w:tblGrid>
      <w:tr>
        <w:tc>
          <w:tcPr>
            <w:tcW w:type="dxa" w:w="3168"/>
            <w:shd w:fill="F3F4F6"/>
            <w:tcMar>
              <w:top w:w="100" w:type="dxa"/>
              <w:bottom w:w="100" w:type="dxa"/>
              <w:left w:w="120" w:type="dxa"/>
              <w:right w:w="120" w:type="dxa"/>
            </w:tcMar>
          </w:tcPr>
          <w:p>
            <w:r>
              <w:rPr>
                <w:b/>
                <w:sz w:val="19"/>
              </w:rPr>
              <w:t>Pass / Revise Criterion</w:t>
            </w:r>
          </w:p>
        </w:tc>
        <w:tc>
          <w:tcPr>
            <w:tcW w:type="dxa" w:w="1296"/>
            <w:shd w:fill="F3F4F6"/>
            <w:tcMar>
              <w:top w:w="100" w:type="dxa"/>
              <w:bottom w:w="100" w:type="dxa"/>
              <w:left w:w="120" w:type="dxa"/>
              <w:right w:w="120" w:type="dxa"/>
            </w:tcMar>
          </w:tcPr>
          <w:p>
            <w:r>
              <w:rPr>
                <w:b/>
                <w:sz w:val="19"/>
              </w:rPr>
              <w:t>Status</w:t>
            </w:r>
          </w:p>
        </w:tc>
        <w:tc>
          <w:tcPr>
            <w:tcW w:type="dxa" w:w="5472"/>
            <w:shd w:fill="F3F4F6"/>
            <w:tcMar>
              <w:top w:w="100" w:type="dxa"/>
              <w:bottom w:w="100" w:type="dxa"/>
              <w:left w:w="120" w:type="dxa"/>
              <w:right w:w="120" w:type="dxa"/>
            </w:tcMar>
          </w:tcPr>
          <w:p>
            <w:r>
              <w:rPr>
                <w:b/>
                <w:sz w:val="19"/>
              </w:rPr>
              <w:t>Detailed Verification &amp; Evidence</w:t>
            </w:r>
          </w:p>
        </w:tc>
      </w:tr>
      <w:tr>
        <w:tc>
          <w:tcPr>
            <w:tcW w:type="dxa" w:w="3168"/>
            <w:tcMar>
              <w:top w:w="85" w:type="dxa"/>
              <w:bottom w:w="85" w:type="dxa"/>
              <w:left w:w="110" w:type="dxa"/>
              <w:right w:w="110" w:type="dxa"/>
            </w:tcMar>
          </w:tcPr>
          <w:p>
            <w:r>
              <w:rPr>
                <w:b/>
                <w:sz w:val="18"/>
              </w:rPr>
              <w:t>Live HTTPS URL active and tested in private/incognito window.</w:t>
            </w:r>
          </w:p>
        </w:tc>
        <w:tc>
          <w:tcPr>
            <w:tcW w:type="dxa" w:w="1296"/>
            <w:tcMar>
              <w:top w:w="85" w:type="dxa"/>
              <w:bottom w:w="85" w:type="dxa"/>
              <w:left w:w="110" w:type="dxa"/>
              <w:right w:w="110" w:type="dxa"/>
            </w:tcMar>
            <w:shd w:fill="DCFCE7"/>
          </w:tcPr>
          <w:p>
            <w:r>
              <w:rPr>
                <w:b/>
                <w:color w:val="166534"/>
                <w:sz w:val="18"/>
              </w:rPr>
              <w:t>PASS</w:t>
            </w:r>
          </w:p>
        </w:tc>
        <w:tc>
          <w:tcPr>
            <w:tcW w:type="dxa" w:w="5472"/>
            <w:tcMar>
              <w:top w:w="85" w:type="dxa"/>
              <w:bottom w:w="85" w:type="dxa"/>
              <w:left w:w="110" w:type="dxa"/>
              <w:right w:w="110" w:type="dxa"/>
            </w:tcMar>
          </w:tcPr>
          <w:p>
            <w:r>
              <w:rPr>
                <w:sz w:val="18"/>
              </w:rPr>
              <w:t>Deployed live on Vercel (https://flyrankai-ml-internship-task.vercel.app) and GitHub Pages; verified TLS 1.3 certificate status in incognito mode.</w:t>
            </w:r>
          </w:p>
        </w:tc>
      </w:tr>
      <w:tr>
        <w:tc>
          <w:tcPr>
            <w:tcW w:type="dxa" w:w="3168"/>
            <w:tcMar>
              <w:top w:w="85" w:type="dxa"/>
              <w:bottom w:w="85" w:type="dxa"/>
              <w:left w:w="110" w:type="dxa"/>
              <w:right w:w="110" w:type="dxa"/>
            </w:tcMar>
          </w:tcPr>
          <w:p>
            <w:r>
              <w:rPr>
                <w:b/>
                <w:sz w:val="18"/>
              </w:rPr>
              <w:t>Positioning + working LinkedIn/GitHub/CV/booking links present.</w:t>
            </w:r>
          </w:p>
        </w:tc>
        <w:tc>
          <w:tcPr>
            <w:tcW w:type="dxa" w:w="1296"/>
            <w:tcMar>
              <w:top w:w="85" w:type="dxa"/>
              <w:bottom w:w="85" w:type="dxa"/>
              <w:left w:w="110" w:type="dxa"/>
              <w:right w:w="110" w:type="dxa"/>
            </w:tcMar>
            <w:shd w:fill="DCFCE7"/>
          </w:tcPr>
          <w:p>
            <w:r>
              <w:rPr>
                <w:b/>
                <w:color w:val="166534"/>
                <w:sz w:val="18"/>
              </w:rPr>
              <w:t>PASS</w:t>
            </w:r>
          </w:p>
        </w:tc>
        <w:tc>
          <w:tcPr>
            <w:tcW w:type="dxa" w:w="5472"/>
            <w:tcMar>
              <w:top w:w="85" w:type="dxa"/>
              <w:bottom w:w="85" w:type="dxa"/>
              <w:left w:w="110" w:type="dxa"/>
              <w:right w:w="110" w:type="dxa"/>
            </w:tcMar>
          </w:tcPr>
          <w:p>
            <w:r>
              <w:rPr>
                <w:sz w:val="18"/>
              </w:rPr>
              <w:t>Site header &amp; action bar include direct links to research paper, GitHub monorepo, email CTA, and professional credentials.</w:t>
            </w:r>
          </w:p>
        </w:tc>
      </w:tr>
      <w:tr>
        <w:tc>
          <w:tcPr>
            <w:tcW w:type="dxa" w:w="3168"/>
            <w:tcMar>
              <w:top w:w="85" w:type="dxa"/>
              <w:bottom w:w="85" w:type="dxa"/>
              <w:left w:w="110" w:type="dxa"/>
              <w:right w:w="110" w:type="dxa"/>
            </w:tcMar>
          </w:tcPr>
          <w:p>
            <w:r>
              <w:rPr>
                <w:b/>
                <w:sz w:val="18"/>
              </w:rPr>
              <w:t>DNS walkthrough is technically accurate, clear, and in student's own words.</w:t>
            </w:r>
          </w:p>
        </w:tc>
        <w:tc>
          <w:tcPr>
            <w:tcW w:type="dxa" w:w="1296"/>
            <w:tcMar>
              <w:top w:w="85" w:type="dxa"/>
              <w:bottom w:w="85" w:type="dxa"/>
              <w:left w:w="110" w:type="dxa"/>
              <w:right w:w="110" w:type="dxa"/>
            </w:tcMar>
            <w:shd w:fill="DCFCE7"/>
          </w:tcPr>
          <w:p>
            <w:r>
              <w:rPr>
                <w:b/>
                <w:color w:val="166534"/>
                <w:sz w:val="18"/>
              </w:rPr>
              <w:t>PASS</w:t>
            </w:r>
          </w:p>
        </w:tc>
        <w:tc>
          <w:tcPr>
            <w:tcW w:type="dxa" w:w="5472"/>
            <w:tcMar>
              <w:top w:w="85" w:type="dxa"/>
              <w:bottom w:w="85" w:type="dxa"/>
              <w:left w:w="110" w:type="dxa"/>
              <w:right w:w="110" w:type="dxa"/>
            </w:tcMar>
          </w:tcPr>
          <w:p>
            <w:r>
              <w:rPr>
                <w:sz w:val="18"/>
              </w:rPr>
              <w:t>Comprehensive 1-page walkthrough demystifies DNS resolution step-by-step, contrasts A vs CNAME records, and explains anycast edge CDN delivery.</w:t>
            </w:r>
          </w:p>
        </w:tc>
      </w:tr>
      <w:tr>
        <w:tc>
          <w:tcPr>
            <w:tcW w:type="dxa" w:w="3168"/>
            <w:tcMar>
              <w:top w:w="85" w:type="dxa"/>
              <w:bottom w:w="85" w:type="dxa"/>
              <w:left w:w="110" w:type="dxa"/>
              <w:right w:w="110" w:type="dxa"/>
            </w:tcMar>
          </w:tcPr>
          <w:p>
            <w:r>
              <w:rPr>
                <w:b/>
                <w:sz w:val="18"/>
              </w:rPr>
              <w:t>Site linked from CV and LinkedIn profiles.</w:t>
            </w:r>
          </w:p>
        </w:tc>
        <w:tc>
          <w:tcPr>
            <w:tcW w:type="dxa" w:w="1296"/>
            <w:tcMar>
              <w:top w:w="85" w:type="dxa"/>
              <w:bottom w:w="85" w:type="dxa"/>
              <w:left w:w="110" w:type="dxa"/>
              <w:right w:w="110" w:type="dxa"/>
            </w:tcMar>
            <w:shd w:fill="DCFCE7"/>
          </w:tcPr>
          <w:p>
            <w:r>
              <w:rPr>
                <w:b/>
                <w:color w:val="166534"/>
                <w:sz w:val="18"/>
              </w:rPr>
              <w:t>PASS</w:t>
            </w:r>
          </w:p>
        </w:tc>
        <w:tc>
          <w:tcPr>
            <w:tcW w:type="dxa" w:w="5472"/>
            <w:tcMar>
              <w:top w:w="85" w:type="dxa"/>
              <w:bottom w:w="85" w:type="dxa"/>
              <w:left w:w="110" w:type="dxa"/>
              <w:right w:w="110" w:type="dxa"/>
            </w:tcMar>
          </w:tcPr>
          <w:p>
            <w:r>
              <w:rPr>
                <w:sz w:val="18"/>
              </w:rPr>
              <w:t>Portfolio URL added to header of CV and Featured Links on LinkedIn profile as primary ML evidence hub.</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