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E40AF"/>
          <w:sz w:val="19"/>
        </w:rPr>
        <w:t>GENERAL AI FLUENCY TRACK  |  WEEK 6 BUILD ASSIGNMENT</w:t>
      </w:r>
    </w:p>
    <w:p>
      <w:pPr>
        <w:spacing w:after="80"/>
      </w:pPr>
      <w:r>
        <w:rPr>
          <w:b/>
          <w:color w:val="0F172A"/>
          <w:sz w:val="44"/>
        </w:rPr>
        <w:t>Make It Do Something: Dynamic Feature</w:t>
        <w:br/>
        <w:t>End-to-End Technical Interview Triage Form &amp; Serverless Data Flow Explainer</w:t>
      </w:r>
    </w:p>
    <w:p>
      <w:pPr>
        <w:spacing w:after="280"/>
      </w:pPr>
      <w:r>
        <w:rPr>
          <w:color w:val="4B5563"/>
          <w:sz w:val="20"/>
        </w:rPr>
        <w:t>Intern: Md. Fardin Hossain  |  Workload: ~4 Hours  |  Feature: Asynchronous Serverless Lead-Capture Webhook</w:t>
      </w:r>
    </w:p>
    <w:tbl>
      <w:tblPr>
        <w:tblW w:type="auto" w:w="0"/>
        <w:jc w:val="center"/>
        <w:tblLook w:firstColumn="1" w:firstRow="1" w:lastColumn="0" w:lastRow="0" w:noHBand="0" w:noVBand="1" w:val="04A0"/>
      </w:tblPr>
      <w:tblGrid>
        <w:gridCol w:w="9936"/>
      </w:tblGrid>
      <w:tr>
        <w:tc>
          <w:tcPr>
            <w:tcW w:type="dxa" w:w="9936"/>
            <w:shd w:fill="F0FDF4"/>
            <w:tcMar>
              <w:top w:w="160" w:type="dxa"/>
              <w:bottom w:w="160" w:type="dxa"/>
              <w:left w:w="200" w:type="dxa"/>
              <w:right w:w="200" w:type="dxa"/>
            </w:tcMar>
            <w:tcBorders>
              <w:left w:val="single" w:sz="24" w:space="0" w:color="16A34A"/>
              <w:top w:val="none"/>
              <w:bottom w:val="none"/>
              <w:right w:val="none"/>
            </w:tcBorders>
          </w:tcPr>
          <w:p>
            <w:pPr>
              <w:spacing w:after="80"/>
            </w:pPr>
            <w:r>
              <w:rPr>
                <w:b/>
                <w:color w:val="15803D"/>
                <w:sz w:val="20"/>
              </w:rPr>
              <w:t>THE ONE DYNAMIC FEATURE: OPERATIONAL VERIFICATION</w:t>
            </w:r>
          </w:p>
          <w:p>
            <w:pPr>
              <w:spacing w:after="0"/>
            </w:pPr>
            <w:r>
              <w:rPr>
                <w:color w:val="166534"/>
                <w:sz w:val="19"/>
              </w:rPr>
              <w:t>Feature: Asynchronous 'Schedule Technical Interview / Walkthrough' form embedded directly on the live portfolio homepage.</w:t>
              <w:br/>
              <w:t>Endpoint: Serverless edge webhook (/f/mqkvnqlw) integrated via fetch() API with client-side JSON serialization.</w:t>
              <w:br/>
              <w:t>Test Run Result: Submitted live test payload ('Alex Mercer / Engineering Lead / Search Systems'). Received 200 OK response, instant UI confirmation badge rendered, and automated notification email was delivered to fardin.hosn@gmail.com in &lt;2 seconds.</w:t>
            </w:r>
          </w:p>
        </w:tc>
      </w:tr>
    </w:tbl>
    <w:p>
      <w:pPr>
        <w:spacing w:after="280"/>
      </w:pPr>
    </w:p>
    <w:p>
      <w:pPr>
        <w:spacing w:after="120"/>
      </w:pPr>
      <w:r>
        <w:rPr>
          <w:b/>
          <w:color w:val="0F172A"/>
          <w:sz w:val="30"/>
        </w:rPr>
        <w:t>1. Plain-Words Explainer: What a Backend Is &amp; How the Data Flows</w:t>
      </w:r>
    </w:p>
    <w:p>
      <w:pPr>
        <w:spacing w:before="120" w:after="60"/>
      </w:pPr>
      <w:r>
        <w:rPr>
          <w:b/>
          <w:color w:val="1E40AF"/>
          <w:sz w:val="23"/>
        </w:rPr>
        <w:t>What a Backend Actually Is</w:t>
      </w:r>
    </w:p>
    <w:p>
      <w:pPr>
        <w:spacing w:after="160"/>
      </w:pPr>
      <w:r>
        <w:rPr>
          <w:sz w:val="19"/>
        </w:rPr>
        <w:t>If the frontend is the storefront that users see and interact with (the visual HTML buttons, typography, and input boxes), the backend is the invisible engine room behind the wall. The browser cannot be trusted with private secret keys, direct database passwords, or credentials to send emails—because anyone can open Chrome DevTools and inspect everything running on the client. A backend is a secure server-side runtime that accepts data, verifies it against business rules, talks to databases, and executes sensitive operations (like sending an email or charging a card) away from the user's prying eyes.</w:t>
      </w:r>
    </w:p>
    <w:p>
      <w:pPr>
        <w:spacing w:before="120" w:after="60"/>
      </w:pPr>
      <w:r>
        <w:rPr>
          <w:b/>
          <w:color w:val="1E40AF"/>
          <w:sz w:val="23"/>
        </w:rPr>
        <w:t>What This Feature Does</w:t>
      </w:r>
    </w:p>
    <w:p>
      <w:pPr>
        <w:spacing w:after="160"/>
      </w:pPr>
      <w:r>
        <w:rPr>
          <w:sz w:val="19"/>
        </w:rPr>
        <w:t>Rather than relying on a passive 'mailto:' link that forces a recruiter to switch context into their email client, this dynamic feature provides an inline triage form. It captures the recruiter's name, work email, technical team focus (ML Engineering, Search Infrastructure, or Technical Interview), and agenda message. It validates inputs in real time, prevents duplicate double-clicks, and dispatches the payload asynchronously.</w:t>
      </w:r>
    </w:p>
    <w:p>
      <w:pPr>
        <w:spacing w:before="120" w:after="60"/>
      </w:pPr>
      <w:r>
        <w:rPr>
          <w:b/>
          <w:color w:val="1E40AF"/>
          <w:sz w:val="23"/>
        </w:rPr>
        <w:t>Step-by-Step Data Flow (From Click to Inbox)</w:t>
      </w:r>
    </w:p>
    <w:p>
      <w:pPr>
        <w:spacing w:after="160"/>
      </w:pPr>
      <w:r>
        <w:rPr>
          <w:sz w:val="19"/>
        </w:rPr>
        <w:t>The lifecycle of a single submission follows a 6-stage pipeline:</w:t>
        <w:br/>
        <w:br/>
        <w:t>1. DOM Capture &amp; Serialization: When the user clicks 'Send Interview Request', JavaScript intercepts the event (e.preventDefault()), disables the submit button, updates the button label to 'Transmitting Request... ⏳', and packages the form inputs into a FormData object.</w:t>
        <w:br/>
        <w:br/>
        <w:t>2. Asynchronous HTTP POST: The browser dispatches an encrypted HTTPS POST request using the Fetch API to the serverless webhook endpoint.</w:t>
        <w:br/>
        <w:br/>
        <w:t>3. Edge Gateway &amp; Validation: The serverless edge function receives the JSON payload, checks for spam honey-pots, verifies that the email address is syntactically valid, and rate-limits the IP address to prevent abuse.</w:t>
        <w:br/>
        <w:br/>
        <w:t>4. SMTP Relay Dispatch: Upon passing validation, the backend triggers an automated email relay service that formats an HTML alert card containing the submission details and dispatches it via SMTP to fardin.hosn@gmail.com.</w:t>
        <w:br/>
        <w:br/>
        <w:t>5. HTTP Response Cycle: The serverless function returns an HTTP 200 OK status code with a JSON payload ({'ok': true}) back across the network to the browser.</w:t>
        <w:br/>
        <w:br/>
        <w:t>6. Optimistic UI Confirmation: JavaScript intercepts the 200 OK response, resets the form input fields, and dynamically displays a green confirmation banner: '✓ Dispatched: Thank you! Fardin has received your message and will respond within 24 hours.'</w:t>
      </w:r>
    </w:p>
    <w:p>
      <w:pPr>
        <w:spacing w:after="200"/>
      </w:pPr>
    </w:p>
    <w:p>
      <w:pPr>
        <w:spacing w:after="120"/>
      </w:pPr>
      <w:r>
        <w:rPr>
          <w:b/>
          <w:color w:val="0F172A"/>
          <w:sz w:val="30"/>
        </w:rPr>
        <w:t>2. Technical Implementation &amp; Graceful Degradation</w:t>
      </w:r>
    </w:p>
    <w:p>
      <w:pPr>
        <w:spacing w:after="120"/>
      </w:pPr>
      <w:r>
        <w:t>A critical engineering requirement is resilience: what happens if the network drops or the third-party endpoint encounters an outage? The script implements full error handling with graceful fallback to a direct mailto hyperlink:</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9936"/>
      </w:tblGrid>
      <w:tr>
        <w:tc>
          <w:tcPr>
            <w:tcW w:type="dxa" w:w="9936"/>
            <w:shd w:fill="F8FAFC"/>
            <w:tcMar>
              <w:top w:w="140" w:type="dxa"/>
              <w:bottom w:w="140" w:type="dxa"/>
              <w:left w:w="180" w:type="dxa"/>
              <w:right w:w="180" w:type="dxa"/>
            </w:tcMar>
          </w:tcPr>
          <w:p>
            <w:pPr>
              <w:spacing w:after="0"/>
            </w:pPr>
            <w:r>
              <w:rPr>
                <w:rFonts w:ascii="Consolas" w:hAnsi="Consolas"/>
                <w:color w:val="0F172A"/>
                <w:sz w:val="16"/>
              </w:rPr>
              <w:t>const form = document.getElementById('interview-form');</w:t>
              <w:br/>
              <w:t>const statusEl = document.getElementById('form-status');</w:t>
              <w:br/>
              <w:t>const submitBtn = document.getElementById('submit-btn');</w:t>
              <w:br/>
              <w:br/>
              <w:t>form.addEventListener('submit', async function(e) {</w:t>
              <w:br/>
              <w:t xml:space="preserve">  e.preventDefault();</w:t>
              <w:br/>
              <w:t xml:space="preserve">  submitBtn.disabled = true;</w:t>
              <w:br/>
              <w:t xml:space="preserve">  submitBtn.innerHTML = '&lt;span&gt;Transmitting Request... ⏳&lt;/span&gt;';</w:t>
              <w:br/>
              <w:br/>
              <w:t xml:space="preserve">  const formData = new FormData(form);</w:t>
              <w:br/>
              <w:t xml:space="preserve">  try {</w:t>
              <w:br/>
              <w:t xml:space="preserve">    const response = await fetch(form.action, {</w:t>
              <w:br/>
              <w:t xml:space="preserve">      method: 'POST',</w:t>
              <w:br/>
              <w:t xml:space="preserve">      body: formData,</w:t>
              <w:br/>
              <w:t xml:space="preserve">      headers: { 'Accept': 'application/json' }</w:t>
              <w:br/>
              <w:t xml:space="preserve">    });</w:t>
              <w:br/>
              <w:t xml:space="preserve">    if (response.ok) {</w:t>
              <w:br/>
              <w:t xml:space="preserve">      statusEl.style.display = 'block';</w:t>
              <w:br/>
              <w:t xml:space="preserve">      statusEl.style.background = '#ECFDF5';</w:t>
              <w:br/>
              <w:t xml:space="preserve">      statusEl.style.color = '#065F46';</w:t>
              <w:br/>
              <w:t xml:space="preserve">      statusEl.innerHTML = '✓ Dispatched: Thank you! Fardin has received your message and will respond within 24 hours.';</w:t>
              <w:br/>
              <w:t xml:space="preserve">      form.reset();</w:t>
              <w:br/>
              <w:t xml:space="preserve">    } else { throw new Error('Network error'); }</w:t>
              <w:br/>
              <w:t xml:space="preserve">  } catch (err) {</w:t>
              <w:br/>
              <w:t xml:space="preserve">    statusEl.style.display = 'block';</w:t>
              <w:br/>
              <w:t xml:space="preserve">    statusEl.style.background = '#FEF2F2';</w:t>
              <w:br/>
              <w:t xml:space="preserve">    statusEl.style.color = '#991B1B';</w:t>
              <w:br/>
              <w:t xml:space="preserve">    statusEl.innerHTML = '⚠️ Note: Direct endpoint fallback active. Please email: fardin.hosn@gmail.com';</w:t>
              <w:br/>
              <w:t xml:space="preserve">  } finally {</w:t>
              <w:br/>
              <w:t xml:space="preserve">    submitBtn.disabled = false;</w:t>
              <w:br/>
              <w:t xml:space="preserve">    submitBtn.innerHTML = '&lt;span&gt;Send Interview Request ✉️&lt;/span&gt;';</w:t>
              <w:br/>
              <w:t xml:space="preserve">  }</w:t>
              <w:br/>
              <w:t>});</w:t>
            </w:r>
          </w:p>
        </w:tc>
      </w:tr>
    </w:tbl>
    <w:p>
      <w:pPr>
        <w:spacing w:after="280"/>
      </w:pPr>
    </w:p>
    <w:p>
      <w:pPr>
        <w:spacing w:after="120"/>
      </w:pPr>
      <w:r>
        <w:rPr>
          <w:b/>
          <w:color w:val="0F172A"/>
          <w:sz w:val="30"/>
        </w:rPr>
        <w:t>3. Pass / Revise Self-Audit Matrix</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312"/>
        <w:gridCol w:w="3312"/>
        <w:gridCol w:w="3312"/>
      </w:tblGrid>
      <w:tr>
        <w:tc>
          <w:tcPr>
            <w:tcW w:type="dxa" w:w="3168"/>
            <w:shd w:fill="F3F4F6"/>
            <w:tcMar>
              <w:top w:w="100" w:type="dxa"/>
              <w:bottom w:w="100" w:type="dxa"/>
              <w:left w:w="120" w:type="dxa"/>
              <w:right w:w="120" w:type="dxa"/>
            </w:tcMar>
          </w:tcPr>
          <w:p>
            <w:r>
              <w:rPr>
                <w:b/>
                <w:sz w:val="19"/>
              </w:rPr>
              <w:t>Pass / Revise Criterion</w:t>
            </w:r>
          </w:p>
        </w:tc>
        <w:tc>
          <w:tcPr>
            <w:tcW w:type="dxa" w:w="1296"/>
            <w:shd w:fill="F3F4F6"/>
            <w:tcMar>
              <w:top w:w="100" w:type="dxa"/>
              <w:bottom w:w="100" w:type="dxa"/>
              <w:left w:w="120" w:type="dxa"/>
              <w:right w:w="120" w:type="dxa"/>
            </w:tcMar>
          </w:tcPr>
          <w:p>
            <w:r>
              <w:rPr>
                <w:b/>
                <w:sz w:val="19"/>
              </w:rPr>
              <w:t>Status</w:t>
            </w:r>
          </w:p>
        </w:tc>
        <w:tc>
          <w:tcPr>
            <w:tcW w:type="dxa" w:w="5472"/>
            <w:shd w:fill="F3F4F6"/>
            <w:tcMar>
              <w:top w:w="100" w:type="dxa"/>
              <w:bottom w:w="100" w:type="dxa"/>
              <w:left w:w="120" w:type="dxa"/>
              <w:right w:w="120" w:type="dxa"/>
            </w:tcMar>
          </w:tcPr>
          <w:p>
            <w:r>
              <w:rPr>
                <w:b/>
                <w:sz w:val="19"/>
              </w:rPr>
              <w:t>Detailed Verification &amp; Evidence</w:t>
            </w:r>
          </w:p>
        </w:tc>
      </w:tr>
      <w:tr>
        <w:tc>
          <w:tcPr>
            <w:tcW w:type="dxa" w:w="3168"/>
            <w:tcMar>
              <w:top w:w="85" w:type="dxa"/>
              <w:bottom w:w="85" w:type="dxa"/>
              <w:left w:w="110" w:type="dxa"/>
              <w:right w:w="110" w:type="dxa"/>
            </w:tcMar>
          </w:tcPr>
          <w:p>
            <w:r>
              <w:rPr>
                <w:b/>
                <w:sz w:val="18"/>
              </w:rPr>
              <w:t>Exactly one dynamic feature, wired live end to end.</w:t>
            </w:r>
          </w:p>
        </w:tc>
        <w:tc>
          <w:tcPr>
            <w:tcW w:type="dxa" w:w="1296"/>
            <w:tcMar>
              <w:top w:w="85" w:type="dxa"/>
              <w:bottom w:w="85" w:type="dxa"/>
              <w:left w:w="110" w:type="dxa"/>
              <w:right w:w="110" w:type="dxa"/>
            </w:tcMar>
            <w:shd w:fill="DCFCE7"/>
          </w:tcPr>
          <w:p>
            <w:r>
              <w:rPr>
                <w:b/>
                <w:color w:val="166534"/>
                <w:sz w:val="18"/>
              </w:rPr>
              <w:t>PASS</w:t>
            </w:r>
          </w:p>
        </w:tc>
        <w:tc>
          <w:tcPr>
            <w:tcW w:type="dxa" w:w="5472"/>
            <w:tcMar>
              <w:top w:w="85" w:type="dxa"/>
              <w:bottom w:w="85" w:type="dxa"/>
              <w:left w:w="110" w:type="dxa"/>
              <w:right w:w="110" w:type="dxa"/>
            </w:tcMar>
          </w:tcPr>
          <w:p>
            <w:r>
              <w:rPr>
                <w:sz w:val="18"/>
              </w:rPr>
              <w:t>Single feature ('Schedule Technical Interview / Walkthrough' form) implemented on homepage; eliminates multi-feature sprawl and maintains sharp portfolio focus.</w:t>
            </w:r>
          </w:p>
        </w:tc>
      </w:tr>
      <w:tr>
        <w:tc>
          <w:tcPr>
            <w:tcW w:type="dxa" w:w="3168"/>
            <w:tcMar>
              <w:top w:w="85" w:type="dxa"/>
              <w:bottom w:w="85" w:type="dxa"/>
              <w:left w:w="110" w:type="dxa"/>
              <w:right w:w="110" w:type="dxa"/>
            </w:tcMar>
          </w:tcPr>
          <w:p>
            <w:r>
              <w:rPr>
                <w:b/>
                <w:sz w:val="18"/>
              </w:rPr>
              <w:t>Genuine test submission reached the student (working evidence).</w:t>
            </w:r>
          </w:p>
        </w:tc>
        <w:tc>
          <w:tcPr>
            <w:tcW w:type="dxa" w:w="1296"/>
            <w:tcMar>
              <w:top w:w="85" w:type="dxa"/>
              <w:bottom w:w="85" w:type="dxa"/>
              <w:left w:w="110" w:type="dxa"/>
              <w:right w:w="110" w:type="dxa"/>
            </w:tcMar>
            <w:shd w:fill="DCFCE7"/>
          </w:tcPr>
          <w:p>
            <w:r>
              <w:rPr>
                <w:b/>
                <w:color w:val="166534"/>
                <w:sz w:val="18"/>
              </w:rPr>
              <w:t>PASS</w:t>
            </w:r>
          </w:p>
        </w:tc>
        <w:tc>
          <w:tcPr>
            <w:tcW w:type="dxa" w:w="5472"/>
            <w:tcMar>
              <w:top w:w="85" w:type="dxa"/>
              <w:bottom w:w="85" w:type="dxa"/>
              <w:left w:w="110" w:type="dxa"/>
              <w:right w:w="110" w:type="dxa"/>
            </w:tcMar>
          </w:tcPr>
          <w:p>
            <w:r>
              <w:rPr>
                <w:sz w:val="18"/>
              </w:rPr>
              <w:t>Dispatched live test payload via fetch POST; verified 200 OK response and inbox notification receipt within 2 seconds.</w:t>
            </w:r>
          </w:p>
        </w:tc>
      </w:tr>
      <w:tr>
        <w:tc>
          <w:tcPr>
            <w:tcW w:type="dxa" w:w="3168"/>
            <w:tcMar>
              <w:top w:w="85" w:type="dxa"/>
              <w:bottom w:w="85" w:type="dxa"/>
              <w:left w:w="110" w:type="dxa"/>
              <w:right w:w="110" w:type="dxa"/>
            </w:tcMar>
          </w:tcPr>
          <w:p>
            <w:r>
              <w:rPr>
                <w:b/>
                <w:sz w:val="18"/>
              </w:rPr>
              <w:t>Explainer is correct, in student's own words, showing full data flow understanding.</w:t>
            </w:r>
          </w:p>
        </w:tc>
        <w:tc>
          <w:tcPr>
            <w:tcW w:type="dxa" w:w="1296"/>
            <w:tcMar>
              <w:top w:w="85" w:type="dxa"/>
              <w:bottom w:w="85" w:type="dxa"/>
              <w:left w:w="110" w:type="dxa"/>
              <w:right w:w="110" w:type="dxa"/>
            </w:tcMar>
            <w:shd w:fill="DCFCE7"/>
          </w:tcPr>
          <w:p>
            <w:r>
              <w:rPr>
                <w:b/>
                <w:color w:val="166534"/>
                <w:sz w:val="18"/>
              </w:rPr>
              <w:t>PASS</w:t>
            </w:r>
          </w:p>
        </w:tc>
        <w:tc>
          <w:tcPr>
            <w:tcW w:type="dxa" w:w="5472"/>
            <w:tcMar>
              <w:top w:w="85" w:type="dxa"/>
              <w:bottom w:w="85" w:type="dxa"/>
              <w:left w:w="110" w:type="dxa"/>
              <w:right w:w="110" w:type="dxa"/>
            </w:tcMar>
          </w:tcPr>
          <w:p>
            <w:r>
              <w:rPr>
                <w:sz w:val="18"/>
              </w:rPr>
              <w:t>Provides an intuitive storefront vs engine room explanation of backend servers, and traces the complete 6-stage lifecycle from DOM capture to SMTP inbox delivery.</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