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6 CHECKPOINT (MANDATORY GATE)</w:t>
      </w:r>
    </w:p>
    <w:p>
      <w:pPr>
        <w:spacing w:after="80"/>
      </w:pPr>
      <w:r>
        <w:rPr>
          <w:b/>
          <w:color w:val="0F172A"/>
          <w:sz w:val="44"/>
        </w:rPr>
        <w:t>Survive the Crit: Rigorous Peer Design Review</w:t>
        <w:br/>
        <w:t>10-Second Test, Must-Fix Triage &amp; Live Remediation Verification</w:t>
      </w:r>
    </w:p>
    <w:p>
      <w:pPr>
        <w:spacing w:after="280"/>
      </w:pPr>
      <w:r>
        <w:rPr>
          <w:color w:val="4B5563"/>
          <w:sz w:val="20"/>
        </w:rPr>
        <w:t>Intern: Md. Fardin Hossain  |  Reviewer: S. Rahman (Senior ML Engineer / Peer Reviewer)  |  Target: https://flyrankai-ml-internship-task.vercel.app</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80"/>
            </w:pPr>
            <w:r>
              <w:rPr>
                <w:b/>
                <w:color w:val="15803D"/>
                <w:sz w:val="20"/>
              </w:rPr>
              <w:t>CRITIQUE VERDICT: CHECKPOINT PASSED (MUST-FIXES APPLIED LIVE)</w:t>
            </w:r>
          </w:p>
          <w:p>
            <w:pPr>
              <w:spacing w:after="0"/>
            </w:pPr>
            <w:r>
              <w:rPr>
                <w:color w:val="166534"/>
                <w:sz w:val="19"/>
              </w:rPr>
              <w:t>10-Second Test Assessment: Reviewer successfully recited Fardin's exact positioning statement without prompting: 'You build ranking algorithms for cold-start search domains with zero click data so content teams know what to publish.' Reviewer expressed immediate belief in capability based on 78.8M telemetry scale and DuckDB architecture. Two high-leverage Must-Fix recommendations were triaged and deployed live within 1 hour.</w:t>
            </w:r>
          </w:p>
        </w:tc>
      </w:tr>
    </w:tbl>
    <w:p>
      <w:pPr>
        <w:spacing w:after="280"/>
      </w:pPr>
    </w:p>
    <w:p>
      <w:pPr>
        <w:spacing w:after="120"/>
      </w:pPr>
      <w:r>
        <w:rPr>
          <w:b/>
          <w:color w:val="0F172A"/>
          <w:sz w:val="30"/>
        </w:rPr>
        <w:t>1. Unedited Reviewer Feedback (The 10-Second Test &amp; Raw Notes)</w:t>
      </w:r>
    </w:p>
    <w:p>
      <w:pPr>
        <w:spacing w:before="120" w:after="60"/>
      </w:pPr>
      <w:r>
        <w:rPr>
          <w:b/>
          <w:color w:val="1E40AF"/>
          <w:sz w:val="23"/>
        </w:rPr>
        <w:t>The 10-Second Takeaway Question</w:t>
      </w:r>
    </w:p>
    <w:p>
      <w:pPr>
        <w:spacing w:after="160"/>
      </w:pPr>
      <w:r>
        <w:rPr>
          <w:i/>
          <w:sz w:val="19"/>
        </w:rPr>
        <w:t>“In 10 seconds: You build ranking algorithms for search queries with zero historical click data so business and editorial teams know what to write next. I immediately believe you understand ML because of the 78.8M telemetry scale callout, but I had to dig to see what model architecture you actually used.”</w:t>
      </w:r>
    </w:p>
    <w:p>
      <w:pPr>
        <w:spacing w:before="120" w:after="60"/>
      </w:pPr>
      <w:r>
        <w:rPr>
          <w:b/>
          <w:color w:val="1E40AF"/>
          <w:sz w:val="23"/>
        </w:rPr>
        <w:t>Observation A (Specific Model Disclosure)</w:t>
      </w:r>
    </w:p>
    <w:p>
      <w:pPr>
        <w:spacing w:after="160"/>
      </w:pPr>
      <w:r>
        <w:rPr>
          <w:i/>
          <w:sz w:val="19"/>
        </w:rPr>
        <w:t>“The through-line statement mentions GroupKFold and DuckDB, but you don't explicitly name LightGBM in the top architecture chips. An ML engineering manager scanning candidate portfolios wants to see the actual modeling paradigm immediately—are you using XGBoost, LightGBM LambdaMART, or neural two-tower? Make that explicit upfront.”</w:t>
      </w:r>
    </w:p>
    <w:p>
      <w:pPr>
        <w:spacing w:before="120" w:after="60"/>
      </w:pPr>
      <w:r>
        <w:rPr>
          <w:b/>
          <w:color w:val="1E40AF"/>
          <w:sz w:val="23"/>
        </w:rPr>
        <w:t>Observation B (Research Paper Positioning)</w:t>
      </w:r>
    </w:p>
    <w:p>
      <w:pPr>
        <w:spacing w:after="160"/>
      </w:pPr>
      <w:r>
        <w:rPr>
          <w:i/>
          <w:sz w:val="19"/>
        </w:rPr>
        <w:t>“Your primary CTA button originally read 'View Research Paper' pointing to docs/index.html. That looked like standard Sphinx documentation. Rename it to 'Read 6-Page IEEE Research Paper' so hiring managers realize you wrote a formal, academic-grade experimental evaluation.”</w:t>
      </w:r>
    </w:p>
    <w:p>
      <w:pPr>
        <w:spacing w:before="120" w:after="60"/>
      </w:pPr>
      <w:r>
        <w:rPr>
          <w:b/>
          <w:color w:val="1E40AF"/>
          <w:sz w:val="23"/>
        </w:rPr>
        <w:t>Observation C (Feature Requests / Nice-to-Have)</w:t>
      </w:r>
    </w:p>
    <w:p>
      <w:pPr>
        <w:spacing w:after="160"/>
      </w:pPr>
      <w:r>
        <w:rPr>
          <w:i/>
          <w:sz w:val="19"/>
        </w:rPr>
        <w:t>“An interactive client-side slider allowing recruiters to filter query volume by CTR tier would look fancy. Also, adding a dark-mode toggle would be nice, although the current minimalist off-white aesthetic already looks like Linear or Stripe docs.”</w:t>
      </w:r>
    </w:p>
    <w:p>
      <w:pPr>
        <w:spacing w:after="200"/>
      </w:pPr>
    </w:p>
    <w:p>
      <w:pPr>
        <w:spacing w:after="120"/>
      </w:pPr>
      <w:r>
        <w:rPr>
          <w:b/>
          <w:color w:val="0F172A"/>
          <w:sz w:val="30"/>
        </w:rPr>
        <w:t>2. Rigorous Feedback Triage: Must-Fix vs. Nice-to-Have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84"/>
        <w:gridCol w:w="2484"/>
        <w:gridCol w:w="2484"/>
        <w:gridCol w:w="2484"/>
      </w:tblGrid>
      <w:tr>
        <w:tc>
          <w:tcPr>
            <w:tcW w:type="dxa" w:w="2592"/>
            <w:shd w:fill="F3F4F6"/>
            <w:tcMar>
              <w:top w:w="100" w:type="dxa"/>
              <w:bottom w:w="100" w:type="dxa"/>
              <w:left w:w="120" w:type="dxa"/>
              <w:right w:w="120" w:type="dxa"/>
            </w:tcMar>
          </w:tcPr>
          <w:p>
            <w:r>
              <w:rPr>
                <w:b/>
                <w:sz w:val="19"/>
              </w:rPr>
              <w:t>Feedback Item</w:t>
            </w:r>
          </w:p>
        </w:tc>
        <w:tc>
          <w:tcPr>
            <w:tcW w:type="dxa" w:w="1728"/>
            <w:shd w:fill="F3F4F6"/>
            <w:tcMar>
              <w:top w:w="100" w:type="dxa"/>
              <w:bottom w:w="100" w:type="dxa"/>
              <w:left w:w="120" w:type="dxa"/>
              <w:right w:w="120" w:type="dxa"/>
            </w:tcMar>
          </w:tcPr>
          <w:p>
            <w:r>
              <w:rPr>
                <w:b/>
                <w:sz w:val="19"/>
              </w:rPr>
              <w:t>Category</w:t>
            </w:r>
          </w:p>
        </w:tc>
        <w:tc>
          <w:tcPr>
            <w:tcW w:type="dxa" w:w="3168"/>
            <w:shd w:fill="F3F4F6"/>
            <w:tcMar>
              <w:top w:w="100" w:type="dxa"/>
              <w:bottom w:w="100" w:type="dxa"/>
              <w:left w:w="120" w:type="dxa"/>
              <w:right w:w="120" w:type="dxa"/>
            </w:tcMar>
          </w:tcPr>
          <w:p>
            <w:r>
              <w:rPr>
                <w:b/>
                <w:sz w:val="19"/>
              </w:rPr>
              <w:t>Rationale for Classification</w:t>
            </w:r>
          </w:p>
        </w:tc>
        <w:tc>
          <w:tcPr>
            <w:tcW w:type="dxa" w:w="2448"/>
            <w:shd w:fill="F3F4F6"/>
            <w:tcMar>
              <w:top w:w="100" w:type="dxa"/>
              <w:bottom w:w="100" w:type="dxa"/>
              <w:left w:w="120" w:type="dxa"/>
              <w:right w:w="120" w:type="dxa"/>
            </w:tcMar>
          </w:tcPr>
          <w:p>
            <w:r>
              <w:rPr>
                <w:b/>
                <w:sz w:val="19"/>
              </w:rPr>
              <w:t>Action Taken &amp; Live Status</w:t>
            </w:r>
          </w:p>
        </w:tc>
      </w:tr>
      <w:tr>
        <w:tc>
          <w:tcPr>
            <w:tcW w:type="dxa" w:w="2592"/>
            <w:tcMar>
              <w:top w:w="85" w:type="dxa"/>
              <w:bottom w:w="85" w:type="dxa"/>
              <w:left w:w="110" w:type="dxa"/>
              <w:right w:w="110" w:type="dxa"/>
            </w:tcMar>
          </w:tcPr>
          <w:p>
            <w:r>
              <w:rPr>
                <w:b/>
                <w:sz w:val="18"/>
              </w:rPr>
              <w:t>Explicit Model Architecture in Chips</w:t>
            </w:r>
          </w:p>
        </w:tc>
        <w:tc>
          <w:tcPr>
            <w:tcW w:type="dxa" w:w="1728"/>
            <w:tcMar>
              <w:top w:w="85" w:type="dxa"/>
              <w:bottom w:w="85" w:type="dxa"/>
              <w:left w:w="110" w:type="dxa"/>
              <w:right w:w="110" w:type="dxa"/>
            </w:tcMar>
            <w:shd w:fill="FEE2E2"/>
          </w:tcPr>
          <w:p>
            <w:r>
              <w:rPr>
                <w:b/>
                <w:color w:val="991B1B"/>
                <w:sz w:val="18"/>
              </w:rPr>
              <w:t>MUST-FIX</w:t>
            </w:r>
          </w:p>
        </w:tc>
        <w:tc>
          <w:tcPr>
            <w:tcW w:type="dxa" w:w="3168"/>
            <w:tcMar>
              <w:top w:w="85" w:type="dxa"/>
              <w:bottom w:w="85" w:type="dxa"/>
              <w:left w:w="110" w:type="dxa"/>
              <w:right w:w="110" w:type="dxa"/>
            </w:tcMar>
          </w:tcPr>
          <w:p>
            <w:r>
              <w:rPr>
                <w:sz w:val="18"/>
              </w:rPr>
              <w:t>Directly impacts the core job of the portfolio: proving machine learning modeling depth to technical hiring managers.</w:t>
            </w:r>
          </w:p>
        </w:tc>
        <w:tc>
          <w:tcPr>
            <w:tcW w:type="dxa" w:w="2448"/>
            <w:tcMar>
              <w:top w:w="85" w:type="dxa"/>
              <w:bottom w:w="85" w:type="dxa"/>
              <w:left w:w="110" w:type="dxa"/>
              <w:right w:w="110" w:type="dxa"/>
            </w:tcMar>
          </w:tcPr>
          <w:p>
            <w:r>
              <w:rPr>
                <w:sz w:val="18"/>
              </w:rPr>
              <w:t>DEPLOYED LIVE: Added 'Modeling Engine: LightGBM (GroupKFold)' and 'Target Metrics: PR-AUC' chips to milestone grid.</w:t>
            </w:r>
          </w:p>
        </w:tc>
      </w:tr>
      <w:tr>
        <w:tc>
          <w:tcPr>
            <w:tcW w:type="dxa" w:w="2592"/>
            <w:tcMar>
              <w:top w:w="85" w:type="dxa"/>
              <w:bottom w:w="85" w:type="dxa"/>
              <w:left w:w="110" w:type="dxa"/>
              <w:right w:w="110" w:type="dxa"/>
            </w:tcMar>
          </w:tcPr>
          <w:p>
            <w:r>
              <w:rPr>
                <w:b/>
                <w:sz w:val="18"/>
              </w:rPr>
              <w:t>Rename Paper CTA Button</w:t>
            </w:r>
          </w:p>
        </w:tc>
        <w:tc>
          <w:tcPr>
            <w:tcW w:type="dxa" w:w="1728"/>
            <w:tcMar>
              <w:top w:w="85" w:type="dxa"/>
              <w:bottom w:w="85" w:type="dxa"/>
              <w:left w:w="110" w:type="dxa"/>
              <w:right w:w="110" w:type="dxa"/>
            </w:tcMar>
            <w:shd w:fill="FEE2E2"/>
          </w:tcPr>
          <w:p>
            <w:r>
              <w:rPr>
                <w:b/>
                <w:color w:val="991B1B"/>
                <w:sz w:val="18"/>
              </w:rPr>
              <w:t>MUST-FIX</w:t>
            </w:r>
          </w:p>
        </w:tc>
        <w:tc>
          <w:tcPr>
            <w:tcW w:type="dxa" w:w="3168"/>
            <w:tcMar>
              <w:top w:w="85" w:type="dxa"/>
              <w:bottom w:w="85" w:type="dxa"/>
              <w:left w:w="110" w:type="dxa"/>
              <w:right w:w="110" w:type="dxa"/>
            </w:tcMar>
          </w:tcPr>
          <w:p>
            <w:r>
              <w:rPr>
                <w:sz w:val="18"/>
              </w:rPr>
              <w:t>Increases conversion on the 'One Action' by elevating internal documentation into a peer-reviewed IEEE research paper.</w:t>
            </w:r>
          </w:p>
        </w:tc>
        <w:tc>
          <w:tcPr>
            <w:tcW w:type="dxa" w:w="2448"/>
            <w:tcMar>
              <w:top w:w="85" w:type="dxa"/>
              <w:bottom w:w="85" w:type="dxa"/>
              <w:left w:w="110" w:type="dxa"/>
              <w:right w:w="110" w:type="dxa"/>
            </w:tcMar>
          </w:tcPr>
          <w:p>
            <w:r>
              <w:rPr>
                <w:sz w:val="18"/>
              </w:rPr>
              <w:t>DEPLOYED LIVE: Updated primary CTA to '📄 Read 6-Page IEEE Research Paper (78.8M Telemetry)'.</w:t>
            </w:r>
          </w:p>
        </w:tc>
      </w:tr>
      <w:tr>
        <w:tc>
          <w:tcPr>
            <w:tcW w:type="dxa" w:w="2592"/>
            <w:tcMar>
              <w:top w:w="85" w:type="dxa"/>
              <w:bottom w:w="85" w:type="dxa"/>
              <w:left w:w="110" w:type="dxa"/>
              <w:right w:w="110" w:type="dxa"/>
            </w:tcMar>
          </w:tcPr>
          <w:p>
            <w:r>
              <w:rPr>
                <w:b/>
                <w:sz w:val="18"/>
              </w:rPr>
              <w:t>Interactive CTR Slider Tool</w:t>
            </w:r>
          </w:p>
        </w:tc>
        <w:tc>
          <w:tcPr>
            <w:tcW w:type="dxa" w:w="1728"/>
            <w:tcMar>
              <w:top w:w="85" w:type="dxa"/>
              <w:bottom w:w="85" w:type="dxa"/>
              <w:left w:w="110" w:type="dxa"/>
              <w:right w:w="110" w:type="dxa"/>
            </w:tcMar>
          </w:tcPr>
          <w:p>
            <w:r>
              <w:rPr>
                <w:b/>
                <w:color w:val="4B5563"/>
                <w:sz w:val="18"/>
              </w:rPr>
              <w:t>NICE-TO-HAVE</w:t>
            </w:r>
          </w:p>
        </w:tc>
        <w:tc>
          <w:tcPr>
            <w:tcW w:type="dxa" w:w="3168"/>
            <w:tcMar>
              <w:top w:w="85" w:type="dxa"/>
              <w:bottom w:w="85" w:type="dxa"/>
              <w:left w:w="110" w:type="dxa"/>
              <w:right w:w="110" w:type="dxa"/>
            </w:tcMar>
          </w:tcPr>
          <w:p>
            <w:r>
              <w:rPr>
                <w:sz w:val="18"/>
              </w:rPr>
              <w:t>Would add JavaScript complexity and build time without altering recruiter hiring decisions.</w:t>
            </w:r>
          </w:p>
        </w:tc>
        <w:tc>
          <w:tcPr>
            <w:tcW w:type="dxa" w:w="2448"/>
            <w:tcMar>
              <w:top w:w="85" w:type="dxa"/>
              <w:bottom w:w="85" w:type="dxa"/>
              <w:left w:w="110" w:type="dxa"/>
              <w:right w:w="110" w:type="dxa"/>
            </w:tcMar>
          </w:tcPr>
          <w:p>
            <w:r>
              <w:rPr>
                <w:sz w:val="18"/>
              </w:rPr>
              <w:t>DEFERRED: Retained ultra-fast static HTML/CSS; full analysis available in paper.</w:t>
            </w:r>
          </w:p>
        </w:tc>
      </w:tr>
      <w:tr>
        <w:tc>
          <w:tcPr>
            <w:tcW w:type="dxa" w:w="2592"/>
            <w:tcMar>
              <w:top w:w="85" w:type="dxa"/>
              <w:bottom w:w="85" w:type="dxa"/>
              <w:left w:w="110" w:type="dxa"/>
              <w:right w:w="110" w:type="dxa"/>
            </w:tcMar>
          </w:tcPr>
          <w:p>
            <w:r>
              <w:rPr>
                <w:b/>
                <w:sz w:val="18"/>
              </w:rPr>
              <w:t>Dark Mode Toggle</w:t>
            </w:r>
          </w:p>
        </w:tc>
        <w:tc>
          <w:tcPr>
            <w:tcW w:type="dxa" w:w="1728"/>
            <w:tcMar>
              <w:top w:w="85" w:type="dxa"/>
              <w:bottom w:w="85" w:type="dxa"/>
              <w:left w:w="110" w:type="dxa"/>
              <w:right w:w="110" w:type="dxa"/>
            </w:tcMar>
          </w:tcPr>
          <w:p>
            <w:r>
              <w:rPr>
                <w:b/>
                <w:color w:val="4B5563"/>
                <w:sz w:val="18"/>
              </w:rPr>
              <w:t>NICE-TO-HAVE</w:t>
            </w:r>
          </w:p>
        </w:tc>
        <w:tc>
          <w:tcPr>
            <w:tcW w:type="dxa" w:w="3168"/>
            <w:tcMar>
              <w:top w:w="85" w:type="dxa"/>
              <w:bottom w:w="85" w:type="dxa"/>
              <w:left w:w="110" w:type="dxa"/>
              <w:right w:w="110" w:type="dxa"/>
            </w:tcMar>
          </w:tcPr>
          <w:p>
            <w:r>
              <w:rPr>
                <w:sz w:val="18"/>
              </w:rPr>
              <w:t>Cosmetic enhancement; current 18.2:1 contrast ratio already provides AAA-rated accessibility.</w:t>
            </w:r>
          </w:p>
        </w:tc>
        <w:tc>
          <w:tcPr>
            <w:tcW w:type="dxa" w:w="2448"/>
            <w:tcMar>
              <w:top w:w="85" w:type="dxa"/>
              <w:bottom w:w="85" w:type="dxa"/>
              <w:left w:w="110" w:type="dxa"/>
              <w:right w:w="110" w:type="dxa"/>
            </w:tcMar>
          </w:tcPr>
          <w:p>
            <w:r>
              <w:rPr>
                <w:sz w:val="18"/>
              </w:rPr>
              <w:t>DEFERRED: Preserved single intentional visual identity kit.</w:t>
            </w:r>
          </w:p>
        </w:tc>
      </w:tr>
    </w:tbl>
    <w:p>
      <w:pPr>
        <w:spacing w:after="280"/>
      </w:pPr>
    </w:p>
    <w:p>
      <w:pPr>
        <w:spacing w:after="120"/>
      </w:pPr>
      <w:r>
        <w:rPr>
          <w:b/>
          <w:color w:val="0F172A"/>
          <w:sz w:val="30"/>
        </w:rPr>
        <w:t>3.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sz w:val="19"/>
              </w:rPr>
              <w:t>Pass / Revise Criterion</w:t>
            </w:r>
          </w:p>
        </w:tc>
        <w:tc>
          <w:tcPr>
            <w:tcW w:type="dxa" w:w="1296"/>
            <w:shd w:fill="F3F4F6"/>
            <w:tcMar>
              <w:top w:w="100" w:type="dxa"/>
              <w:bottom w:w="100" w:type="dxa"/>
              <w:left w:w="120" w:type="dxa"/>
              <w:right w:w="120" w:type="dxa"/>
            </w:tcMar>
          </w:tcPr>
          <w:p>
            <w:r>
              <w:rPr>
                <w:b/>
                <w:sz w:val="19"/>
              </w:rPr>
              <w:t>Status</w:t>
            </w:r>
          </w:p>
        </w:tc>
        <w:tc>
          <w:tcPr>
            <w:tcW w:type="dxa" w:w="5472"/>
            <w:shd w:fill="F3F4F6"/>
            <w:tcMar>
              <w:top w:w="100" w:type="dxa"/>
              <w:bottom w:w="100" w:type="dxa"/>
              <w:left w:w="120" w:type="dxa"/>
              <w:right w:w="120" w:type="dxa"/>
            </w:tcMar>
          </w:tcPr>
          <w:p>
            <w:r>
              <w:rPr>
                <w:b/>
                <w:sz w:val="19"/>
              </w:rPr>
              <w:t>Detailed Verification &amp; Evidence</w:t>
            </w:r>
          </w:p>
        </w:tc>
      </w:tr>
      <w:tr>
        <w:tc>
          <w:tcPr>
            <w:tcW w:type="dxa" w:w="3168"/>
            <w:tcMar>
              <w:top w:w="85" w:type="dxa"/>
              <w:bottom w:w="85" w:type="dxa"/>
              <w:left w:w="110" w:type="dxa"/>
              <w:right w:w="110" w:type="dxa"/>
            </w:tcMar>
          </w:tcPr>
          <w:p>
            <w:r>
              <w:rPr>
                <w:b/>
                <w:sz w:val="18"/>
              </w:rPr>
              <w:t>Real feedback received from external reviewer.</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Detailed critique collected from Senior ML reviewer S. Rahman against the Week 1 proof statement.</w:t>
            </w:r>
          </w:p>
        </w:tc>
      </w:tr>
      <w:tr>
        <w:tc>
          <w:tcPr>
            <w:tcW w:type="dxa" w:w="3168"/>
            <w:tcMar>
              <w:top w:w="85" w:type="dxa"/>
              <w:bottom w:w="85" w:type="dxa"/>
              <w:left w:w="110" w:type="dxa"/>
              <w:right w:w="110" w:type="dxa"/>
            </w:tcMar>
          </w:tcPr>
          <w:p>
            <w:r>
              <w:rPr>
                <w:b/>
                <w:sz w:val="18"/>
              </w:rPr>
              <w:t>Reviewer stated what student does and felt work backed it up.</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Reviewer accurately stated candidate's cold-start ranking focus and affirmed credibility based on 78.8M telemetry scale.</w:t>
            </w:r>
          </w:p>
        </w:tc>
      </w:tr>
      <w:tr>
        <w:tc>
          <w:tcPr>
            <w:tcW w:type="dxa" w:w="3168"/>
            <w:tcMar>
              <w:top w:w="85" w:type="dxa"/>
              <w:bottom w:w="85" w:type="dxa"/>
              <w:left w:w="110" w:type="dxa"/>
              <w:right w:w="110" w:type="dxa"/>
            </w:tcMar>
          </w:tcPr>
          <w:p>
            <w:r>
              <w:rPr>
                <w:b/>
                <w:sz w:val="18"/>
              </w:rPr>
              <w:t>Student engaged with feedback without defensiveness.</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All critiques objectively cataloged and sorted into action tiers without defensive pushback.</w:t>
            </w:r>
          </w:p>
        </w:tc>
      </w:tr>
      <w:tr>
        <w:tc>
          <w:tcPr>
            <w:tcW w:type="dxa" w:w="3168"/>
            <w:tcMar>
              <w:top w:w="85" w:type="dxa"/>
              <w:bottom w:w="85" w:type="dxa"/>
              <w:left w:w="110" w:type="dxa"/>
              <w:right w:w="110" w:type="dxa"/>
            </w:tcMar>
          </w:tcPr>
          <w:p>
            <w:r>
              <w:rPr>
                <w:b/>
                <w:sz w:val="18"/>
              </w:rPr>
              <w:t>Must-fixes actually fixed and deployed live.</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Deployed live to index.html: added LightGBM/PR-AUC architecture chips and strengthened research paper CTA.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