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40AF"/>
          <w:sz w:val="19"/>
        </w:rPr>
        <w:t>GENERAL AI FLUENCY TRACK  |  WEEK 8 CONTINUOUS BUILDING HABIT</w:t>
      </w:r>
    </w:p>
    <w:p>
      <w:pPr>
        <w:spacing w:after="80"/>
      </w:pPr>
      <w:r>
        <w:rPr>
          <w:b/>
          <w:color w:val="0F172A"/>
          <w:sz w:val="44"/>
        </w:rPr>
        <w:t>The Plan to Keep Building: Portfolio Habit Plan</w:t>
        <w:br/>
        <w:t>Case Study Expansion Protocol, Next Named Project &amp; Context Preservation</w:t>
      </w:r>
    </w:p>
    <w:p>
      <w:pPr>
        <w:spacing w:after="280"/>
      </w:pPr>
      <w:r>
        <w:rPr>
          <w:color w:val="4B5563"/>
          <w:sz w:val="20"/>
        </w:rPr>
        <w:t>Intern: Md. Fardin Hossain  |  Workload: ~1 Hour  |  Core Principle: Low-Friction Compounding Engineering Habits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5803D"/>
                <w:sz w:val="20"/>
              </w:rPr>
              <w:t>THE HABIT PHILOSOPHY: LOW FRICTION OVER HEROIC SPRINTS</w:t>
            </w:r>
          </w:p>
          <w:p>
            <w:pPr>
              <w:spacing w:after="0"/>
            </w:pPr>
            <w:r>
              <w:rPr>
                <w:color w:val="166534"/>
                <w:sz w:val="19"/>
              </w:rPr>
              <w:t>“A portfolio that is difficult to update becomes a graveyard within six months. By enforcing the 3-beat case study template (Problem -&gt; What I Did -&gt; What Came of It), preserving our Claude Project context file with all design tokens, and naming the exact next project with a calendar cadence, adding a new case study becomes a 20-minute editorial conversation rather than an intimidating full-stack rebuild.”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1. Protocol: Where the Next Case Goes &amp; How to Add It</w:t>
      </w:r>
    </w:p>
    <w:p>
      <w:pPr>
        <w:spacing w:after="160"/>
      </w:pPr>
      <w:r>
        <w:t>• Placement on Site: In index.html, under a dedicated '&lt;section id="featured-cases"&gt;' element placed immediately below the through-line claim and systems architecture card. Each case is rendered as a clean, high-contrast card linking to deep technical notes.</w:t>
        <w:br/>
        <w:t>• The 3-Beat Execution Shape (Reused from Week 2):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The Three Beats</w:t>
            </w:r>
          </w:p>
        </w:tc>
        <w:tc>
          <w:tcPr>
            <w:tcW w:type="dxa" w:w="331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Structural Mandate &amp; Word Budget</w:t>
            </w:r>
          </w:p>
        </w:tc>
        <w:tc>
          <w:tcPr>
            <w:tcW w:type="dxa" w:w="403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Engineering Evidence Grounding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Beat 1: The Problem</w:t>
              <w:br/>
              <w:t>(60–80 words)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Name the real commercial or architectural friction. Avoid generic academic preambles; focus on why standard approaches break.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e.g., Cold-start queries have zero click signals; standard collaborative filtering returns empty candidates, causing 35% search abandonment.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Beat 2: What I Did</w:t>
              <w:br/>
              <w:t>(100–140 words)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Detail the engineering intervention with exact tools, loss functions, or pipelines. Emphasize data hygiene and trade-offs.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e.g., Engineered a Two-Tower ONNX vector retrieval pipeline in DuckDB using HNSW indexing, generating dense query-document embeddings in &lt;15ms.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Beat 3: What Came of It</w:t>
              <w:br/>
              <w:t>(60–80 words)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Report empirical metrics, latency deltas, and business outcomes honestly. Include trade-offs or known boundaries.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e.g., Lifted cold-query recall@20 from 41% to 68%; achieved 14ms p95 latency on CPU; deployed across 12,000 daily catalog queries.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2. The Next Named Project &amp; Scheduled Reminder</w:t>
      </w:r>
    </w:p>
    <w:p>
      <w:pPr>
        <w:spacing w:after="200"/>
      </w:pPr>
      <w:r>
        <w:rPr>
          <w:b/>
        </w:rPr>
        <w:t>Specific Next Piece Named:</w:t>
        <w:br/>
      </w:r>
      <w:r>
        <w:t>“Case Study 2: Low-Latency Two-Tower Vector Retrieval with DuckDB VSS for Sub-50ms Cold-Start Query Candidate Generation”</w:t>
        <w:br/>
        <w:t>Scope: Ingesting 500k product catalog embeddings into DuckDB's Vector Similarity Search (VSS) extension, benchmarking cosine distance vs dot-product latency on commodity CPU instances, and evaluating candidate recall.</w:t>
      </w:r>
    </w:p>
    <w:p>
      <w:pPr>
        <w:spacing w:after="280"/>
      </w:pPr>
      <w:r>
        <w:rPr>
          <w:b/>
        </w:rPr>
        <w:t>Concrete Scheduled Reminder Set:</w:t>
        <w:br/>
      </w:r>
      <w:r>
        <w:t>• Calendar Platform: Google Calendar (Recurring Bi-Weekly Event)</w:t>
        <w:br/>
        <w:t>• Schedule Cadence: Every second Monday at 10:00 AM (Next trigger: Monday, Oct 26, 2026)</w:t>
        <w:br/>
        <w:t>• Notification Title: '🔔 Portfolio Habit: Audit Recent Code &amp; Draft Next 3-Beat Case Study'</w:t>
        <w:br/>
        <w:t>• Action Checklist Attached to Event: (1) Pull latest Git commits; (2) Capture 1 terminal latency screenshot; (3) Open Claude Project to generate 3-beat draft.</w:t>
      </w:r>
    </w:p>
    <w:p>
      <w:pPr>
        <w:spacing w:after="120"/>
      </w:pPr>
      <w:r>
        <w:rPr>
          <w:b/>
          <w:color w:val="0F172A"/>
          <w:sz w:val="30"/>
        </w:rPr>
        <w:t>3. Preserving the Claude Project Context</w:t>
      </w:r>
    </w:p>
    <w:p>
      <w:pPr>
        <w:spacing w:after="120"/>
      </w:pPr>
      <w:r>
        <w:t>To ensure future additions require zero setup overhead, the Claude Project retains our permanent Engineering Context Document (.claude/project_context.md) with: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Context Dimension</w:t>
            </w:r>
          </w:p>
        </w:tc>
        <w:tc>
          <w:tcPr>
            <w:tcW w:type="dxa" w:w="67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Preserved Parameter &amp; Rule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Design Tokens &amp; Palette</w:t>
            </w:r>
          </w:p>
        </w:tc>
        <w:tc>
          <w:tcPr>
            <w:tcW w:type="dxa" w:w="67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Background: #FAFAFA | Text: #09090B | Accent: #0284C7 | Borders: #E4E4E7. Fonts: Geist (Headings/Body), JetBrains Mono (Code).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Voice &amp; Tone Guidelines</w:t>
            </w:r>
          </w:p>
        </w:tc>
        <w:tc>
          <w:tcPr>
            <w:tcW w:type="dxa" w:w="67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Direct, empirical, code-first, and zero fluff. Never use exaggerated marketing buzzwords ('groundbreaking', 'game-changing').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The 3-Beat Template</w:t>
            </w:r>
          </w:p>
        </w:tc>
        <w:tc>
          <w:tcPr>
            <w:tcW w:type="dxa" w:w="67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Enforce strict Problem -&gt; What I Did -&gt; What Came of It structure with mandatory before/after metrics.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4. Pass / Revise Self-Audit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Pass / Revise Criterion</w:t>
            </w:r>
          </w:p>
        </w:tc>
        <w:tc>
          <w:tcPr>
            <w:tcW w:type="dxa" w:w="129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547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Detailed Verification &amp; Evidence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Concrete 'how to add' note, not vague intention.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Defines exact HTML placement in index.html and specifies 3-beat word budgets and structure.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Specific next piece named with a real reminder set.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Names 'Two-Tower Vector Retrieval with DuckDB VSS' and documents bi-weekly recurring Google Calendar reminder.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Build context preserved in Claude Project.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Preserves typography, color hex codes, brand voice rules, and 3-beat prompt templates in project context.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