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  <w:sz w:val="36"/>
        </w:rPr>
        <w:t>Q2 Journal Publication Audit — Research 1</w:t>
      </w:r>
    </w:p>
    <w:p>
      <w:r>
        <w:rPr>
          <w:i/>
          <w:color w:val="444444"/>
          <w:sz w:val="22"/>
        </w:rPr>
        <w:t>Domain-Adaptive Explainable AI Framework for Big Data–Driven Decision Support Systems (DAEA / XAI-DSS)</w:t>
      </w:r>
    </w:p>
    <w:p>
      <w:r>
        <w:rPr>
          <w:color w:val="666666"/>
          <w:sz w:val="18"/>
        </w:rPr>
        <w:t>Scope: Manuscript + supplied notebook + response document.  Severity included: High and Medium only.  Date: 2026-06-06</w:t>
      </w:r>
    </w:p>
    <w:p>
      <w:pPr>
        <w:pStyle w:val="Heading1"/>
      </w:pPr>
      <w:r>
        <w:t>Artifacts Reviewed</w:t>
      </w:r>
    </w:p>
    <w:p>
      <w:pPr>
        <w:pStyle w:val="ListBullet"/>
      </w:pPr>
      <w:r>
        <w:rPr>
          <w:sz w:val="20"/>
        </w:rPr>
        <w:t>Manuscript (UnTracked_Manuscript.docx / Manuscript__62.docx) — the DAEA / XAI-DSS paper (fraud + heart disease).</w:t>
      </w:r>
    </w:p>
    <w:p>
      <w:pPr>
        <w:pStyle w:val="ListBullet"/>
      </w:pPr>
      <w:r>
        <w:rPr>
          <w:sz w:val="20"/>
        </w:rPr>
        <w:t>Response document (RESPONSE_.docx) — revision notes for this manuscript.</w:t>
      </w:r>
    </w:p>
    <w:p>
      <w:pPr>
        <w:pStyle w:val="ListBullet"/>
      </w:pPr>
      <w:r>
        <w:rPr>
          <w:sz w:val="20"/>
        </w:rPr>
        <w:t>Notebook (Fareed_1updated.ipynb) — does NOT match this manuscript; it contains a Federated Learning / network-intrusion study (Research 2).</w:t>
      </w:r>
    </w:p>
    <w:p>
      <w:pPr>
        <w:pStyle w:val="ListBullet"/>
      </w:pPr>
      <w:r>
        <w:rPr>
          <w:sz w:val="20"/>
        </w:rPr>
        <w:t>Note: RESPONSE_SHEET__7.docx also belongs to the Federated Learning paper (Research 2), not this manuscript.</w:t>
      </w:r>
    </w:p>
    <w:p>
      <w:pPr>
        <w:pStyle w:val="Heading1"/>
      </w:pPr>
      <w:r>
        <w:t>Headline Finding</w:t>
      </w:r>
    </w:p>
    <w:p>
      <w:r>
        <w:rPr>
          <w:b/>
          <w:color w:val="B00000"/>
        </w:rPr>
        <w:t xml:space="preserve">The submitted notebook provides no code for any result in the manuscript. </w:t>
      </w:r>
      <w:r>
        <w:t>A keyword scan confirms "import shap" is absent (the "shap" matches are all ".shape"), and there is zero code for the fraud/heart datasets, SHAP/LIME, the DAEA discriminants, Platt/isotonic calibration, ECE, or CECI. None of the manuscript's headline numbers are reproducible from the supplied artifacts.</w:t>
      </w:r>
    </w:p>
    <w:p>
      <w:pPr>
        <w:pStyle w:val="Heading1"/>
      </w:pPr>
      <w:r>
        <w:t>Audit Findings (High &amp; Medium Severity)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Issue Type</w:t>
            </w:r>
          </w:p>
        </w:tc>
        <w:tc>
          <w:tcPr>
            <w:tcW w:type="dxa" w:w="115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51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Issue Details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Reproducibility (Critical)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provided notebook (Fareed_1updated.ipynb) is for a different study (Federated Learning on a network-intrusion dataset). It contains no code for the fraud/heart datasets, SHAP/LIME, DAEA, calibration, or CECI. Every reported metric (F1, AUC, ECE, CECI, confusion matrices) is therefore unsupported by any runnable artifact.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Supply the actual notebook that produces all manuscript results. Add a Data &amp; Code Availability statement with a public repo (GitHub/Zenodo DOI), fixed random seeds, and library versions. Without this, a Q2 desk-reject on reproducibility is likely.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Methodology (Critical)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Evaluation protocol is internally contradictory. Section 3.7 promises fivefold stratified cross-validation with mean ± SD, but (a) no SD is reported anywhere, (b) Section 3.4 describes a single 70/30 split + 15% calibration holdout, and (c) the confusion matrices (4.6) are from a single 70/30 split (fraud test ≈ 85,443 = 30% of 284,807; heart test = 91 = 30% of 303), not CV.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Choose one protocol and apply it consistently. If using 5-fold CV, report mean ± SD in Tables 4–6 and derive confusion matrices accordingly. Reconcile the calibration holdout with the CV scheme (e.g., nested CV).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Statistical Rigor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Words like 'significant / significantly higher' are used throughout (model differences, CECI AFR vs SFR) with no statistical tests — no p-values, confidence intervals, or effect sizes. CECI differences (0.61–0.72 vs 0.83–0.89) are asserted as significant on n=200 with no test.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Add appropriate tests (paired tests across CV folds, bootstrap CIs for CECI/AUC, DeLong test for AUC). Reserve 'significant' for statistically tested claims.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Scope / Over-claim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paper is framed as 'Big Data–Driven' (title, abstract, 5Vs, Hadoop/Spark in 2.1), yet the heart dataset has 303 instances (not big data) and the fraud set is moderate. No distributed computing is implemented (Spark/Ray appear only in Future Work).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Either de-emphasize the big-data framing to match the actual experiments, or add a genuinely large-scale/distributed component. Align title and abstract with what was done.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Numeric Inconsistency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Introduction (Section 1) states the fraud dataset has '13 features' — it has 30 (28 PCA + Amount + Time), as stated correctly in the abstract, 3.3.1, and Table 2. The '13' appears copied from the heart dataset.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Correct to 30 features. Sweep the manuscript for other copy-paste numeric errors.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Numeric Inconsistency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Conclusion reports ECE reductions of '43.4%–65.3%.' Recomputing from Table 5, the smallest reduction is 56.6% (LR-Fraud: 0.0431→0.0187). '43.4%' is actually the post/pre ratio (0.0187/0.0431), i.e., the reduction was mislabeled. The response doc repeats the error ('43–65%').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Recompute and state the correct range (≈56.6%–65.3%), or clarify the metric. Verify every percentage in abstract/conclusion against the tables.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Methodology (Under-specified)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DAEA 'automatically learns/classifies' the domain regime, but with only 2 datasets this is effectively two hand-set threshold decisions, not a validated classifier. The Domain Regime Score is said to be discriminants 'all added together' with no weights, no thresholds, and no validation reported.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Specify the exact DRS formula, weights, and decision thresholds. Validate the regime classifier on many datasets (≥10) before claiming automatic/generalizable classification, or reframe it as a rule-based heuristic.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Internal Inconsistency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Sections 3.5/3.2 list four DAEA discriminants (FSD, DPS, CIR, FICE — feature inter-correlation entropy), but Table 2 only reports FSD, DPS, CIR. FICE is never reported or used anywhere.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Report FICE values in Table 2 and show its role in the DRS, or remove it from the discriminant list.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Novelty / Conceptual Framing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'Cross-Domain Explainability Consistency Index (CECI)' is actually computed within each domain as a Spearman correlation between SHAP-global and LIME-local rankings, then merely compared across domains. It measures global–local agreement, not cross-domain consistency — the name is misleading, and SHAP–LIME rank agreement overlaps with existing explanation-agreement/fidelity metrics.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Rename to reflect what it measures (e.g., 'Global–Local Explanation Consistency Index'). Differentiate explicitly from prior explanation-agreement metrics to defend novelty.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Methodology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CECI sampling is described inconsistently: Section 3.2 says a 'stratified sample of 200 instances per dataset'; Section 4.5 says '200 instances randomly sampled.' Fraud has only 492 positives, so the sampling scheme materially affects results.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State one sampling method, justify n=200, and report CECI with a bootstrap confidence interval.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Evidence Gap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The SFR 'contrastive explanation' and 'natural-language summary' contributions are supported by a single anecdotal patient example and no quantified evaluation (e.g., user study, plausibility/validity scoring).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Add quantitative/qualitative validation of these outputs (clinician evaluation, counterfactual validity metrics) or temper the contribution claims.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Referencing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Year mismatch: text cites 'Guidotti et al., 2019'; the reference list shows 2018. Likely orphan (uncited) references: Diakopoulos &amp; Koliska (2016) and Ngai et al. (2011) appear in the list but not in text; Samek et al. (2019) is listed but only Samek 2021 is cited.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Fix the Guidotti year; remove or cite the orphan references. Run a full citation cross-check (every list entry cited; every in-text citation listed).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Writing / Editorial (track-changes residue)</w:t>
            </w:r>
          </w:p>
        </w:tc>
        <w:tc>
          <w:tcPr>
            <w:tcW w:type="dxa" w:w="1152"/>
            <w:shd w:val="clear" w:color="auto" w:fill="FCE4E4"/>
          </w:tcPr>
          <w:p>
            <w:pPr>
              <w:spacing w:after="40" w:before="40"/>
            </w:pPr>
            <w:r/>
            <w:r>
              <w:rPr>
                <w:b/>
                <w:color w:val="C00000"/>
                <w:sz w:val="19"/>
              </w:rPr>
              <w:t>High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Multiple duplicated sentences survive from accepted track-changes: Abstract ('To fill that gap…' then 'To address that gap…'), Section 1 (CECI sentence repeated; 'Third' appears twice with no 'Second'-to-'Third' flow), Section 2.5 (DAEA sentence repeated). Reads as an unmerged draft.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 a clean editorial pass to remove all duplicated/contradictory sentence pairs.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Writing / Grammar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Garbled/incomplete sentences and typos: '…and is for isotonic regression models' (3.1 and 3.6 — broken sentence), 'eexperiments,and' (3.7), 'diwarnsent mechanisms' (¶131), 'boostrap' (¶111).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Professional copy-edit / proofread; these are below Q2 presentation standard.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Logical Mismatch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Section 2.5 says the three converging limitations are inability to account for 'context,' 'human uncertainty,' and 'the contribution of human expertise' — but the three actual contributions are domain-adaptivity, confidence calibration, and CECI. 'Human uncertainty/expertise' do not map to the stated contributions.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Rewrite the gap statement so the three gaps map one-to-one to the three contributions (context-adaptivity, calibration, consistency metric).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Positioning / Over-claim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Table 1 marks 'This study: Cross-Domain = Yes; Consistency Metric = Yes,' but cross-domain evidence is just two datasets run separately, and CECI is within-domain. The comparison table omits closely related XAI-calibration and explanation-stability works, making the 'first/only' framing fragile.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Add recent competing works (XAI + calibration, explanation-stability metrics) to Table 1 and soften 'first to' claims unless defensible.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Generalizability / Limitations</w:t>
            </w:r>
          </w:p>
        </w:tc>
        <w:tc>
          <w:tcPr>
            <w:tcW w:type="dxa" w:w="1152"/>
            <w:shd w:val="clear" w:color="auto" w:fill="FFF2CC"/>
          </w:tcPr>
          <w:p>
            <w:pPr>
              <w:spacing w:after="40" w:before="40"/>
            </w:pPr>
            <w:r/>
            <w:r>
              <w:rPr>
                <w:b/>
                <w:color w:val="BF8F00"/>
                <w:sz w:val="19"/>
              </w:rPr>
              <w:t>Medium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Core claims (domain-adaptive automatic classification, a generalizable CECI metric) rest on n=2 datasets, 3 classical models, no deep learning, no time-series. Limitations acknowledges this, but the abstract/conclusion still over-generalize ('domain-agnostic,' 'for the first time').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Align abstract/conclusion claims with the 2-dataset evidence base; present DAEA/CECI as a proof-of-concept pending broader validation.</w:t>
            </w:r>
          </w:p>
        </w:tc>
      </w:tr>
    </w:tbl>
    <w:p>
      <w:pPr>
        <w:pStyle w:val="Heading1"/>
      </w:pPr>
      <w:r>
        <w:t>Recommended Priority Order</w:t>
      </w:r>
    </w:p>
    <w:p>
      <w:pPr>
        <w:pStyle w:val="ListNumber"/>
      </w:pPr>
      <w:r>
        <w:rPr>
          <w:sz w:val="20"/>
        </w:rPr>
        <w:t>Fix #1 (real notebook + code availability) and #2 (one consistent evaluation protocol with SD) — these are potential desk-reject items.</w:t>
      </w:r>
    </w:p>
    <w:p>
      <w:pPr>
        <w:pStyle w:val="ListNumber"/>
      </w:pPr>
      <w:r>
        <w:rPr>
          <w:sz w:val="20"/>
        </w:rPr>
        <w:t>Then #3, #4, #7, #9 (statistical tests, big-data scoping, DAEA specification, CECI naming/novelty).</w:t>
      </w:r>
    </w:p>
    <w:p>
      <w:pPr>
        <w:pStyle w:val="ListNumber"/>
      </w:pPr>
      <w:r>
        <w:rPr>
          <w:sz w:val="20"/>
        </w:rPr>
        <w:t>Then the numeric/consistency fixes (#5, #6, #8, #10) and the editorial cleanup (#13, #14, #15).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