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Initial Findings</w:t>
      </w:r>
    </w:p>
    <w:p>
      <w:r>
        <w:t>Federated Learning for Privacy-Preserving Big Data Analytics: A Noise-Based Privacy Framework (CICIDS2017)</w:t>
      </w:r>
    </w:p>
    <w:p>
      <w:r>
        <w:rPr>
          <w:i/>
          <w:sz w:val="20"/>
        </w:rPr>
        <w:t>Pre-submission due-diligence review against Scopus Q2 expectations. Publication blockers only (Critical and Major). Findings are cross-checked against the manuscript, response sheet, and the analysis notebook.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Issue Type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Issue Details</w:t>
            </w:r>
          </w:p>
        </w:tc>
        <w:tc>
          <w:tcPr>
            <w:tcW w:type="dxa" w:w="4176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Research Integrity — Results reported but not actually run</w:t>
            </w:r>
          </w:p>
        </w:tc>
        <w:tc>
          <w:tcPr>
            <w:tcW w:type="dxa" w:w="100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Two results presented as experimental findings are hard-coded in the notebook, not measured. The noise-level ablation (Table 5, Section V-E) only genuinely ran ONE noise setting (sigma=0.0005); the sigma=0.0001 and sigma=0.001 rows come from a line the code itself labels "# Approximate". The convergence curve (Figure 8, Section V-F) is generated from an array the code labels "# Theoretical convergence data" — the training loops never record per-round accuracy. Table 5 also mislabels the sigma=0 row with the centralized NN's 98.81% instead of standard FL's 93.10%. A reviewer or integrity check could flag this.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Actually run FL at each noise level and log per-round test accuracy; rebuild Table 5 and Figure 8 from real outputs. Remove any hard-coded/approximate numbers.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Methodology — 'Fair comparison' is not actually fair</w:t>
            </w:r>
          </w:p>
        </w:tc>
        <w:tc>
          <w:tcPr>
            <w:tcW w:type="dxa" w:w="100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paper's headline selling point is architectural consistency (Section III-D, V-D). But in code the federated clients are class-balanced by undersampling (equal benign/attack, discarding most benign traffic), while the centralized RF and NN use the full imbalanced data. So the '5.70% distributed training cost' (Table 4) mixes two different effects: distribution/non-IID AND a different data-balancing regime. Same network shape does not equal same data handling.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Use identical data handling on both sides (either balance both or neither), then re-measure the distributed-training cost. State the sampling clearly.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Core Claim — Privacy is asserted but never measured</w:t>
            </w:r>
          </w:p>
        </w:tc>
        <w:tc>
          <w:tcPr>
            <w:tcW w:type="dxa" w:w="100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central contribution is privacy, yet no privacy is quantified. A small Gaussian noise (sigma=0.0005) is added once to the averaged weights, with no privacy budget (epsilon/delta), no gradient clipping/sensitivity bound, and no attack test (e.g., gradient-inversion) showing data cannot be reconstructed. This also differs from the cited DP-SGD method (Abadi 2016), which clips and adds noise per-step during training. The title/abstract/Section III-G claim more than is shown.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Either add real privacy accounting (epsilon/delta with clipping) or an empirical attack-resistance test, or soften all 'privacy-preserving' claims to 'noise-perturbed'. Reconcile with the DP-SGD method cited.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Statistical Validity — Headline privacy cost is within noise</w:t>
            </w:r>
          </w:p>
        </w:tc>
        <w:tc>
          <w:tcPr>
            <w:tcW w:type="dxa" w:w="1008"/>
          </w:tcPr>
          <w:p>
            <w:r>
              <w:rPr>
                <w:b/>
                <w:color w:val="B86A00"/>
              </w:rPr>
              <w:t>Major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'0.41% privacy cost' is a single-run difference. Tellingly, the private model's ROC-AUC (0.9652) is HIGHER than the non-private one (0.9565), which should not happen if the noise genuinely hurts — a sign the gap is within run-to-run variance. No repeats, no error bars anywhere.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Repeat each configuration with multiple seeds; report mean and standard deviation / confidence intervals. Only then interpret a 0.41% gap.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Reproducibility / Leakage — Random Forest benchmark likely inflated</w:t>
            </w:r>
          </w:p>
        </w:tc>
        <w:tc>
          <w:tcPr>
            <w:tcW w:type="dxa" w:w="1008"/>
          </w:tcPr>
          <w:p>
            <w:r>
              <w:rPr>
                <w:b/>
                <w:color w:val="B86A00"/>
              </w:rPr>
              <w:t>Major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99.89% Random Forest upper bound (Section V-B.1, Table 3) is computed on data where duplicates were NOT removed (the RF code path skips de-duplication that the federated path applies). CICIDS2017 is known to contain many duplicate flows, which can place near-identical rows in both train and test and inflate accuracy. The '2.83 million records' figure matches the non-deduplicated data, contradicting Section III-C which states duplicates were removed.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De-duplicate before the split for every model; recompute RF; make the record count and cleaning steps consistent between text and code.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Experimental Rigor — Single split, no cross-validation</w:t>
            </w:r>
          </w:p>
        </w:tc>
        <w:tc>
          <w:tcPr>
            <w:tcW w:type="dxa" w:w="1008"/>
          </w:tcPr>
          <w:p>
            <w:r>
              <w:rPr>
                <w:b/>
                <w:color w:val="B86A00"/>
              </w:rPr>
              <w:t>Major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Every reported number is a single 80/20 split, single run. No cross-validation, no repeated runs, and no confidence intervals for any model or metric. This is below Q2 expectations for empirical claims.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Add k-fold cross-validation or multiple seeded runs and report dispersion for all headline metrics.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Transparency — Clients silently dropped; seeds/noise unjustified</w:t>
            </w:r>
          </w:p>
        </w:tc>
        <w:tc>
          <w:tcPr>
            <w:tcW w:type="dxa" w:w="1008"/>
          </w:tcPr>
          <w:p>
            <w:r>
              <w:rPr>
                <w:b/>
                <w:color w:val="B86A00"/>
              </w:rPr>
              <w:t>Major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data is split by file into '8 clients' (Table 2), but the code skips any client with only one class (e.g., the all-benign Monday file), so fewer than 8 clients actually contribute — this is never stated. Random Forest and the neural networks set no random seed (limited reproducibility), and the noise scale sigma=0.0005 is chosen without justification.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Report the true number of contributing clients and the skip rule; fix random seeds; justify the chosen noise scale (link it to the ablation).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Positioning — Literature comparison does not support the method</w:t>
            </w:r>
          </w:p>
        </w:tc>
        <w:tc>
          <w:tcPr>
            <w:tcW w:type="dxa" w:w="1008"/>
          </w:tcPr>
          <w:p>
            <w:r>
              <w:rPr>
                <w:b/>
                <w:color w:val="B86A00"/>
              </w:rPr>
              <w:t>Major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 the state-of-the-art table (Table 6, Section V-G) the proposed method's 92.70% is the lowest, and every other entry uses a different dataset, so the table cannot show competitiveness. Presented as-is it weakens rather than supports the contribution.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Reframe the table explicitly as context (not a competitive ranking), or add a same-dataset baseline so a like-for-like comparison is possible.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