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sz w:val="36"/>
        </w:rPr>
        <w:t>Initial Findings</w:t>
      </w:r>
    </w:p>
    <w:p>
      <w:r>
        <w:t>Domain-Adaptive Explainable AI Framework for Big Data–Driven Decision Support Systems (DAEA / XAI-DSS)</w:t>
      </w:r>
    </w:p>
    <w:p>
      <w:r>
        <w:rPr>
          <w:color w:val="666666"/>
          <w:sz w:val="18"/>
        </w:rPr>
        <w:t>Scope: Manuscript + response document (no supporting code was provided for this paper).  Severity included: High and Medium only.  Date: 2026-06-06</w:t>
      </w:r>
    </w:p>
    <w:p>
      <w:r>
        <w:rPr>
          <w:b/>
          <w:color w:val="B00000"/>
        </w:rPr>
        <w:t xml:space="preserve">In plain terms: </w:t>
      </w:r>
      <w:r>
        <w:t>This paper reports many computed results — explanation charts, calibration scores, the new CECI score, and accuracy tables. Results like these can only be produced by running computer code. That code was not provided; the only program file included belongs to a different project. Because of this, no one can check whether the numbers are correct or repeat the work. This is a fundamental problem: until it is fixed, the paper's results cannot be verified and the paper is unlikely to pass review. The remaining points must also be addressed for a Q2 journal.</w:t>
      </w:r>
    </w:p>
    <w:p>
      <w:pPr>
        <w:pStyle w:val="Heading1"/>
      </w:pPr>
      <w:r>
        <w:t>Audit Findings (High &amp; Medium Severity)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1F3864"/>
          </w:tcPr>
          <w:p>
            <w:pPr>
              <w:spacing w:after="40" w:before="40"/>
            </w:pPr>
            <w:r/>
            <w:r>
              <w:rPr>
                <w:b/>
                <w:color w:val="FFFFFF"/>
                <w:sz w:val="20"/>
              </w:rPr>
              <w:t>#</w:t>
            </w:r>
          </w:p>
        </w:tc>
        <w:tc>
          <w:tcPr>
            <w:tcW w:type="dxa" w:w="2304"/>
            <w:shd w:val="clear" w:color="auto" w:fill="1F3864"/>
          </w:tcPr>
          <w:p>
            <w:pPr>
              <w:spacing w:after="40" w:before="40"/>
            </w:pPr>
            <w:r/>
            <w:r>
              <w:rPr>
                <w:b/>
                <w:color w:val="FFFFFF"/>
                <w:sz w:val="20"/>
              </w:rPr>
              <w:t>Issue Type</w:t>
            </w:r>
          </w:p>
        </w:tc>
        <w:tc>
          <w:tcPr>
            <w:tcW w:type="dxa" w:w="1152"/>
            <w:shd w:val="clear" w:color="auto" w:fill="1F3864"/>
          </w:tcPr>
          <w:p>
            <w:pPr>
              <w:spacing w:after="40" w:before="40"/>
            </w:pPr>
            <w:r/>
            <w:r>
              <w:rPr>
                <w:b/>
                <w:color w:val="FFFFFF"/>
                <w:sz w:val="20"/>
              </w:rPr>
              <w:t>Impact</w:t>
            </w:r>
          </w:p>
        </w:tc>
        <w:tc>
          <w:tcPr>
            <w:tcW w:type="dxa" w:w="5040"/>
            <w:shd w:val="clear" w:color="auto" w:fill="1F3864"/>
          </w:tcPr>
          <w:p>
            <w:pPr>
              <w:spacing w:after="40" w:before="40"/>
            </w:pPr>
            <w:r/>
            <w:r>
              <w:rPr>
                <w:b/>
                <w:color w:val="FFFFFF"/>
                <w:sz w:val="20"/>
              </w:rPr>
              <w:t>Issue Details</w:t>
            </w:r>
          </w:p>
        </w:tc>
        <w:tc>
          <w:tcPr>
            <w:tcW w:type="dxa" w:w="4320"/>
            <w:shd w:val="clear" w:color="auto" w:fill="1F3864"/>
          </w:tcPr>
          <w:p>
            <w:pPr>
              <w:spacing w:after="40" w:before="40"/>
            </w:pPr>
            <w:r/>
            <w:r>
              <w:rPr>
                <w:b/>
                <w:color w:val="FFFFFF"/>
                <w:sz w:val="20"/>
              </w:rPr>
              <w:t>Recommendation</w:t>
            </w:r>
          </w:p>
        </w:tc>
      </w:tr>
      <w:tr>
        <w:tc>
          <w:tcPr>
            <w:tcW w:type="dxa" w:w="576"/>
          </w:tcPr>
          <w:p>
            <w:pPr>
              <w:spacing w:after="40" w:before="40"/>
            </w:pPr>
            <w:r/>
            <w:r>
              <w:rPr>
                <w:b/>
                <w:sz w:val="19"/>
              </w:rPr>
              <w:t>1</w:t>
            </w:r>
          </w:p>
        </w:tc>
        <w:tc>
          <w:tcPr>
            <w:tcW w:type="dxa" w:w="2304"/>
          </w:tcPr>
          <w:p>
            <w:pPr>
              <w:spacing w:after="40" w:before="40"/>
            </w:pPr>
            <w:r/>
            <w:r>
              <w:rPr>
                <w:b/>
                <w:sz w:val="19"/>
              </w:rPr>
              <w:t>No code to back up the results</w:t>
            </w:r>
          </w:p>
        </w:tc>
        <w:tc>
          <w:tcPr>
            <w:tcW w:type="dxa" w:w="1152"/>
            <w:shd w:val="clear" w:color="auto" w:fill="FCE4E4"/>
          </w:tcPr>
          <w:p>
            <w:pPr>
              <w:spacing w:after="40" w:before="40"/>
            </w:pPr>
            <w:r/>
            <w:r>
              <w:rPr>
                <w:b/>
                <w:color w:val="C00000"/>
                <w:sz w:val="19"/>
              </w:rPr>
              <w:t>High</w:t>
            </w:r>
          </w:p>
        </w:tc>
        <w:tc>
          <w:tcPr>
            <w:tcW w:type="dxa" w:w="5040"/>
          </w:tcPr>
          <w:p>
            <w:pPr>
              <w:spacing w:after="40" w:before="40"/>
            </w:pPr>
            <w:r/>
            <w:r>
              <w:rPr>
                <w:b w:val="0"/>
                <w:sz w:val="19"/>
              </w:rPr>
              <w:t>The paper reports detailed computed results (SHAP and LIME explanation charts, calibration error numbers, the new CECI score, and accuracy/F1 tables). All of these can only be produced by running a program. No such program was provided. The only code file included is from a completely different project (federated learning on network-security data). So none of the paper's numbers can be checked or repeated.</w:t>
            </w:r>
          </w:p>
        </w:tc>
        <w:tc>
          <w:tcPr>
            <w:tcW w:type="dxa" w:w="4320"/>
          </w:tcPr>
          <w:p>
            <w:pPr>
              <w:spacing w:after="40" w:before="40"/>
            </w:pPr>
            <w:r/>
            <w:r>
              <w:rPr>
                <w:b w:val="0"/>
                <w:sz w:val="19"/>
              </w:rPr>
              <w:t>Provide the exact notebook/code that produced every result, and share it through a public link (for example, GitHub or Zenodo). State the data files and software versions used.</w:t>
            </w:r>
          </w:p>
        </w:tc>
      </w:tr>
      <w:tr>
        <w:tc>
          <w:tcPr>
            <w:tcW w:type="dxa" w:w="576"/>
          </w:tcPr>
          <w:p>
            <w:pPr>
              <w:spacing w:after="40" w:before="40"/>
            </w:pPr>
            <w:r/>
            <w:r>
              <w:rPr>
                <w:b/>
                <w:sz w:val="19"/>
              </w:rPr>
              <w:t>2</w:t>
            </w:r>
          </w:p>
        </w:tc>
        <w:tc>
          <w:tcPr>
            <w:tcW w:type="dxa" w:w="2304"/>
          </w:tcPr>
          <w:p>
            <w:pPr>
              <w:spacing w:after="40" w:before="40"/>
            </w:pPr>
            <w:r/>
            <w:r>
              <w:rPr>
                <w:b/>
                <w:sz w:val="19"/>
              </w:rPr>
              <w:t>The testing method is described in conflicting ways</w:t>
            </w:r>
          </w:p>
        </w:tc>
        <w:tc>
          <w:tcPr>
            <w:tcW w:type="dxa" w:w="1152"/>
            <w:shd w:val="clear" w:color="auto" w:fill="FCE4E4"/>
          </w:tcPr>
          <w:p>
            <w:pPr>
              <w:spacing w:after="40" w:before="40"/>
            </w:pPr>
            <w:r/>
            <w:r>
              <w:rPr>
                <w:b/>
                <w:color w:val="C00000"/>
                <w:sz w:val="19"/>
              </w:rPr>
              <w:t>High</w:t>
            </w:r>
          </w:p>
        </w:tc>
        <w:tc>
          <w:tcPr>
            <w:tcW w:type="dxa" w:w="5040"/>
          </w:tcPr>
          <w:p>
            <w:pPr>
              <w:spacing w:after="40" w:before="40"/>
            </w:pPr>
            <w:r/>
            <w:r>
              <w:rPr>
                <w:b w:val="0"/>
                <w:sz w:val="19"/>
              </w:rPr>
              <w:t>One section says results come from 5-fold cross-validation (running the test five times and averaging), but no spread or variation is ever reported. Another section says a single 70/30 split was used, and the confusion-matrix figures clearly come from that single split. A reader cannot tell how the numbers were actually obtained.</w:t>
            </w:r>
          </w:p>
        </w:tc>
        <w:tc>
          <w:tcPr>
            <w:tcW w:type="dxa" w:w="4320"/>
          </w:tcPr>
          <w:p>
            <w:pPr>
              <w:spacing w:after="40" w:before="40"/>
            </w:pPr>
            <w:r/>
            <w:r>
              <w:rPr>
                <w:b w:val="0"/>
                <w:sz w:val="19"/>
              </w:rPr>
              <w:t>Use one testing method, describe it once, and report the average together with its variation. Make the confusion matrices match that method.</w:t>
            </w:r>
          </w:p>
        </w:tc>
      </w:tr>
      <w:tr>
        <w:tc>
          <w:tcPr>
            <w:tcW w:type="dxa" w:w="576"/>
          </w:tcPr>
          <w:p>
            <w:pPr>
              <w:spacing w:after="40" w:before="40"/>
            </w:pPr>
            <w:r/>
            <w:r>
              <w:rPr>
                <w:b/>
                <w:sz w:val="19"/>
              </w:rPr>
              <w:t>3</w:t>
            </w:r>
          </w:p>
        </w:tc>
        <w:tc>
          <w:tcPr>
            <w:tcW w:type="dxa" w:w="2304"/>
          </w:tcPr>
          <w:p>
            <w:pPr>
              <w:spacing w:after="40" w:before="40"/>
            </w:pPr>
            <w:r/>
            <w:r>
              <w:rPr>
                <w:b/>
                <w:sz w:val="19"/>
              </w:rPr>
              <w:t>Described as 'Big Data' but the data is small</w:t>
            </w:r>
          </w:p>
        </w:tc>
        <w:tc>
          <w:tcPr>
            <w:tcW w:type="dxa" w:w="1152"/>
            <w:shd w:val="clear" w:color="auto" w:fill="FCE4E4"/>
          </w:tcPr>
          <w:p>
            <w:pPr>
              <w:spacing w:after="40" w:before="40"/>
            </w:pPr>
            <w:r/>
            <w:r>
              <w:rPr>
                <w:b/>
                <w:color w:val="C00000"/>
                <w:sz w:val="19"/>
              </w:rPr>
              <w:t>High</w:t>
            </w:r>
          </w:p>
        </w:tc>
        <w:tc>
          <w:tcPr>
            <w:tcW w:type="dxa" w:w="5040"/>
          </w:tcPr>
          <w:p>
            <w:pPr>
              <w:spacing w:after="40" w:before="40"/>
            </w:pPr>
            <w:r/>
            <w:r>
              <w:rPr>
                <w:b w:val="0"/>
                <w:sz w:val="19"/>
              </w:rPr>
              <w:t>The title and introduction stress 'Big Data' and mention tools like Hadoop and Spark, but the heart dataset has only 303 records and no big-data tools are actually used anywhere in the work.</w:t>
            </w:r>
          </w:p>
        </w:tc>
        <w:tc>
          <w:tcPr>
            <w:tcW w:type="dxa" w:w="4320"/>
          </w:tcPr>
          <w:p>
            <w:pPr>
              <w:spacing w:after="40" w:before="40"/>
            </w:pPr>
            <w:r/>
            <w:r>
              <w:rPr>
                <w:b w:val="0"/>
                <w:sz w:val="19"/>
              </w:rPr>
              <w:t>Either match the wording to the actual (modest) data, or genuinely add large-scale experiments that use those tools.</w:t>
            </w:r>
          </w:p>
        </w:tc>
      </w:tr>
      <w:tr>
        <w:tc>
          <w:tcPr>
            <w:tcW w:type="dxa" w:w="576"/>
          </w:tcPr>
          <w:p>
            <w:pPr>
              <w:spacing w:after="40" w:before="40"/>
            </w:pPr>
            <w:r/>
            <w:r>
              <w:rPr>
                <w:b/>
                <w:sz w:val="19"/>
              </w:rPr>
              <w:t>4</w:t>
            </w:r>
          </w:p>
        </w:tc>
        <w:tc>
          <w:tcPr>
            <w:tcW w:type="dxa" w:w="2304"/>
          </w:tcPr>
          <w:p>
            <w:pPr>
              <w:spacing w:after="40" w:before="40"/>
            </w:pPr>
            <w:r/>
            <w:r>
              <w:rPr>
                <w:b/>
                <w:sz w:val="19"/>
              </w:rPr>
              <w:t>The main new idea (DAEA) is not fully explained</w:t>
            </w:r>
          </w:p>
        </w:tc>
        <w:tc>
          <w:tcPr>
            <w:tcW w:type="dxa" w:w="1152"/>
            <w:shd w:val="clear" w:color="auto" w:fill="FCE4E4"/>
          </w:tcPr>
          <w:p>
            <w:pPr>
              <w:spacing w:after="40" w:before="40"/>
            </w:pPr>
            <w:r/>
            <w:r>
              <w:rPr>
                <w:b/>
                <w:color w:val="C00000"/>
                <w:sz w:val="19"/>
              </w:rPr>
              <w:t>High</w:t>
            </w:r>
          </w:p>
        </w:tc>
        <w:tc>
          <w:tcPr>
            <w:tcW w:type="dxa" w:w="5040"/>
          </w:tcPr>
          <w:p>
            <w:pPr>
              <w:spacing w:after="40" w:before="40"/>
            </w:pPr>
            <w:r/>
            <w:r>
              <w:rPr>
                <w:b w:val="0"/>
                <w:sz w:val="19"/>
              </w:rPr>
              <w:t>The paper says the system 'automatically' decides what type of data it is looking at, but it never gives the exact formula, the weights, or the cut-off values used to make that decision. It is also only shown on two datasets, which is far too few to call it 'automatic' or general.</w:t>
            </w:r>
          </w:p>
        </w:tc>
        <w:tc>
          <w:tcPr>
            <w:tcW w:type="dxa" w:w="4320"/>
          </w:tcPr>
          <w:p>
            <w:pPr>
              <w:spacing w:after="40" w:before="40"/>
            </w:pPr>
            <w:r/>
            <w:r>
              <w:rPr>
                <w:b w:val="0"/>
                <w:sz w:val="19"/>
              </w:rPr>
              <w:t>Give the full formula, weights, and thresholds. Test it on many more datasets before describing it as automatic or general; otherwise present it as a simple rule.</w:t>
            </w:r>
          </w:p>
        </w:tc>
      </w:tr>
      <w:tr>
        <w:tc>
          <w:tcPr>
            <w:tcW w:type="dxa" w:w="576"/>
          </w:tcPr>
          <w:p>
            <w:pPr>
              <w:spacing w:after="40" w:before="40"/>
            </w:pPr>
            <w:r/>
            <w:r>
              <w:rPr>
                <w:b/>
                <w:sz w:val="19"/>
              </w:rPr>
              <w:t>5</w:t>
            </w:r>
          </w:p>
        </w:tc>
        <w:tc>
          <w:tcPr>
            <w:tcW w:type="dxa" w:w="2304"/>
          </w:tcPr>
          <w:p>
            <w:pPr>
              <w:spacing w:after="40" w:before="40"/>
            </w:pPr>
            <w:r/>
            <w:r>
              <w:rPr>
                <w:b/>
                <w:sz w:val="19"/>
              </w:rPr>
              <w:t>The new metric (CECI) has a misleading name</w:t>
            </w:r>
          </w:p>
        </w:tc>
        <w:tc>
          <w:tcPr>
            <w:tcW w:type="dxa" w:w="1152"/>
            <w:shd w:val="clear" w:color="auto" w:fill="FCE4E4"/>
          </w:tcPr>
          <w:p>
            <w:pPr>
              <w:spacing w:after="40" w:before="40"/>
            </w:pPr>
            <w:r/>
            <w:r>
              <w:rPr>
                <w:b/>
                <w:color w:val="C00000"/>
                <w:sz w:val="19"/>
              </w:rPr>
              <w:t>High</w:t>
            </w:r>
          </w:p>
        </w:tc>
        <w:tc>
          <w:tcPr>
            <w:tcW w:type="dxa" w:w="5040"/>
          </w:tcPr>
          <w:p>
            <w:pPr>
              <w:spacing w:after="40" w:before="40"/>
            </w:pPr>
            <w:r/>
            <w:r>
              <w:rPr>
                <w:b w:val="0"/>
                <w:sz w:val="19"/>
              </w:rPr>
              <w:t>It is called a 'Cross-Domain' index, but it actually measures how much two explanation methods agree within a single dataset. It only involves two domains when those single-dataset scores are compared afterwards. The name overstates what it does.</w:t>
            </w:r>
          </w:p>
        </w:tc>
        <w:tc>
          <w:tcPr>
            <w:tcW w:type="dxa" w:w="4320"/>
          </w:tcPr>
          <w:p>
            <w:pPr>
              <w:spacing w:after="40" w:before="40"/>
            </w:pPr>
            <w:r/>
            <w:r>
              <w:rPr>
                <w:b w:val="0"/>
                <w:sz w:val="19"/>
              </w:rPr>
              <w:t>Rename it to describe what it really measures (agreement between two explanation methods), and explain how it differs from existing similar measures.</w:t>
            </w:r>
          </w:p>
        </w:tc>
      </w:tr>
      <w:tr>
        <w:tc>
          <w:tcPr>
            <w:tcW w:type="dxa" w:w="576"/>
          </w:tcPr>
          <w:p>
            <w:pPr>
              <w:spacing w:after="40" w:before="40"/>
            </w:pPr>
            <w:r/>
            <w:r>
              <w:rPr>
                <w:b/>
                <w:sz w:val="19"/>
              </w:rPr>
              <w:t>6</w:t>
            </w:r>
          </w:p>
        </w:tc>
        <w:tc>
          <w:tcPr>
            <w:tcW w:type="dxa" w:w="2304"/>
          </w:tcPr>
          <w:p>
            <w:pPr>
              <w:spacing w:after="40" w:before="40"/>
            </w:pPr>
            <w:r/>
            <w:r>
              <w:rPr>
                <w:b/>
                <w:sz w:val="19"/>
              </w:rPr>
              <w:t>Reads like an unfinished draft (duplicate sentences)</w:t>
            </w:r>
          </w:p>
        </w:tc>
        <w:tc>
          <w:tcPr>
            <w:tcW w:type="dxa" w:w="1152"/>
            <w:shd w:val="clear" w:color="auto" w:fill="FCE4E4"/>
          </w:tcPr>
          <w:p>
            <w:pPr>
              <w:spacing w:after="40" w:before="40"/>
            </w:pPr>
            <w:r/>
            <w:r>
              <w:rPr>
                <w:b/>
                <w:color w:val="C00000"/>
                <w:sz w:val="19"/>
              </w:rPr>
              <w:t>High</w:t>
            </w:r>
          </w:p>
        </w:tc>
        <w:tc>
          <w:tcPr>
            <w:tcW w:type="dxa" w:w="5040"/>
          </w:tcPr>
          <w:p>
            <w:pPr>
              <w:spacing w:after="40" w:before="40"/>
            </w:pPr>
            <w:r/>
            <w:r>
              <w:rPr>
                <w:b w:val="0"/>
                <w:sz w:val="19"/>
              </w:rPr>
              <w:t>Several sentences appear twice with slightly different wording — in the abstract, the introduction, and the research-gap section. The list of contributions also jumps from 'First' to 'Third' with no 'Second'. This looks like edits that were never cleaned up.</w:t>
            </w:r>
          </w:p>
        </w:tc>
        <w:tc>
          <w:tcPr>
            <w:tcW w:type="dxa" w:w="4320"/>
          </w:tcPr>
          <w:p>
            <w:pPr>
              <w:spacing w:after="40" w:before="40"/>
            </w:pPr>
            <w:r/>
            <w:r>
              <w:rPr>
                <w:b w:val="0"/>
                <w:sz w:val="19"/>
              </w:rPr>
              <w:t>Do a clean editing pass to remove every repeated or contradictory sentence and fix the numbering.</w:t>
            </w:r>
          </w:p>
        </w:tc>
      </w:tr>
      <w:tr>
        <w:tc>
          <w:tcPr>
            <w:tcW w:type="dxa" w:w="576"/>
          </w:tcPr>
          <w:p>
            <w:pPr>
              <w:spacing w:after="40" w:before="40"/>
            </w:pPr>
            <w:r/>
            <w:r>
              <w:rPr>
                <w:b/>
                <w:sz w:val="19"/>
              </w:rPr>
              <w:t>7</w:t>
            </w:r>
          </w:p>
        </w:tc>
        <w:tc>
          <w:tcPr>
            <w:tcW w:type="dxa" w:w="2304"/>
          </w:tcPr>
          <w:p>
            <w:pPr>
              <w:spacing w:after="40" w:before="40"/>
            </w:pPr>
            <w:r/>
            <w:r>
              <w:rPr>
                <w:b/>
                <w:sz w:val="19"/>
              </w:rPr>
              <w:t>A basic number is wrong</w:t>
            </w:r>
          </w:p>
        </w:tc>
        <w:tc>
          <w:tcPr>
            <w:tcW w:type="dxa" w:w="1152"/>
            <w:shd w:val="clear" w:color="auto" w:fill="FFF2CC"/>
          </w:tcPr>
          <w:p>
            <w:pPr>
              <w:spacing w:after="40" w:before="40"/>
            </w:pPr>
            <w:r/>
            <w:r>
              <w:rPr>
                <w:b/>
                <w:color w:val="BF8F00"/>
                <w:sz w:val="19"/>
              </w:rPr>
              <w:t>Medium</w:t>
            </w:r>
          </w:p>
        </w:tc>
        <w:tc>
          <w:tcPr>
            <w:tcW w:type="dxa" w:w="5040"/>
          </w:tcPr>
          <w:p>
            <w:pPr>
              <w:spacing w:after="40" w:before="40"/>
            </w:pPr>
            <w:r/>
            <w:r>
              <w:rPr>
                <w:b w:val="0"/>
                <w:sz w:val="19"/>
              </w:rPr>
              <w:t>The introduction says the fraud dataset has 13 features. It actually has 30, as stated everywhere else in the paper. The '13' appears to have been copied from the heart dataset.</w:t>
            </w:r>
          </w:p>
        </w:tc>
        <w:tc>
          <w:tcPr>
            <w:tcW w:type="dxa" w:w="4320"/>
          </w:tcPr>
          <w:p>
            <w:pPr>
              <w:spacing w:after="40" w:before="40"/>
            </w:pPr>
            <w:r/>
            <w:r>
              <w:rPr>
                <w:b w:val="0"/>
                <w:sz w:val="19"/>
              </w:rPr>
              <w:t>Correct it to 30, and check every number in the abstract and introduction against the tables.</w:t>
            </w:r>
          </w:p>
        </w:tc>
      </w:tr>
      <w:tr>
        <w:tc>
          <w:tcPr>
            <w:tcW w:type="dxa" w:w="576"/>
          </w:tcPr>
          <w:p>
            <w:pPr>
              <w:spacing w:after="40" w:before="40"/>
            </w:pPr>
            <w:r/>
            <w:r>
              <w:rPr>
                <w:b/>
                <w:sz w:val="19"/>
              </w:rPr>
              <w:t>8</w:t>
            </w:r>
          </w:p>
        </w:tc>
        <w:tc>
          <w:tcPr>
            <w:tcW w:type="dxa" w:w="2304"/>
          </w:tcPr>
          <w:p>
            <w:pPr>
              <w:spacing w:after="40" w:before="40"/>
            </w:pPr>
            <w:r/>
            <w:r>
              <w:rPr>
                <w:b/>
                <w:sz w:val="19"/>
              </w:rPr>
              <w:t>An improvement percentage is calculated incorrectly</w:t>
            </w:r>
          </w:p>
        </w:tc>
        <w:tc>
          <w:tcPr>
            <w:tcW w:type="dxa" w:w="1152"/>
            <w:shd w:val="clear" w:color="auto" w:fill="FFF2CC"/>
          </w:tcPr>
          <w:p>
            <w:pPr>
              <w:spacing w:after="40" w:before="40"/>
            </w:pPr>
            <w:r/>
            <w:r>
              <w:rPr>
                <w:b/>
                <w:color w:val="BF8F00"/>
                <w:sz w:val="19"/>
              </w:rPr>
              <w:t>Medium</w:t>
            </w:r>
          </w:p>
        </w:tc>
        <w:tc>
          <w:tcPr>
            <w:tcW w:type="dxa" w:w="5040"/>
          </w:tcPr>
          <w:p>
            <w:pPr>
              <w:spacing w:after="40" w:before="40"/>
            </w:pPr>
            <w:r/>
            <w:r>
              <w:rPr>
                <w:b w:val="0"/>
                <w:sz w:val="19"/>
              </w:rPr>
              <w:t>The conclusion says calibration reduced error by '43.4%-65.3%'. The smallest real reduction is about 56.6%. The figure '43.4%' is actually the error that was left over, not the improvement.</w:t>
            </w:r>
          </w:p>
        </w:tc>
        <w:tc>
          <w:tcPr>
            <w:tcW w:type="dxa" w:w="4320"/>
          </w:tcPr>
          <w:p>
            <w:pPr>
              <w:spacing w:after="40" w:before="40"/>
            </w:pPr>
            <w:r/>
            <w:r>
              <w:rPr>
                <w:b w:val="0"/>
                <w:sz w:val="19"/>
              </w:rPr>
              <w:t>Recompute the reductions and state the correct range (about 56.6%-65.3%).</w:t>
            </w:r>
          </w:p>
        </w:tc>
      </w:tr>
      <w:tr>
        <w:tc>
          <w:tcPr>
            <w:tcW w:type="dxa" w:w="576"/>
          </w:tcPr>
          <w:p>
            <w:pPr>
              <w:spacing w:after="40" w:before="40"/>
            </w:pPr>
            <w:r/>
            <w:r>
              <w:rPr>
                <w:b/>
                <w:sz w:val="19"/>
              </w:rPr>
              <w:t>9</w:t>
            </w:r>
          </w:p>
        </w:tc>
        <w:tc>
          <w:tcPr>
            <w:tcW w:type="dxa" w:w="2304"/>
          </w:tcPr>
          <w:p>
            <w:pPr>
              <w:spacing w:after="40" w:before="40"/>
            </w:pPr>
            <w:r/>
            <w:r>
              <w:rPr>
                <w:b/>
                <w:sz w:val="19"/>
              </w:rPr>
              <w:t>One listed component is never used</w:t>
            </w:r>
          </w:p>
        </w:tc>
        <w:tc>
          <w:tcPr>
            <w:tcW w:type="dxa" w:w="1152"/>
            <w:shd w:val="clear" w:color="auto" w:fill="FFF2CC"/>
          </w:tcPr>
          <w:p>
            <w:pPr>
              <w:spacing w:after="40" w:before="40"/>
            </w:pPr>
            <w:r/>
            <w:r>
              <w:rPr>
                <w:b/>
                <w:color w:val="BF8F00"/>
                <w:sz w:val="19"/>
              </w:rPr>
              <w:t>Medium</w:t>
            </w:r>
          </w:p>
        </w:tc>
        <w:tc>
          <w:tcPr>
            <w:tcW w:type="dxa" w:w="5040"/>
          </w:tcPr>
          <w:p>
            <w:pPr>
              <w:spacing w:after="40" w:before="40"/>
            </w:pPr>
            <w:r/>
            <w:r>
              <w:rPr>
                <w:b w:val="0"/>
                <w:sz w:val="19"/>
              </w:rPr>
              <w:t>The method lists four measures the system uses (named FSD, DPS, CIR, and FICE). FICE is never reported in any table and never used again.</w:t>
            </w:r>
          </w:p>
        </w:tc>
        <w:tc>
          <w:tcPr>
            <w:tcW w:type="dxa" w:w="4320"/>
          </w:tcPr>
          <w:p>
            <w:pPr>
              <w:spacing w:after="40" w:before="40"/>
            </w:pPr>
            <w:r/>
            <w:r>
              <w:rPr>
                <w:b w:val="0"/>
                <w:sz w:val="19"/>
              </w:rPr>
              <w:t>Either report and use FICE, or remove it from the list.</w:t>
            </w:r>
          </w:p>
        </w:tc>
      </w:tr>
      <w:tr>
        <w:tc>
          <w:tcPr>
            <w:tcW w:type="dxa" w:w="576"/>
          </w:tcPr>
          <w:p>
            <w:pPr>
              <w:spacing w:after="40" w:before="40"/>
            </w:pPr>
            <w:r/>
            <w:r>
              <w:rPr>
                <w:b/>
                <w:sz w:val="19"/>
              </w:rPr>
              <w:t>10</w:t>
            </w:r>
          </w:p>
        </w:tc>
        <w:tc>
          <w:tcPr>
            <w:tcW w:type="dxa" w:w="2304"/>
          </w:tcPr>
          <w:p>
            <w:pPr>
              <w:spacing w:after="40" w:before="40"/>
            </w:pPr>
            <w:r/>
            <w:r>
              <w:rPr>
                <w:b/>
                <w:sz w:val="19"/>
              </w:rPr>
              <w:t>'Significant' is used with no statistical test</w:t>
            </w:r>
          </w:p>
        </w:tc>
        <w:tc>
          <w:tcPr>
            <w:tcW w:type="dxa" w:w="1152"/>
            <w:shd w:val="clear" w:color="auto" w:fill="FFF2CC"/>
          </w:tcPr>
          <w:p>
            <w:pPr>
              <w:spacing w:after="40" w:before="40"/>
            </w:pPr>
            <w:r/>
            <w:r>
              <w:rPr>
                <w:b/>
                <w:color w:val="BF8F00"/>
                <w:sz w:val="19"/>
              </w:rPr>
              <w:t>Medium</w:t>
            </w:r>
          </w:p>
        </w:tc>
        <w:tc>
          <w:tcPr>
            <w:tcW w:type="dxa" w:w="5040"/>
          </w:tcPr>
          <w:p>
            <w:pPr>
              <w:spacing w:after="40" w:before="40"/>
            </w:pPr>
            <w:r/>
            <w:r>
              <w:rPr>
                <w:b w:val="0"/>
                <w:sz w:val="19"/>
              </w:rPr>
              <w:t>The paper repeatedly says results are 'significant' or 'significantly higher', but it never runs a statistical test and never gives a p-value or confidence interval to support those words.</w:t>
            </w:r>
          </w:p>
        </w:tc>
        <w:tc>
          <w:tcPr>
            <w:tcW w:type="dxa" w:w="4320"/>
          </w:tcPr>
          <w:p>
            <w:pPr>
              <w:spacing w:after="40" w:before="40"/>
            </w:pPr>
            <w:r/>
            <w:r>
              <w:rPr>
                <w:b w:val="0"/>
                <w:sz w:val="19"/>
              </w:rPr>
              <w:t>Add proper statistical tests (or confidence intervals), or stop using the word 'significant'.</w:t>
            </w:r>
          </w:p>
        </w:tc>
      </w:tr>
      <w:tr>
        <w:tc>
          <w:tcPr>
            <w:tcW w:type="dxa" w:w="576"/>
          </w:tcPr>
          <w:p>
            <w:pPr>
              <w:spacing w:after="40" w:before="40"/>
            </w:pPr>
            <w:r/>
            <w:r>
              <w:rPr>
                <w:b/>
                <w:sz w:val="19"/>
              </w:rPr>
              <w:t>11</w:t>
            </w:r>
          </w:p>
        </w:tc>
        <w:tc>
          <w:tcPr>
            <w:tcW w:type="dxa" w:w="2304"/>
          </w:tcPr>
          <w:p>
            <w:pPr>
              <w:spacing w:after="40" w:before="40"/>
            </w:pPr>
            <w:r/>
            <w:r>
              <w:rPr>
                <w:b/>
                <w:sz w:val="19"/>
              </w:rPr>
              <w:t>Reference problems</w:t>
            </w:r>
          </w:p>
        </w:tc>
        <w:tc>
          <w:tcPr>
            <w:tcW w:type="dxa" w:w="1152"/>
            <w:shd w:val="clear" w:color="auto" w:fill="FFF2CC"/>
          </w:tcPr>
          <w:p>
            <w:pPr>
              <w:spacing w:after="40" w:before="40"/>
            </w:pPr>
            <w:r/>
            <w:r>
              <w:rPr>
                <w:b/>
                <w:color w:val="BF8F00"/>
                <w:sz w:val="19"/>
              </w:rPr>
              <w:t>Medium</w:t>
            </w:r>
          </w:p>
        </w:tc>
        <w:tc>
          <w:tcPr>
            <w:tcW w:type="dxa" w:w="5040"/>
          </w:tcPr>
          <w:p>
            <w:pPr>
              <w:spacing w:after="40" w:before="40"/>
            </w:pPr>
            <w:r/>
            <w:r>
              <w:rPr>
                <w:b w:val="0"/>
                <w:sz w:val="19"/>
              </w:rPr>
              <w:t>One citation has the wrong year (a source is cited as 2019 in the text but listed as 2018). A few sources in the reference list are never actually cited in the text.</w:t>
            </w:r>
          </w:p>
        </w:tc>
        <w:tc>
          <w:tcPr>
            <w:tcW w:type="dxa" w:w="4320"/>
          </w:tcPr>
          <w:p>
            <w:pPr>
              <w:spacing w:after="40" w:before="40"/>
            </w:pPr>
            <w:r/>
            <w:r>
              <w:rPr>
                <w:b w:val="0"/>
                <w:sz w:val="19"/>
              </w:rPr>
              <w:t>Fix the year, and make sure every reference is cited and every citation appears in the list.</w:t>
            </w:r>
          </w:p>
        </w:tc>
      </w:tr>
      <w:tr>
        <w:tc>
          <w:tcPr>
            <w:tcW w:type="dxa" w:w="576"/>
          </w:tcPr>
          <w:p>
            <w:pPr>
              <w:spacing w:after="40" w:before="40"/>
            </w:pPr>
            <w:r/>
            <w:r>
              <w:rPr>
                <w:b/>
                <w:sz w:val="19"/>
              </w:rPr>
              <w:t>12</w:t>
            </w:r>
          </w:p>
        </w:tc>
        <w:tc>
          <w:tcPr>
            <w:tcW w:type="dxa" w:w="2304"/>
          </w:tcPr>
          <w:p>
            <w:pPr>
              <w:spacing w:after="40" w:before="40"/>
            </w:pPr>
            <w:r/>
            <w:r>
              <w:rPr>
                <w:b/>
                <w:sz w:val="19"/>
              </w:rPr>
              <w:t>Typos and broken sentences</w:t>
            </w:r>
          </w:p>
        </w:tc>
        <w:tc>
          <w:tcPr>
            <w:tcW w:type="dxa" w:w="1152"/>
            <w:shd w:val="clear" w:color="auto" w:fill="FFF2CC"/>
          </w:tcPr>
          <w:p>
            <w:pPr>
              <w:spacing w:after="40" w:before="40"/>
            </w:pPr>
            <w:r/>
            <w:r>
              <w:rPr>
                <w:b/>
                <w:color w:val="BF8F00"/>
                <w:sz w:val="19"/>
              </w:rPr>
              <w:t>Medium</w:t>
            </w:r>
          </w:p>
        </w:tc>
        <w:tc>
          <w:tcPr>
            <w:tcW w:type="dxa" w:w="5040"/>
          </w:tcPr>
          <w:p>
            <w:pPr>
              <w:spacing w:after="40" w:before="40"/>
            </w:pPr>
            <w:r/>
            <w:r>
              <w:rPr>
                <w:b w:val="0"/>
                <w:sz w:val="19"/>
              </w:rPr>
              <w:t>Examples include 'eexperiments', 'diwarnsent', 'boostrap', and an incomplete sentence ending '...and is for isotonic regression models'.</w:t>
            </w:r>
          </w:p>
        </w:tc>
        <w:tc>
          <w:tcPr>
            <w:tcW w:type="dxa" w:w="4320"/>
          </w:tcPr>
          <w:p>
            <w:pPr>
              <w:spacing w:after="40" w:before="40"/>
            </w:pPr>
            <w:r/>
            <w:r>
              <w:rPr>
                <w:b w:val="0"/>
                <w:sz w:val="19"/>
              </w:rPr>
              <w:t>Have the paper professionally proofread; this is below the standard expected by a Q2 journal.</w:t>
            </w:r>
          </w:p>
        </w:tc>
      </w:tr>
      <w:tr>
        <w:tc>
          <w:tcPr>
            <w:tcW w:type="dxa" w:w="576"/>
          </w:tcPr>
          <w:p>
            <w:pPr>
              <w:spacing w:after="40" w:before="40"/>
            </w:pPr>
            <w:r/>
            <w:r>
              <w:rPr>
                <w:b/>
                <w:sz w:val="19"/>
              </w:rPr>
              <w:t>13</w:t>
            </w:r>
          </w:p>
        </w:tc>
        <w:tc>
          <w:tcPr>
            <w:tcW w:type="dxa" w:w="2304"/>
          </w:tcPr>
          <w:p>
            <w:pPr>
              <w:spacing w:after="40" w:before="40"/>
            </w:pPr>
            <w:r/>
            <w:r>
              <w:rPr>
                <w:b/>
                <w:sz w:val="19"/>
              </w:rPr>
              <w:t>Claims are bigger than the evidence</w:t>
            </w:r>
          </w:p>
        </w:tc>
        <w:tc>
          <w:tcPr>
            <w:tcW w:type="dxa" w:w="1152"/>
            <w:shd w:val="clear" w:color="auto" w:fill="FFF2CC"/>
          </w:tcPr>
          <w:p>
            <w:pPr>
              <w:spacing w:after="40" w:before="40"/>
            </w:pPr>
            <w:r/>
            <w:r>
              <w:rPr>
                <w:b/>
                <w:color w:val="BF8F00"/>
                <w:sz w:val="19"/>
              </w:rPr>
              <w:t>Medium</w:t>
            </w:r>
          </w:p>
        </w:tc>
        <w:tc>
          <w:tcPr>
            <w:tcW w:type="dxa" w:w="5040"/>
          </w:tcPr>
          <w:p>
            <w:pPr>
              <w:spacing w:after="40" w:before="40"/>
            </w:pPr>
            <w:r/>
            <w:r>
              <w:rPr>
                <w:b w:val="0"/>
                <w:sz w:val="19"/>
              </w:rPr>
              <w:t>The paper uses strong words like 'domain-agnostic' and 'for the first time', but the evidence is only two datasets and three standard models, with no deep learning and no time-series data.</w:t>
            </w:r>
          </w:p>
        </w:tc>
        <w:tc>
          <w:tcPr>
            <w:tcW w:type="dxa" w:w="4320"/>
          </w:tcPr>
          <w:p>
            <w:pPr>
              <w:spacing w:after="40" w:before="40"/>
            </w:pPr>
            <w:r/>
            <w:r>
              <w:rPr>
                <w:b w:val="0"/>
                <w:sz w:val="19"/>
              </w:rPr>
              <w:t>Match the claims to the evidence, and present the new ideas as a promising first step that still needs wider testing.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