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rPr>
          <w:rFonts w:ascii="Aptos Display" w:hAnsi="Aptos Display"/>
          <w:b/>
          <w:color w:val="167A80"/>
          <w:sz w:val="36"/>
        </w:rPr>
        <w:t>ETICE</w:t>
      </w:r>
    </w:p>
    <w:p>
      <w:pPr>
        <w:spacing w:before="900"/>
      </w:pPr>
      <w:r>
        <w:rPr>
          <w:rFonts w:ascii="Aptos Display" w:hAnsi="Aptos Display"/>
          <w:b/>
          <w:color w:val="163A53"/>
          <w:sz w:val="56"/>
        </w:rPr>
        <w:t>PROPOSTA DE EVOLUÇÃO DO</w:t>
        <w:br/>
        <w:t>MODELO ENTIDADE–RELACIONAMENTO DO SAC</w:t>
      </w:r>
    </w:p>
    <w:p>
      <w:pPr>
        <w:spacing w:before="320"/>
      </w:pPr>
      <w:r>
        <w:rPr>
          <w:color w:val="475467"/>
          <w:sz w:val="28"/>
        </w:rPr>
        <w:t>Suporte aos dashboards contratuais, técnicos, gerenciais e comerciais</w:t>
      </w:r>
    </w:p>
    <w:p>
      <w:pPr>
        <w:spacing w:after="2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969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1247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757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928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Banco-alvo</w:t>
            </w:r>
          </w:p>
        </w:tc>
      </w:tr>
      <w:tr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8"/>
              </w:rPr>
              <w:t>Proposta técnica e roteiro de migração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8"/>
              </w:rPr>
              <w:t>1.0</w:t>
            </w:r>
          </w:p>
        </w:tc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8"/>
              </w:rPr>
              <w:t>21/09/2026</w:t>
            </w:r>
          </w:p>
        </w:tc>
        <w:tc>
          <w:tcPr>
            <w:tcW w:type="dxa" w:w="19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8"/>
              </w:rPr>
              <w:t>PostgreSQL 14+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b/>
          <w:color w:val="163A53"/>
        </w:rPr>
        <w:t>Escopo deliberadamente excluído</w:t>
      </w:r>
      <w:r>
        <w:t>: KPIs, SLA, glosas e avaliação de performance/qualidade da execução, mantidos no Projeto de KPIs e consultados por integração.</w:t>
      </w:r>
    </w:p>
    <w:p>
      <w:r>
        <w:br w:type="page"/>
      </w:r>
    </w:p>
    <w:p>
      <w:pPr>
        <w:pStyle w:val="Heading1"/>
        <w:keepNext/>
      </w:pPr>
      <w:r>
        <w:t>1. Síntese executiva</w:t>
      </w:r>
    </w:p>
    <w:p>
      <w:pPr>
        <w:pStyle w:val="BodyText"/>
      </w:pPr>
      <w:r>
        <w:t>O modelo atual atende ao núcleo operacional de contratos, itens, ordens de serviço, documentos e ciclos de faturamento, mas não possui estrutura suficiente para responder, de forma histórica e auditável, às perguntas de responsabilização, saldo contratual, aging financeiro, riscos, ações preventivas, renovação e gestão de contas apresentadas nos dashboards.</w:t>
      </w:r>
    </w:p>
    <w:p>
      <w:pPr>
        <w:pStyle w:val="BodyText"/>
      </w:pPr>
      <w:r>
        <w:t>A recomendação é preservar o núcleo existente e adicionar um schema complementar, sac_gestao, com entidades normalizadas, identificadores estáveis de integração, snapshots analíticos e views orientadas aos endpoints. Essa abordagem reduz o impacto sobre o legado e permite evolução incremental.</w:t>
      </w:r>
    </w:p>
    <w:p>
      <w:pPr>
        <w:pStyle w:val="Heading2"/>
        <w:keepNext/>
      </w:pPr>
      <w:r>
        <w:t>Decisões de arquitetura</w:t>
      </w:r>
    </w:p>
    <w:p>
      <w:pPr>
        <w:pStyle w:val="ListBullet"/>
      </w:pPr>
      <w:r>
        <w:t>O SAC permanece como sistema de registro para estrutura organizacional, contratos, saldos de itens, ciclo financeiro administrativo, fornecedores, riscos, ações, renovações e CRM comercial.</w:t>
      </w:r>
    </w:p>
    <w:p>
      <w:pPr>
        <w:pStyle w:val="ListBullet"/>
      </w:pPr>
      <w:r>
        <w:t>O Projeto de KPIs permanece como sistema de registro para KPIs técnicos, SLA, glosas e avaliação da qualidade da execução.</w:t>
      </w:r>
    </w:p>
    <w:p>
      <w:pPr>
        <w:pStyle w:val="ListBullet"/>
      </w:pPr>
      <w:r>
        <w:t>A correlação entre os dois domínios será feita por uuid_integracao e por uma API agregadora; o SAC guarda somente referências externas e metadados de sincronização.</w:t>
      </w:r>
    </w:p>
    <w:p>
      <w:pPr>
        <w:pStyle w:val="ListBullet"/>
      </w:pPr>
      <w:r>
        <w:t>As relações com responsável, unidade, carteira e estágio devem ser temporalizadas, preservando histórico em vez de sobrescrever o estado anterior.</w:t>
      </w:r>
    </w:p>
    <w:p>
      <w:pPr>
        <w:pStyle w:val="Heading2"/>
        <w:keepNext/>
      </w:pPr>
      <w:r>
        <w:t>Resultado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6803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Situação após a evolução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 por item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Disponível, comprometido, medido, pago, saldo a executar e faixa semafórica.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Governança contratual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Gerente, fiscal, substituto e unidade responsável com vigência e histórico.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Antecipação de problemas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Riscos, ações, responsáveis, prazos, evidências, renovação e sucessão contratual.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Financeiro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Documentos, transações, eventos, valores em aberto e aging por contrato/fornecedor/cliente.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Comercial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Carteira, contatos, interações, oportunidades, tarefas, ABC e sinais comerciais da conta.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Visão executiva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Agregação por unidade/gerência e endpoints consistentes para todos os painéis.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Fronteira entre os bancos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2381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Sistema de registro</w:t>
            </w:r>
          </w:p>
        </w:tc>
        <w:tc>
          <w:tcPr>
            <w:tcW w:type="dxa" w:w="436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Administrativo e contratual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SAC / PostgreSQL</w:t>
            </w:r>
          </w:p>
        </w:tc>
        <w:tc>
          <w:tcPr>
            <w:tcW w:type="dxa" w:w="436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Contratos, itens, OS, aditivos, responsáveis, unidades, fornecedores, saldos e vigências.</w:t>
            </w:r>
          </w:p>
        </w:tc>
      </w:tr>
      <w:tr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Financeiro administrativo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SAC / PostgreSQL</w:t>
            </w:r>
          </w:p>
        </w:tc>
        <w:tc>
          <w:tcPr>
            <w:tcW w:type="dxa" w:w="436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Ciclos, documentos, pagamentos/recebimentos, vencimentos, aging e eventos.</w:t>
            </w:r>
          </w:p>
        </w:tc>
      </w:tr>
      <w:tr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Riscos e providências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SAC / PostgreSQL</w:t>
            </w:r>
          </w:p>
        </w:tc>
        <w:tc>
          <w:tcPr>
            <w:tcW w:type="dxa" w:w="436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Riscos administrativos, planos de ação, responsáveis, prazos, evidências e histórico.</w:t>
            </w:r>
          </w:p>
        </w:tc>
      </w:tr>
      <w:tr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Relacionamento comercial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SAC / PostgreSQL</w:t>
            </w:r>
          </w:p>
        </w:tc>
        <w:tc>
          <w:tcPr>
            <w:tcW w:type="dxa" w:w="436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Carteiras, contatos, interações, oportunidades, tarefas, classificação ABC e previsões.</w:t>
            </w:r>
          </w:p>
        </w:tc>
      </w:tr>
      <w:tr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Desempenho da execução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Projeto de KPIs / camada externa</w:t>
            </w:r>
          </w:p>
        </w:tc>
        <w:tc>
          <w:tcPr>
            <w:tcW w:type="dxa" w:w="436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KPIs, SLA, glosas, qualidade e performance técnica da execução.</w:t>
            </w:r>
          </w:p>
        </w:tc>
      </w:tr>
    </w:tbl>
    <w:p>
      <w:pPr>
        <w:spacing w:after="0"/>
      </w:pPr>
    </w:p>
    <w:p>
      <w:pPr>
        <w:pStyle w:val="BodyText"/>
      </w:pPr>
      <w:r>
        <w:t>Observação: S3 é armazenamento de objetos, não um SGDB relacional. Para alimentar dashboards com baixa latência, o Projeto de KPIs deve expor uma camada consultável — por exemplo, API própria, Athena/Glue ou outro mecanismo de consulta — com contratos de dados versionados.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879" w:left="1134" w:header="369" w:footer="369" w:gutter="0"/>
          <w:cols w:space="720"/>
          <w:docGrid w:linePitch="360"/>
        </w:sectPr>
      </w:pPr>
    </w:p>
    <w:p>
      <w:pPr>
        <w:pStyle w:val="Heading1"/>
        <w:keepNext/>
      </w:pPr>
      <w:r>
        <w:t>3. Modelo entidade–relacionamento proposto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12000" cy="5815132"/>
            <wp:docPr id="1" name="Picture 1" descr="Diagrama lógico do MER proposto para o SAC, organizado em núcleo transacional, organização, saldos, finanças, riscos, renovação, gestão comercial e integração externa." title="MER proposto — evolução do SAC ET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_Proposto_SAC_E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581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Visão lógica do MER proposto. O núcleo azul representa entidades existentes; as demais áreas representam extensões do schema sac_gestao.</w:t>
      </w:r>
    </w:p>
    <w:p>
      <w:pPr>
        <w:sectPr>
          <w:pgSz w:w="16838" w:h="11906" w:orient="landscape"/>
          <w:pgMar w:top="765" w:right="822" w:bottom="709" w:left="822" w:header="369" w:footer="369" w:gutter="0"/>
          <w:cols w:space="720"/>
          <w:docGrid w:linePitch="360"/>
        </w:sectPr>
      </w:pPr>
    </w:p>
    <w:p>
      <w:pPr>
        <w:pStyle w:val="Heading1"/>
        <w:keepNext/>
      </w:pPr>
      <w:r>
        <w:t>4. Alterações propostas por domínio</w:t>
      </w:r>
    </w:p>
    <w:p>
      <w:pPr>
        <w:pStyle w:val="Heading2"/>
        <w:keepNext/>
      </w:pPr>
      <w:r>
        <w:t>4.1 Organização, gerências e 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Entidade/alteração</w:t>
            </w:r>
          </w:p>
        </w:tc>
        <w:tc>
          <w:tcPr>
            <w:tcW w:type="dxa" w:w="589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unidade_organizacional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Hierarquia temporal de diretoria, gerência, coordenação e demais unidades.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usuario_unidade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Lotação e papel do usuário na unidade, com período de validade.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designacao_contrato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Gerente, fiscal, substituto e demais papéis por contrato, com titularidade, vigência e histórico.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contrato.unidade_responsavel_id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Vincula o contrato à unidade responsável sem depender apenas de texto ou do usuário atual.</w:t>
            </w:r>
          </w:p>
        </w:tc>
      </w:tr>
    </w:tbl>
    <w:p>
      <w:pPr>
        <w:spacing w:after="0"/>
      </w:pPr>
    </w:p>
    <w:p>
      <w:pPr>
        <w:pStyle w:val="BodyText"/>
      </w:pPr>
      <w:r>
        <w:t>Essas estruturas são a base dos recortes do gerente de contrato e do diretor técnico. A designação temporal evita que uma troca de fiscal ou gerente altere retroativamente os relatórios de períodos anteriores.</w:t>
      </w:r>
    </w:p>
    <w:p>
      <w:pPr>
        <w:pStyle w:val="Heading2"/>
        <w:keepNext/>
      </w:pPr>
      <w:r>
        <w:t>4.2 Saldo de itens contratuais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Entidade/visão</w:t>
            </w:r>
          </w:p>
        </w:tc>
        <w:tc>
          <w:tcPr>
            <w:tcW w:type="dxa" w:w="589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aditivo_item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Detalha o efeito do aditivo em cada item, quantidade e valor.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movimento_contrato_item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Livro de movimentos: aditivo, ajuste, OS, cancelamento, medição, pagamento e estorno.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saldo_item_snapshot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Fotografia periódica para séries históricas e respostas rápidas.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vw_saldo_item_contrato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Calcula valor vigente, comprometido, medido, pago, saldos e faixa semafórica.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previsao_saldo_item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Armazena data provável de esgotamento e confiança da projeção.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Faixa</w:t>
            </w:r>
          </w:p>
        </w:tc>
        <w:tc>
          <w:tcPr>
            <w:tcW w:type="dxa" w:w="2948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5102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Interpretação operacional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D9EAD3"/>
          </w:tcPr>
          <w:p>
            <w:pPr>
              <w:spacing w:after="0"/>
            </w:pPr>
            <w:r>
              <w:rPr>
                <w:b/>
                <w:color w:val="253746"/>
                <w:sz w:val="17"/>
              </w:rPr>
              <w:t>Verde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7"/>
              </w:rPr>
              <w:t>saldo ≥ 60% do total vigente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7"/>
              </w:rPr>
              <w:t>Capacidade confortável; acompanhamento regular.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253746"/>
                <w:sz w:val="17"/>
              </w:rPr>
              <w:t>Amarelo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7"/>
              </w:rPr>
              <w:t>10% &lt; saldo &lt; 60%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7"/>
              </w:rPr>
              <w:t>Atenção; projetar consumo e preparar medida preventiva.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CCCC"/>
          </w:tcPr>
          <w:p>
            <w:pPr>
              <w:spacing w:after="0"/>
            </w:pPr>
            <w:r>
              <w:rPr>
                <w:b/>
                <w:color w:val="253746"/>
                <w:sz w:val="17"/>
              </w:rPr>
              <w:t>Vermelho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7"/>
              </w:rPr>
              <w:t>saldo ≤ 10%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7"/>
              </w:rPr>
              <w:t>Crítico; priorizar aditivo, substituição, bloqueio ou nova contratação.</w:t>
            </w:r>
          </w:p>
        </w:tc>
      </w:tr>
    </w:tbl>
    <w:p>
      <w:pPr>
        <w:spacing w:after="0"/>
      </w:pPr>
    </w:p>
    <w:p>
      <w:pPr>
        <w:pStyle w:val="BodyText"/>
      </w:pPr>
      <w:r>
        <w:t>A view usa o saldo a executar como percentual do valor vigente. Caso o dashboard deseje semáforo por quantidade, o mesmo livro de movimentos deve registrar quantidade e unidade de medida, aplicando a regra à dimensão selecionada.</w:t>
      </w:r>
    </w:p>
    <w:p>
      <w:pPr>
        <w:pStyle w:val="Heading2"/>
        <w:keepNext/>
      </w:pPr>
      <w:r>
        <w:t>4.3 Ciclo financeiro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Entidade/alteração</w:t>
            </w:r>
          </w:p>
        </w:tc>
        <w:tc>
          <w:tcPr>
            <w:tcW w:type="dxa" w:w="589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ciclo_faturamento (extensão)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Liga contrato, cliente, lado pagador/recebedor, valores previstos/realizados e datas de abertura/fechamento.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documento_financeiro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Nota, fatura ou título com emissão, vencimento, valor bruto/líquido, cliente e fornecedor.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transacao_financeira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Pagamento, recebimento ou estorno, com data, valor, status e referência.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evento_ciclo_financeiro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Linha do tempo de eventos administrativos relevantes ao faturamento.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vw_aging_financeiro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 em aberto e faixas: a vencer, 1–15, 16–30 e mais de 30 dias.</w:t>
            </w:r>
          </w:p>
        </w:tc>
      </w:tr>
    </w:tbl>
    <w:p>
      <w:pPr>
        <w:spacing w:after="0"/>
      </w:pPr>
    </w:p>
    <w:p>
      <w:pPr>
        <w:pStyle w:val="BodyText"/>
      </w:pPr>
      <w:r>
        <w:t>O modelo financeiro não calcula glosa técnica. Se o valor líquido for influenciado por glosa registrada externamente, a API agregadora deve apresentar a composição e manter a origem do dado; no SAC permanece apenas o documento financeiro final e seus eventos administrativos.</w:t>
      </w:r>
    </w:p>
    <w:p>
      <w:pPr>
        <w:pStyle w:val="Heading2"/>
        <w:keepNext/>
      </w:pPr>
      <w:r>
        <w:t>4.4 Riscos, planos de ação e prevenção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6690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</w:t>
            </w:r>
          </w:p>
        </w:tc>
        <w:tc>
          <w:tcPr>
            <w:tcW w:type="dxa" w:w="669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Registra risco administrativo/comercial por contrato, fornecedor, cliente, unidade ou processo, com probabilidade, impacto, severidade e prazo.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plano_acao</w:t>
            </w:r>
          </w:p>
        </w:tc>
        <w:tc>
          <w:tcPr>
            <w:tcW w:type="dxa" w:w="669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Providência preventiva ou corretiva, responsável, prazo, status, prioridade e evidência.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historico_acao</w:t>
            </w:r>
          </w:p>
        </w:tc>
        <w:tc>
          <w:tcPr>
            <w:tcW w:type="dxa" w:w="669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Trilha de auditoria de mudanças de status, prazo, responsável e observações.</w:t>
            </w:r>
          </w:p>
        </w:tc>
      </w:tr>
    </w:tbl>
    <w:p>
      <w:pPr>
        <w:spacing w:after="0"/>
      </w:pPr>
    </w:p>
    <w:p>
      <w:pPr>
        <w:pStyle w:val="BodyText"/>
      </w:pPr>
      <w:r>
        <w:t>Riscos de qualidade da execução e respectivos indicadores técnicos continuam fora deste banco. O SAC registra apenas riscos gerenciais e ações que precisam ser acompanhadas pelos responsáveis contratuais e comerciais.</w:t>
      </w:r>
    </w:p>
    <w:p>
      <w:pPr>
        <w:pStyle w:val="Heading2"/>
        <w:keepNext/>
      </w:pPr>
      <w:r>
        <w:t>4.5 Renovação, nova contratação e sucessão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589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processo_contratacao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Processo de renovação, substituição ou nova contratação ligado ao contrato de origem e à unidade.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etapa_processo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Fase, responsável, datas previstas/reais, status e dependências.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vinculo_sucessao_contratual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Relaciona contrato anterior e sucessor para preservar continuidade e comparabilidade.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previsao_processo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Estimativa de conclusão e confiança, separada do prazo oficial.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vw_pipeline_contratacao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Expõe etapa atual, atraso e conclusão prevista para dashboards.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Gestão de contas e diretoria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589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carteira_cliente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Responsável pela conta, segmento, principalidade e vigência.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contato_cliente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Stakeholders do cliente, papéis, influência, decisão e canais.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interacao_cliente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Reuniões, contatos, assunto, percepção e próximos passos.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oportunidade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Pipeline, valor, probabilidade, etapa, previsão e motivo de ganho/perda.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oportunidade_etapa_historico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Histórico de movimentação e tempo em cada etapa.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tarefa_comercial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Ações do gerente de contas, prazo, prioridade e conclusão.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saude_comercial_conta_snapshot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Sinais comerciais não técnicos: relacionamento, atividade, risco de perda e tendência.</w:t>
            </w:r>
          </w:p>
        </w:tc>
      </w:tr>
      <w:tr>
        <w:tc>
          <w:tcPr>
            <w:tcW w:type="dxa" w:w="317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classificacao_abc_snapshot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Classe ABC, receita/valor de referência, participação e período.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Cobertura dos dashboards e endpoints</w:t>
      </w:r>
    </w:p>
    <w:p>
      <w:pPr>
        <w:pStyle w:val="BodyText"/>
      </w:pPr>
      <w:r>
        <w:t>Os endpoints abaixo são propostas de contrato de API. Eles podem ser implementados sobre as views sugeridas e serviços de agregação, mantendo paginação, filtros por período/unidade e autorização por escopo.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Visão</w:t>
            </w:r>
          </w:p>
        </w:tc>
        <w:tc>
          <w:tcPr>
            <w:tcW w:type="dxa" w:w="368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Perguntas atendidas</w:t>
            </w:r>
          </w:p>
        </w:tc>
        <w:tc>
          <w:tcPr>
            <w:tcW w:type="dxa" w:w="3572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Fonte principal / endpoint sugerido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Saldo dos contratos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Quais itens estão verdes, amarelos ou vermelhos? Quanto resta e quando pode esgotar?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vw_saldo_item_contrato + previsao_saldo_item</w:t>
              <w:br/>
              <w:t>GET /api/v1/contratos/{id}/itens/saldos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Gerente de contrato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Quem são os fiscais? Quais fornecedores, riscos, ações, vencimentos e renovações exigem atuação?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vw_designacao_ativa, risco, plano_acao, vw_aging_financeiro, vw_pipeline_contratacao</w:t>
              <w:br/>
              <w:t>GET /api/v1/gestao-contratual/resumo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Diretor técnico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Como estão gerências/unidades, contratos críticos, ações atrasadas e processos de substituição?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unidade_organizacional + agregações dos domínios contratuais</w:t>
              <w:br/>
              <w:t>GET /api/v1/diretoria-tecnica/gerencias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Diretoria comercial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Como estão carteiras, clientes ABC, pipeline, concentração e ações comerciais?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carteira_cliente, classificacao_abc_snapshot, oportunidade</w:t>
              <w:br/>
              <w:t>GET /api/v1/diretoria-comercial/resumo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Gerente de contas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Quais contas, contatos, interações, oportunidades e tarefas precisam de ação?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5"/>
              </w:rPr>
              <w:t>vw_carteira_comercial_ativa + CRM</w:t>
              <w:br/>
              <w:t>GET /api/v1/gerentes-conta/{id}/painel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Indicadores externos</w:t>
            </w:r>
          </w:p>
        </w:tc>
        <w:tc>
          <w:tcPr>
            <w:tcW w:type="dxa" w:w="368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Quais KPIs, SLA, glosas e avaliações complementam a leitura?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5"/>
              </w:rPr>
              <w:t>API do Projeto de KPIs, correlacionada por uuid_integracao</w:t>
              <w:br/>
              <w:t>GET /api/v1/dashboards/agregado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Filtros e dimensões obrigatórias</w:t>
      </w:r>
    </w:p>
    <w:p>
      <w:pPr>
        <w:pStyle w:val="ListBullet"/>
      </w:pPr>
      <w:r>
        <w:t>Período de referência, data de corte e timezone explicitados na resposta.</w:t>
      </w:r>
    </w:p>
    <w:p>
      <w:pPr>
        <w:pStyle w:val="ListBullet"/>
      </w:pPr>
      <w:r>
        <w:t>Diretoria, gerência/unidade, gerente, fiscal, fornecedor, cliente e contrato.</w:t>
      </w:r>
    </w:p>
    <w:p>
      <w:pPr>
        <w:pStyle w:val="ListBullet"/>
      </w:pPr>
      <w:r>
        <w:t>Status, severidade, faixa de saldo, faixa de aging e atraso de ação/processo.</w:t>
      </w:r>
    </w:p>
    <w:p>
      <w:pPr>
        <w:pStyle w:val="ListBullet"/>
      </w:pPr>
      <w:r>
        <w:t>Origem do dado e instante de atualização para resultados agregados com o Projeto de KPIs.</w:t>
      </w:r>
    </w:p>
    <w:p>
      <w:pPr>
        <w:pStyle w:val="Heading1"/>
        <w:keepNext/>
      </w:pPr>
      <w:r>
        <w:t>6. Integração com o Projeto de KPIs</w:t>
      </w:r>
    </w:p>
    <w:p>
      <w:pPr>
        <w:pStyle w:val="Heading2"/>
        <w:keepNext/>
      </w:pPr>
      <w:r>
        <w:t>Identificadores e referências</w:t>
      </w:r>
    </w:p>
    <w:p>
      <w:pPr>
        <w:pStyle w:val="BodyText"/>
      </w:pPr>
      <w:r>
        <w:t>O script adiciona uuid_integracao às entidades centrais: contrato, contrato_item, ordem_servico, cliente, fornecedor e servico. Esses UUIDs são imutáveis, únicos e independentes das chaves sequenciais internas, permitindo correlação segura com objetos e registros externos.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23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Chave canônica publicada em eventos, APIs e arquivos do Projeto de KPIs.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referencia_sistema_externo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Mapeia entidade local para sistema, chave externa, URI e metadados; não replica o conteúdo técnico.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controle_integracao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Registra cursor, início/fim, status, quantidade processada e erro por fluxo.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API agregadora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Une dados por UUID, aplica autorização e devolve payload único aos dashboards.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Requisitos do contrato de dados</w:t>
      </w:r>
    </w:p>
    <w:p>
      <w:pPr>
        <w:pStyle w:val="ListBullet"/>
      </w:pPr>
      <w:r>
        <w:t>Versão do schema e compatibilidade retroativa por período acordado.</w:t>
      </w:r>
    </w:p>
    <w:p>
      <w:pPr>
        <w:pStyle w:val="ListBullet"/>
      </w:pPr>
      <w:r>
        <w:t>Chaves obrigatórias: uuid_integracao, data_referencia, origem, data_atualizacao e granularidade.</w:t>
      </w:r>
    </w:p>
    <w:p>
      <w:pPr>
        <w:pStyle w:val="ListBullet"/>
      </w:pPr>
      <w:r>
        <w:t>Semântica explícita para valor nulo, dado ausente, dado atrasado e cálculo não aplicável.</w:t>
      </w:r>
    </w:p>
    <w:p>
      <w:pPr>
        <w:pStyle w:val="ListBullet"/>
      </w:pPr>
      <w:r>
        <w:t>Observabilidade: correlação de requisição, métricas de latência/erro e reconciliação de contagens.</w:t>
      </w:r>
    </w:p>
    <w:p>
      <w:pPr>
        <w:pStyle w:val="ListBullet"/>
      </w:pPr>
      <w:r>
        <w:t>Política de cache e tolerância a indisponibilidade, exibindo data da última atualização válida.</w:t>
      </w:r>
    </w:p>
    <w:p>
      <w:pPr>
        <w:pStyle w:val="Heading1"/>
        <w:keepNext/>
      </w:pPr>
      <w:r>
        <w:t>7. Estratégia de migração</w:t>
      </w:r>
    </w:p>
    <w:p>
      <w:pPr>
        <w:pStyle w:val="ListNumber"/>
      </w:pPr>
      <w:r>
        <w:t>Inventariar o DDL real, tipos das chaves, constraints, volumes, roles e integrações existentes; ajustar o script à versão de produção.</w:t>
      </w:r>
    </w:p>
    <w:p>
      <w:pPr>
        <w:pStyle w:val="ListNumber"/>
      </w:pPr>
      <w:r>
        <w:t>Executar backup e ensaio de restauração; aplicar o script em homologação dentro de janela controlada.</w:t>
      </w:r>
    </w:p>
    <w:p>
      <w:pPr>
        <w:pStyle w:val="ListNumber"/>
      </w:pPr>
      <w:r>
        <w:t>Criar o schema sac_gestao, extensão pgcrypto, UUIDs, tabelas, constraints, índices e views.</w:t>
      </w:r>
    </w:p>
    <w:p>
      <w:pPr>
        <w:pStyle w:val="ListNumber"/>
      </w:pPr>
      <w:r>
        <w:t>Popular unidades, lotações, designações, carteiras e contatos a partir de fontes confiáveis, mantendo data de início e origem.</w:t>
      </w:r>
    </w:p>
    <w:p>
      <w:pPr>
        <w:pStyle w:val="ListNumber"/>
      </w:pPr>
      <w:r>
        <w:t>Gerar carga inicial do livro de movimentos dos itens a partir de aditivos, OS, medições e pagamentos; reconciliar totais por contrato.</w:t>
      </w:r>
    </w:p>
    <w:p>
      <w:pPr>
        <w:pStyle w:val="ListNumber"/>
      </w:pPr>
      <w:r>
        <w:t>Carregar documentos/transações financeiras e validar aging com a área responsável.</w:t>
      </w:r>
    </w:p>
    <w:p>
      <w:pPr>
        <w:pStyle w:val="ListNumber"/>
      </w:pPr>
      <w:r>
        <w:t>Publicar endpoints em modo paralelo, comparar respostas com relatórios atuais e corrigir divergências.</w:t>
      </w:r>
    </w:p>
    <w:p>
      <w:pPr>
        <w:pStyle w:val="ListNumber"/>
      </w:pPr>
      <w:r>
        <w:t>Ativar os dashboards por perfil e monitorar integridade, latência, cardinalidade e dados sem vínculo.</w:t>
      </w:r>
    </w:p>
    <w:p>
      <w:pPr>
        <w:pStyle w:val="ListNumber"/>
      </w:pPr>
      <w:r>
        <w:t>Somente após a reconciliação, tornar campos obrigatórios e descontinuar leituras de campos legados redundantes.</w:t>
      </w:r>
    </w:p>
    <w:p>
      <w:r>
        <w:br w:type="page"/>
      </w:r>
    </w:p>
    <w:p>
      <w:pPr>
        <w:pStyle w:val="Heading2"/>
        <w:keepNext/>
      </w:pPr>
      <w:r>
        <w:t>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type="dxa" w:w="6803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Critério mínimo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Integridade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Nenhum movimento, designação, documento, ação ou oportunidade aponta para chave inexistente.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Valor vigente e consumo reconciliados por item/contrato; regra de cores validada nos limites 60% e 10%.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Histórico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Trocas de responsável e de etapa preservam período anterior e não geram sobreposição inválida.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Financeiro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Soma em aberto e aging conferidos com amostra representativa e totalizadores oficiais.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Autorização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Usuários só visualizam unidades, carteiras e contratos pertencentes ao seu escopo.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Integração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UUIDs estáveis, idempotência, última atualização e tratamento de indisponibilidade comprovados.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Performance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Planos de consulta e tempos de resposta atendem aos SLAs internos definidos para os dashboards.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Segurança, governança e operação</w:t>
      </w:r>
    </w:p>
    <w:p>
      <w:pPr>
        <w:pStyle w:val="ListBullet"/>
      </w:pPr>
      <w:r>
        <w:t>Aplicar roles distintas para escrita transacional, integração e leitura de dashboards; não conceder privilégios amplos por padrão.</w:t>
      </w:r>
    </w:p>
    <w:p>
      <w:pPr>
        <w:pStyle w:val="ListBullet"/>
      </w:pPr>
      <w:r>
        <w:t>Auditar alterações de responsáveis, prazos, status, valores e vínculos externos, incluindo usuário e timestamp.</w:t>
      </w:r>
    </w:p>
    <w:p>
      <w:pPr>
        <w:pStyle w:val="ListBullet"/>
      </w:pPr>
      <w:r>
        <w:t>Definir retenção para snapshots e históricos, preservando o período necessário à prestação de contas e auditoria.</w:t>
      </w:r>
    </w:p>
    <w:p>
      <w:pPr>
        <w:pStyle w:val="ListBullet"/>
      </w:pPr>
      <w:r>
        <w:t>Mascarar dados pessoais de contatos comerciais em ambientes não produtivos e limitar exportações.</w:t>
      </w:r>
    </w:p>
    <w:p>
      <w:pPr>
        <w:pStyle w:val="ListBullet"/>
      </w:pPr>
      <w:r>
        <w:t>Monitorar registros órfãos, duplicidade de UUID, sobreposição de vigências, filas de integração e atualizações atrasadas.</w:t>
      </w:r>
    </w:p>
    <w:p>
      <w:pPr>
        <w:pStyle w:val="ListBullet"/>
      </w:pPr>
      <w:r>
        <w:t>Documentar catálogo, dono do dado, periodicidade, regra de cálculo e qualidade esperada de cada campo exposto pela API.</w:t>
      </w:r>
    </w:p>
    <w:p>
      <w:pPr>
        <w:pStyle w:val="Heading2"/>
        <w:keepNext/>
      </w:pPr>
      <w:r>
        <w:t>Riscos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623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Tratamento proposto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Tipos de PK/FK divergentes do PDF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Conferir o catálogo real antes da execução e ajustar bigint/uuid/text conforme o ambiente.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Carga de UUID em tabelas grandes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Executar UPDATE em lotes, criar índice fora do pico e validar duplicidade antes de impor NOT NULL.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Dupla contagem de movimentos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Definir chave de idempotência por origem e reconciliar eventos cancelados/estornados.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Semântica financeira ambígua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Homologar lado pagador/recebedor, sinais das transações e documento líquido com Financeiro.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Dados externos indisponíveis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Cachear última resposta válida, informar defasagem e manter painéis administrativos operacionais.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Escopo polimórfico de riscos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Validar por serviço/domínio e criar constraints adicionais se o padrão de uso se estabilizar.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Instruções para o script de atualização</w:t>
      </w:r>
    </w:p>
    <w:p>
      <w:pPr>
        <w:pStyle w:val="BodyText"/>
      </w:pPr>
      <w:r>
        <w:t>O arquivo alteracoes_mer_sac_postgresql.sql é uma proposta conservadora e parcialmente idempotente. Ele cria o schema complementar, adiciona UUIDs ao núcleo, cria tabelas, índices e views, mas não executa cargas de negócio específicas porque essas dependem dos dados e regras reais do ambiente.</w:t>
      </w:r>
    </w:p>
    <w:p>
      <w:pPr>
        <w:pStyle w:val="Heading2"/>
        <w:keepNext/>
      </w:pPr>
      <w:r>
        <w:t>Pré-requisitos</w:t>
      </w:r>
    </w:p>
    <w:p>
      <w:pPr>
        <w:pStyle w:val="ListBullet"/>
      </w:pPr>
      <w:r>
        <w:t>PostgreSQL 14 ou superior e permissão para CREATE EXTENSION pgcrypto, CREATE SCHEMA e ALTER TABLE.</w:t>
      </w:r>
    </w:p>
    <w:p>
      <w:pPr>
        <w:pStyle w:val="ListBullet"/>
      </w:pPr>
      <w:r>
        <w:t>Existência das tabelas públicas exigidas pelo bloco de validação inicial.</w:t>
      </w:r>
    </w:p>
    <w:p>
      <w:pPr>
        <w:pStyle w:val="ListBullet"/>
      </w:pPr>
      <w:r>
        <w:t>Backup validado, janela de manutenção e homologação prévia do DDL ajustado.</w:t>
      </w:r>
    </w:p>
    <w:p>
      <w:pPr>
        <w:pStyle w:val="ListBullet"/>
      </w:pPr>
      <w:r>
        <w:t>Revisão dos GRANTs, dos nomes reais das colunas e dos tipos das chaves estrangeiras.</w:t>
      </w:r>
    </w:p>
    <w:p>
      <w:pPr>
        <w:pStyle w:val="Heading2"/>
        <w:keepNext/>
      </w:pPr>
      <w:r>
        <w:t>Execução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803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1. Dry run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Executar em cópia recente, registrar duração, locks, warnings e plano de rollback.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2. Estrutura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Aplicar o script em transação e confirmar tabelas, constraints, índices e views.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3. Backfill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Executar cargas controladas e idempotentes para UUIDs, movimentos, designações, carteiras e finanças.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4. Reconciliação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Comparar totais, saldos, aging e contagens com fontes oficiais.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5. Ativação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Conceder privilégios mínimos, ativar endpoints e monitorar.</w:t>
            </w:r>
          </w:p>
        </w:tc>
      </w:tr>
    </w:tbl>
    <w:p>
      <w:pPr>
        <w:spacing w:after="0"/>
      </w:pPr>
    </w:p>
    <w:p>
      <w:pPr>
        <w:pStyle w:val="BodyText"/>
      </w:pPr>
      <w:r>
        <w:t>O rollback estrutural não deve ser automatizado com DROP em produção: após cargas de dados, uma reversão destrutiva exige avaliação e backup. Para recuo funcional, mantenha os endpoints antigos e desative o novo caminho por feature flag até a estabilização.</w:t>
      </w:r>
    </w:p>
    <w:p>
      <w:r>
        <w:br w:type="page"/>
      </w:r>
    </w:p>
    <w:p>
      <w:pPr>
        <w:pStyle w:val="Heading1"/>
        <w:keepNext/>
      </w:pPr>
      <w:r>
        <w:t>Apêndice A — Inventário das alterações</w:t>
      </w:r>
    </w:p>
    <w:p>
      <w:pPr>
        <w:pStyle w:val="Heading2"/>
        <w:keepNext/>
      </w:pPr>
      <w:r>
        <w:t>Entidades novas no schema sac_gestao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7087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Objetos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Organização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unidade_organizacional; usuario_unidade; designacao_contrato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aditivo_item; movimento_contrato_item; saldo_item_snapshot; previsao_saldo_item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Financeiro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documento_financeiro; transacao_financeira; evento_ciclo_financeiro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Riscos e ações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risco; plano_acao; historico_acao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Renovação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processo_contratacao; etapa_processo; vinculo_sucessao_contratual; previsao_processo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Comercial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carteira_cliente; contato_cliente; interacao_cliente; oportunidade; oportunidade_etapa_historico; tarefa_comercial; saude_comercial_conta_snapshot; classificacao_abc_snapshot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Integração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referencia_sistema_externo; controle_integracao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Tabelas existentes alteradas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6236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Alteração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contrato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 e unidade_responsavel_id.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contrato_item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ordem_servico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cliente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fornecedor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servico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uuid_integracao.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ciclo_faturamento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contrato_id, cliente_id, lado, valores previsto/medido/faturado/realizado e datas de abertura/fechamento.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Views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View</w:t>
            </w:r>
          </w:p>
        </w:tc>
        <w:tc>
          <w:tcPr>
            <w:tcW w:type="dxa" w:w="5669"/>
            <w:shd w:fill="163A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vw_designacao_ativa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Responsáveis vigentes por contrato.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vw_saldo_item_contrato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Saldo, consumo e semáforo por item.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vw_aging_financeiro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Títulos em aberto e atraso.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vw_pipeline_contratacao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9FA"/>
          </w:tcPr>
          <w:p>
            <w:pPr>
              <w:spacing w:after="0"/>
            </w:pPr>
            <w:r>
              <w:rPr>
                <w:color w:val="253746"/>
                <w:sz w:val="16"/>
              </w:rPr>
              <w:t>Processos, etapas e atrasos.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vw_carteira_comercial_ativa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253746"/>
                <w:sz w:val="16"/>
              </w:rPr>
              <w:t>Clientes vigentes por gerente de conta.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B — Premissas e decisões pendentes</w:t>
      </w:r>
    </w:p>
    <w:p>
      <w:pPr>
        <w:pStyle w:val="ListBullet"/>
      </w:pPr>
      <w:r>
        <w:t>O PDF foi tratado como referência conceitual; o catálogo físico do banco prevalece para nomes, tipos e constraints.</w:t>
      </w:r>
    </w:p>
    <w:p>
      <w:pPr>
        <w:pStyle w:val="ListBullet"/>
      </w:pPr>
      <w:r>
        <w:t>Os campos de status usam CHECKs iniciais; recomenda-se consolidar domínios/enums somente após validação com os donos do processo.</w:t>
      </w:r>
    </w:p>
    <w:p>
      <w:pPr>
        <w:pStyle w:val="ListBullet"/>
      </w:pPr>
      <w:r>
        <w:t>A definição de saldo pode variar entre valor e quantidade; o endpoint deve declarar a dimensão usada.</w:t>
      </w:r>
    </w:p>
    <w:p>
      <w:pPr>
        <w:pStyle w:val="ListBullet"/>
      </w:pPr>
      <w:r>
        <w:t>A saúde comercial não substitui avaliação técnica da execução e não deve importar indicadores de SLA/glosa para o SAC.</w:t>
      </w:r>
    </w:p>
    <w:p>
      <w:pPr>
        <w:pStyle w:val="ListBullet"/>
      </w:pPr>
      <w:r>
        <w:t>A classificação ABC deve declarar período, métrica, universo e data de corte para permitir reprodução.</w:t>
      </w:r>
    </w:p>
    <w:p>
      <w:pPr>
        <w:pStyle w:val="ListBullet"/>
      </w:pPr>
      <w:r>
        <w:t>As projeções são dados derivados e devem armazenar método/versão ou referência ao processo que as gerou.</w:t>
      </w:r>
    </w:p>
    <w:p>
      <w:pPr>
        <w:pStyle w:val="ListBullet"/>
      </w:pPr>
      <w:r>
        <w:t>Autorização por unidade e carteira deve ser implementada no serviço e, quando aplicável, reforçada por políticas de banco.</w:t>
      </w:r>
    </w:p>
    <w:p>
      <w:pPr>
        <w:pStyle w:val="Heading2"/>
        <w:keepNext/>
      </w:pPr>
      <w:r>
        <w:t>Conclusão</w:t>
      </w:r>
    </w:p>
    <w:p>
      <w:pPr>
        <w:pStyle w:val="BodyText"/>
      </w:pPr>
      <w:r>
        <w:t>A proposta cobre as lacunas não relacionadas a KPIs, glosas ou qualidade da execução, preserva o núcleo existente e cria uma base consistente para os dashboards do fiscal, gerente de contrato, diretor técnico, diretoria comercial e gerente de contas. A implantação deve começar pela validação do DDL real e por uma carga reconciliada de saldos, responsáveis e eventos financeiros.</w:t>
      </w:r>
    </w:p>
    <w:sectPr w:rsidR="00FC693F" w:rsidRPr="0006063C" w:rsidSect="00034616">
      <w:pgSz w:w="11906" w:h="16838"/>
      <w:pgMar w:top="1020" w:right="1134" w:bottom="879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467"/>
        <w:sz w:val="16"/>
      </w:rPr>
      <w:t xml:space="preserve">Documento técnico — versão 1.0  |  </w:t>
    </w: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475467"/>
        <w:sz w:val="16"/>
      </w:rPr>
      <w:t>ETICE  |  Evolução do MER do SAC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A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976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7546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