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381d317wyrog" w:id="0"/>
      <w:bookmarkEnd w:id="0"/>
      <w:r w:rsidDel="00000000" w:rsidR="00000000" w:rsidRPr="00000000">
        <w:rPr>
          <w:rtl w:val="0"/>
        </w:rPr>
        <w:t xml:space="preserve">Trabajo de Promoción - SYPER</w:t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q4nz17hzd8sd" w:id="1"/>
      <w:bookmarkEnd w:id="1"/>
      <w:r w:rsidDel="00000000" w:rsidR="00000000" w:rsidRPr="00000000">
        <w:rPr>
          <w:rtl w:val="0"/>
        </w:rPr>
        <w:t xml:space="preserve">Parte 2 - Subnets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hbatf9m97yay" w:id="2"/>
      <w:bookmarkEnd w:id="2"/>
      <w:r w:rsidDel="00000000" w:rsidR="00000000" w:rsidRPr="00000000">
        <w:rPr>
          <w:rtl w:val="0"/>
        </w:rPr>
        <w:t xml:space="preserve">Ivan Karl, 12160/3</w:t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ewl8tz29qxy9" w:id="3"/>
      <w:bookmarkEnd w:id="3"/>
      <w:r w:rsidDel="00000000" w:rsidR="00000000" w:rsidRPr="00000000">
        <w:rPr>
          <w:rtl w:val="0"/>
        </w:rPr>
        <w:t xml:space="preserve">Ruta Santiago, 12003/0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separar las diferentes subredes de las oficinas principales de syper.edu se utilizo un router principal, el edgeRouter. Este maneja 4 subredes y sus restricciones: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-Una de usuarios de la organización, la 10.0.0.0/24. Se comunica al exterior mediante el uso de NAT.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-Una para los servicios públicos, la 10.0.2.0/24. Esta subred es tanto accesible desde el exterior como del resto de las subredes. Cada host se presenta al exterior con su ip pública.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-Una para la intranet, la 10.0.1.0/24. Se comunica al exterior mediante el uso de NAT.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-Una para clientes, la 10.0.3.0/24. Se comunica al exterior mediante el uso de NAT.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hay presentes dos aplicaciones web, una para la intranet y otra para el exterior, que utilizan base de datos, y solo un host para servirlas, se tomo la decisión de separarla en dos hosts para mayor seguridad.</w:t>
      </w:r>
    </w:p>
    <w:sectPr>
      <w:pgSz w:h="15840" w:w="12240"/>
      <w:pgMar w:bottom="720" w:top="72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