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1F44"/>
          <w:sz w:val="72"/>
        </w:rPr>
        <w:t>Amira FinIQ Testing Agent</w:t>
      </w:r>
    </w:p>
    <w:p>
      <w:pPr>
        <w:jc w:val="center"/>
      </w:pPr>
      <w:r>
        <w:rPr>
          <w:rFonts w:ascii="Calibri" w:hAnsi="Calibri"/>
          <w:color w:val="1A56DB"/>
          <w:sz w:val="36"/>
        </w:rPr>
        <w:t>Software Requirements Specification</w:t>
      </w:r>
    </w:p>
    <w:p/>
    <w:p>
      <w:pPr>
        <w:jc w:val="center"/>
      </w:pPr>
      <w:r>
        <w:rPr>
          <w:rFonts w:ascii="Calibri" w:hAnsi="Calibri"/>
          <w:color w:val="666666"/>
          <w:sz w:val="22"/>
        </w:rPr>
        <w:t>IEEE 830 / ISO/IEC/IEEE 29148 Format</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Version</w:t>
            </w:r>
          </w:p>
        </w:tc>
        <w:tc>
          <w:tcPr>
            <w:tcW w:type="dxa" w:w="4680"/>
          </w:tcPr>
          <w:p>
            <w:pPr>
              <w:jc w:val="center"/>
            </w:pPr>
            <w:r/>
            <w:r>
              <w:rPr>
                <w:rFonts w:ascii="Calibri" w:hAnsi="Calibri"/>
                <w:color w:val="333333"/>
                <w:sz w:val="20"/>
              </w:rPr>
              <w:t>1.0</w:t>
            </w:r>
          </w:p>
        </w:tc>
      </w:tr>
      <w:tr>
        <w:tc>
          <w:tcPr>
            <w:tcW w:type="dxa" w:w="4680"/>
          </w:tcPr>
          <w:p>
            <w:pPr>
              <w:jc w:val="center"/>
            </w:pPr>
            <w:r/>
            <w:r>
              <w:rPr>
                <w:rFonts w:ascii="Calibri" w:hAnsi="Calibri"/>
                <w:b/>
                <w:color w:val="333333"/>
                <w:sz w:val="20"/>
              </w:rPr>
              <w:t>Date</w:t>
            </w:r>
          </w:p>
        </w:tc>
        <w:tc>
          <w:tcPr>
            <w:tcW w:type="dxa" w:w="4680"/>
          </w:tcPr>
          <w:p>
            <w:pPr>
              <w:jc w:val="center"/>
            </w:pPr>
            <w:r/>
            <w:r>
              <w:rPr>
                <w:rFonts w:ascii="Calibri" w:hAnsi="Calibri"/>
                <w:color w:val="333333"/>
                <w:sz w:val="20"/>
              </w:rPr>
              <w:t>March 26,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r>
        <w:tc>
          <w:tcPr>
            <w:tcW w:type="dxa" w:w="4680"/>
          </w:tcPr>
          <w:p>
            <w:pPr>
              <w:jc w:val="center"/>
            </w:pPr>
            <w:r/>
            <w:r>
              <w:rPr>
                <w:rFonts w:ascii="Calibri" w:hAnsi="Calibri"/>
                <w:b/>
                <w:color w:val="333333"/>
                <w:sz w:val="20"/>
              </w:rPr>
              <w:t>Standard</w:t>
            </w:r>
          </w:p>
        </w:tc>
        <w:tc>
          <w:tcPr>
            <w:tcW w:type="dxa" w:w="4680"/>
          </w:tcPr>
          <w:p>
            <w:pPr>
              <w:jc w:val="center"/>
            </w:pPr>
            <w:r/>
            <w:r>
              <w:rPr>
                <w:rFonts w:ascii="Calibri" w:hAnsi="Calibri"/>
                <w:color w:val="333333"/>
                <w:sz w:val="20"/>
              </w:rPr>
              <w:t>IEEE 830-1998 / ISO/IEC/IEEE 29148:2018</w:t>
            </w:r>
          </w:p>
        </w:tc>
      </w:tr>
    </w:tbl>
    <w:p>
      <w:r>
        <w:br w:type="page"/>
      </w:r>
    </w:p>
    <w:p>
      <w:pPr>
        <w:pStyle w:val="Heading1"/>
      </w:pPr>
      <w:r>
        <w:t>Table of Contents</w:t>
      </w:r>
    </w:p>
    <w:p>
      <w:pPr>
        <w:spacing w:after="120"/>
      </w:pPr>
      <w:r>
        <w:rPr>
          <w:i/>
          <w:color w:val="999999"/>
        </w:rPr>
        <w:t>[Table of Contents will auto-generate when opened in Word: References &gt; Update Table]</w:t>
      </w:r>
    </w:p>
    <w:p>
      <w:r>
        <w:br w:type="page"/>
      </w:r>
    </w:p>
    <w:p>
      <w:pPr>
        <w:pStyle w:val="Heading1"/>
      </w:pPr>
      <w:r>
        <w:t>1. Introduction</w:t>
      </w:r>
    </w:p>
    <w:p>
      <w:pPr>
        <w:pStyle w:val="Heading2"/>
      </w:pPr>
      <w:r>
        <w:t>1.1 Purpose</w:t>
      </w:r>
    </w:p>
    <w:p>
      <w:pPr>
        <w:spacing w:after="120"/>
      </w:pPr>
      <w:r>
        <w:t>This Software Requirements Specification (SRS) defines the functional and non-functional requirements for the Amira FinIQ Testing Agent, a specialized AI agent that validates the Amira FinIQ platform by executing test scenarios against both simulated (synthetic) and real (production) data. The Testing Agent ensures that FinIQ's analytics, reporting, and query capabilities produce correct, consistent results before and after deployment.</w:t>
      </w:r>
    </w:p>
    <w:p>
      <w:pPr>
        <w:spacing w:after="120"/>
      </w:pPr>
      <w:r>
        <w:t>This SRS is separate from the main Amira FinIQ SRS (v3.0) and defines the Testing Agent's own requirements. It is intended for use by Amira Technologies' QA engineers, developers, product owners, and Mars's technical stakeholders who oversee platform quality.</w:t>
      </w:r>
    </w:p>
    <w:p>
      <w:pPr>
        <w:spacing w:after="120"/>
      </w:pPr>
      <w:r>
        <w:t>This document follows the IEEE 830-1998 and ISO/IEC/IEEE 29148:2018 standards for software requirements specifications.</w:t>
      </w:r>
    </w:p>
    <w:p>
      <w:pPr>
        <w:pStyle w:val="Heading2"/>
      </w:pPr>
      <w:r>
        <w:t>1.2 Scope</w:t>
      </w:r>
    </w:p>
    <w:p>
      <w:pPr>
        <w:spacing w:after="120"/>
      </w:pPr>
      <w:r>
        <w:t>The FinIQ Testing Agent is a purpose-built validation component that operates within the Amira FinIQ agent ecosystem. Its primary mission is to verify correctness of all platform capabilities across FinIQ's 50 functional requirements.</w:t>
      </w:r>
    </w:p>
    <w:p>
      <w:pPr>
        <w:pStyle w:val="Heading3"/>
      </w:pPr>
      <w:r>
        <w:t>1.2.1 In Scope</w:t>
      </w:r>
    </w:p>
    <w:p>
      <w:pPr>
        <w:pStyle w:val="ListBullet"/>
        <w:spacing w:after="40"/>
      </w:pPr>
      <w:r>
        <w:t>Automated test execution against all FinIQ functional requirement groups (FR1–FR8)</w:t>
      </w:r>
    </w:p>
    <w:p>
      <w:pPr>
        <w:pStyle w:val="ListBullet"/>
        <w:spacing w:after="40"/>
      </w:pPr>
      <w:r>
        <w:t>Dual-mode operation: simulated data mode (synthetic/deterministic) and real data mode (production Databricks)</w:t>
      </w:r>
    </w:p>
    <w:p>
      <w:pPr>
        <w:pStyle w:val="ListBullet"/>
        <w:spacing w:after="40"/>
      </w:pPr>
      <w:r>
        <w:t>Validation of Period End Summary generation, including all 6 KPIs, sub-unit rankings, and trend taglines</w:t>
      </w:r>
    </w:p>
    <w:p>
      <w:pPr>
        <w:pStyle w:val="ListBullet"/>
        <w:spacing w:after="40"/>
      </w:pPr>
      <w:r>
        <w:t>Validation of budget variance reporting (actual vs. replan vs. forecast)</w:t>
      </w:r>
    </w:p>
    <w:p>
      <w:pPr>
        <w:pStyle w:val="ListBullet"/>
        <w:spacing w:after="40"/>
      </w:pPr>
      <w:r>
        <w:t>Natural language query accuracy and source attribution testing</w:t>
      </w:r>
    </w:p>
    <w:p>
      <w:pPr>
        <w:pStyle w:val="ListBullet"/>
        <w:spacing w:after="40"/>
      </w:pPr>
      <w:r>
        <w:t>Competitive intelligence module validation (themed summaries, P2P benchmarking, cross-reference)</w:t>
      </w:r>
    </w:p>
    <w:p>
      <w:pPr>
        <w:pStyle w:val="ListBullet"/>
        <w:spacing w:after="40"/>
      </w:pPr>
      <w:r>
        <w:t>Job board lifecycle, SLA compliance, and scheduling tests</w:t>
      </w:r>
    </w:p>
    <w:p>
      <w:pPr>
        <w:pStyle w:val="ListBullet"/>
        <w:spacing w:after="40"/>
      </w:pPr>
      <w:r>
        <w:t>Prompt-response pair validation for real data (user-provided expected results)</w:t>
      </w:r>
    </w:p>
    <w:p>
      <w:pPr>
        <w:pStyle w:val="ListBullet"/>
        <w:spacing w:after="40"/>
      </w:pPr>
      <w:r>
        <w:t>Regression detection by comparing current outputs against stored baselines</w:t>
      </w:r>
    </w:p>
    <w:p>
      <w:pPr>
        <w:pStyle w:val="ListBullet"/>
        <w:spacing w:after="40"/>
      </w:pPr>
      <w:r>
        <w:t>Test coverage reporting mapped to all 50 main SRS functional requirements</w:t>
      </w:r>
    </w:p>
    <w:p>
      <w:pPr>
        <w:pStyle w:val="ListBullet"/>
        <w:spacing w:after="40"/>
      </w:pPr>
      <w:r>
        <w:t>Test report generation in JSON, HTML, and PDF formats</w:t>
      </w:r>
    </w:p>
    <w:p>
      <w:pPr>
        <w:pStyle w:val="ListBullet"/>
        <w:spacing w:after="40"/>
      </w:pPr>
      <w:r>
        <w:t>Integration with CI/CD pipeline (GitHub Actions webhooks)</w:t>
      </w:r>
    </w:p>
    <w:p>
      <w:pPr>
        <w:pStyle w:val="ListBullet"/>
        <w:spacing w:after="40"/>
      </w:pPr>
      <w:r>
        <w:t>On-demand test execution via the FinIQ job board</w:t>
      </w:r>
    </w:p>
    <w:p>
      <w:pPr>
        <w:pStyle w:val="Heading3"/>
      </w:pPr>
      <w:r>
        <w:t>1.2.2 Out of Scope</w:t>
      </w:r>
    </w:p>
    <w:p>
      <w:pPr>
        <w:pStyle w:val="ListBullet"/>
        <w:spacing w:after="40"/>
      </w:pPr>
      <w:r>
        <w:t>Performance and load testing (separate concern, not covered by this agent)</w:t>
      </w:r>
    </w:p>
    <w:p>
      <w:pPr>
        <w:pStyle w:val="ListBullet"/>
        <w:spacing w:after="40"/>
      </w:pPr>
      <w:r>
        <w:t>Security penetration testing (separate concern)</w:t>
      </w:r>
    </w:p>
    <w:p>
      <w:pPr>
        <w:pStyle w:val="ListBullet"/>
        <w:spacing w:after="40"/>
      </w:pPr>
      <w:r>
        <w:t>UI/UX visual testing and accessibility auditing (separate concern)</w:t>
      </w:r>
    </w:p>
    <w:p>
      <w:pPr>
        <w:pStyle w:val="ListBullet"/>
        <w:spacing w:after="40"/>
      </w:pPr>
      <w:r>
        <w:t>Test case authoring tools (test cases are managed externally and provided to the agent)</w:t>
      </w:r>
    </w:p>
    <w:p>
      <w:pPr>
        <w:pStyle w:val="Heading2"/>
      </w:pPr>
      <w:r>
        <w:t>1.3 Definitions, Acronyms, and Abbreviations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Term</w:t>
            </w:r>
          </w:p>
        </w:tc>
        <w:tc>
          <w:tcPr>
            <w:tcW w:type="dxa" w:w="6480"/>
            <w:shd w:fill="1A56DB"/>
          </w:tcPr>
          <w:p>
            <w:r/>
            <w:r>
              <w:rPr>
                <w:rFonts w:ascii="Calibri" w:hAnsi="Calibri"/>
                <w:b/>
                <w:color w:val="FFFFFF"/>
                <w:sz w:val="20"/>
              </w:rPr>
              <w:t>Definition</w:t>
            </w:r>
          </w:p>
        </w:tc>
      </w:tr>
      <w:tr>
        <w:tc>
          <w:tcPr>
            <w:tcW w:type="dxa" w:w="2880"/>
          </w:tcPr>
          <w:p>
            <w:r/>
            <w:r>
              <w:rPr>
                <w:rFonts w:ascii="Calibri" w:hAnsi="Calibri"/>
                <w:color w:val="333333"/>
                <w:sz w:val="18"/>
              </w:rPr>
              <w:t>Testing Agent</w:t>
            </w:r>
          </w:p>
        </w:tc>
        <w:tc>
          <w:tcPr>
            <w:tcW w:type="dxa" w:w="6480"/>
          </w:tcPr>
          <w:p>
            <w:r/>
            <w:r>
              <w:rPr>
                <w:rFonts w:ascii="Calibri" w:hAnsi="Calibri"/>
                <w:color w:val="333333"/>
                <w:sz w:val="18"/>
              </w:rPr>
              <w:t>The specialized AI agent defined by this SRS that validates FinIQ platform correctness</w:t>
            </w:r>
          </w:p>
        </w:tc>
      </w:tr>
      <w:tr>
        <w:tc>
          <w:tcPr>
            <w:tcW w:type="dxa" w:w="2880"/>
            <w:shd w:fill="F2F6FC"/>
          </w:tcPr>
          <w:p>
            <w:r/>
            <w:r>
              <w:rPr>
                <w:rFonts w:ascii="Calibri" w:hAnsi="Calibri"/>
                <w:color w:val="333333"/>
                <w:sz w:val="18"/>
              </w:rPr>
              <w:t>Test Case</w:t>
            </w:r>
          </w:p>
        </w:tc>
        <w:tc>
          <w:tcPr>
            <w:tcW w:type="dxa" w:w="6480"/>
            <w:shd w:fill="F2F6FC"/>
          </w:tcPr>
          <w:p>
            <w:r/>
            <w:r>
              <w:rPr>
                <w:rFonts w:ascii="Calibri" w:hAnsi="Calibri"/>
                <w:color w:val="333333"/>
                <w:sz w:val="18"/>
              </w:rPr>
              <w:t>A single unit of validation consisting of inputs, execution steps, and expected results</w:t>
            </w:r>
          </w:p>
        </w:tc>
      </w:tr>
      <w:tr>
        <w:tc>
          <w:tcPr>
            <w:tcW w:type="dxa" w:w="2880"/>
          </w:tcPr>
          <w:p>
            <w:r/>
            <w:r>
              <w:rPr>
                <w:rFonts w:ascii="Calibri" w:hAnsi="Calibri"/>
                <w:color w:val="333333"/>
                <w:sz w:val="18"/>
              </w:rPr>
              <w:t>Test Suite</w:t>
            </w:r>
          </w:p>
        </w:tc>
        <w:tc>
          <w:tcPr>
            <w:tcW w:type="dxa" w:w="6480"/>
          </w:tcPr>
          <w:p>
            <w:r/>
            <w:r>
              <w:rPr>
                <w:rFonts w:ascii="Calibri" w:hAnsi="Calibri"/>
                <w:color w:val="333333"/>
                <w:sz w:val="18"/>
              </w:rPr>
              <w:t>An ordered collection of test cases grouped by functional area</w:t>
            </w:r>
          </w:p>
        </w:tc>
      </w:tr>
      <w:tr>
        <w:tc>
          <w:tcPr>
            <w:tcW w:type="dxa" w:w="2880"/>
            <w:shd w:fill="F2F6FC"/>
          </w:tcPr>
          <w:p>
            <w:r/>
            <w:r>
              <w:rPr>
                <w:rFonts w:ascii="Calibri" w:hAnsi="Calibri"/>
                <w:color w:val="333333"/>
                <w:sz w:val="18"/>
              </w:rPr>
              <w:t>Expected Result</w:t>
            </w:r>
          </w:p>
        </w:tc>
        <w:tc>
          <w:tcPr>
            <w:tcW w:type="dxa" w:w="6480"/>
            <w:shd w:fill="F2F6FC"/>
          </w:tcPr>
          <w:p>
            <w:r/>
            <w:r>
              <w:rPr>
                <w:rFonts w:ascii="Calibri" w:hAnsi="Calibri"/>
                <w:color w:val="333333"/>
                <w:sz w:val="18"/>
              </w:rPr>
              <w:t>The correct output for a given test case, either computed from synthetic data or provided by the user</w:t>
            </w:r>
          </w:p>
        </w:tc>
      </w:tr>
      <w:tr>
        <w:tc>
          <w:tcPr>
            <w:tcW w:type="dxa" w:w="2880"/>
          </w:tcPr>
          <w:p>
            <w:r/>
            <w:r>
              <w:rPr>
                <w:rFonts w:ascii="Calibri" w:hAnsi="Calibri"/>
                <w:color w:val="333333"/>
                <w:sz w:val="18"/>
              </w:rPr>
              <w:t>Actual Result</w:t>
            </w:r>
          </w:p>
        </w:tc>
        <w:tc>
          <w:tcPr>
            <w:tcW w:type="dxa" w:w="6480"/>
          </w:tcPr>
          <w:p>
            <w:r/>
            <w:r>
              <w:rPr>
                <w:rFonts w:ascii="Calibri" w:hAnsi="Calibri"/>
                <w:color w:val="333333"/>
                <w:sz w:val="18"/>
              </w:rPr>
              <w:t>The output produced by FinIQ during test execution</w:t>
            </w:r>
          </w:p>
        </w:tc>
      </w:tr>
      <w:tr>
        <w:tc>
          <w:tcPr>
            <w:tcW w:type="dxa" w:w="2880"/>
            <w:shd w:fill="F2F6FC"/>
          </w:tcPr>
          <w:p>
            <w:r/>
            <w:r>
              <w:rPr>
                <w:rFonts w:ascii="Calibri" w:hAnsi="Calibri"/>
                <w:color w:val="333333"/>
                <w:sz w:val="18"/>
              </w:rPr>
              <w:t>Simulated Mode</w:t>
            </w:r>
          </w:p>
        </w:tc>
        <w:tc>
          <w:tcPr>
            <w:tcW w:type="dxa" w:w="6480"/>
            <w:shd w:fill="F2F6FC"/>
          </w:tcPr>
          <w:p>
            <w:r/>
            <w:r>
              <w:rPr>
                <w:rFonts w:ascii="Calibri" w:hAnsi="Calibri"/>
                <w:color w:val="333333"/>
                <w:sz w:val="18"/>
              </w:rPr>
              <w:t>Testing mode using synthetic data (finiq_synthetic.db or Databricks workspace.default) with deterministic expected values</w:t>
            </w:r>
          </w:p>
        </w:tc>
      </w:tr>
      <w:tr>
        <w:tc>
          <w:tcPr>
            <w:tcW w:type="dxa" w:w="2880"/>
          </w:tcPr>
          <w:p>
            <w:r/>
            <w:r>
              <w:rPr>
                <w:rFonts w:ascii="Calibri" w:hAnsi="Calibri"/>
                <w:color w:val="333333"/>
                <w:sz w:val="18"/>
              </w:rPr>
              <w:t>Real Mode</w:t>
            </w:r>
          </w:p>
        </w:tc>
        <w:tc>
          <w:tcPr>
            <w:tcW w:type="dxa" w:w="6480"/>
          </w:tcPr>
          <w:p>
            <w:r/>
            <w:r>
              <w:rPr>
                <w:rFonts w:ascii="Calibri" w:hAnsi="Calibri"/>
                <w:color w:val="333333"/>
                <w:sz w:val="18"/>
              </w:rPr>
              <w:t>Testing mode using production Databricks data with user-provided prompt-response pairs as expected results</w:t>
            </w:r>
          </w:p>
        </w:tc>
      </w:tr>
      <w:tr>
        <w:tc>
          <w:tcPr>
            <w:tcW w:type="dxa" w:w="2880"/>
            <w:shd w:fill="F2F6FC"/>
          </w:tcPr>
          <w:p>
            <w:r/>
            <w:r>
              <w:rPr>
                <w:rFonts w:ascii="Calibri" w:hAnsi="Calibri"/>
                <w:color w:val="333333"/>
                <w:sz w:val="18"/>
              </w:rPr>
              <w:t>Regression</w:t>
            </w:r>
          </w:p>
        </w:tc>
        <w:tc>
          <w:tcPr>
            <w:tcW w:type="dxa" w:w="6480"/>
            <w:shd w:fill="F2F6FC"/>
          </w:tcPr>
          <w:p>
            <w:r/>
            <w:r>
              <w:rPr>
                <w:rFonts w:ascii="Calibri" w:hAnsi="Calibri"/>
                <w:color w:val="333333"/>
                <w:sz w:val="18"/>
              </w:rPr>
              <w:t>A defect where previously correct behavior becomes incorrect after a code or data change</w:t>
            </w:r>
          </w:p>
        </w:tc>
      </w:tr>
      <w:tr>
        <w:tc>
          <w:tcPr>
            <w:tcW w:type="dxa" w:w="2880"/>
          </w:tcPr>
          <w:p>
            <w:r/>
            <w:r>
              <w:rPr>
                <w:rFonts w:ascii="Calibri" w:hAnsi="Calibri"/>
                <w:color w:val="333333"/>
                <w:sz w:val="18"/>
              </w:rPr>
              <w:t>Coverage</w:t>
            </w:r>
          </w:p>
        </w:tc>
        <w:tc>
          <w:tcPr>
            <w:tcW w:type="dxa" w:w="6480"/>
          </w:tcPr>
          <w:p>
            <w:r/>
            <w:r>
              <w:rPr>
                <w:rFonts w:ascii="Calibri" w:hAnsi="Calibri"/>
                <w:color w:val="333333"/>
                <w:sz w:val="18"/>
              </w:rPr>
              <w:t>The percentage of main SRS functional requirements that have at least one mapped test case</w:t>
            </w:r>
          </w:p>
        </w:tc>
      </w:tr>
      <w:tr>
        <w:tc>
          <w:tcPr>
            <w:tcW w:type="dxa" w:w="2880"/>
            <w:shd w:fill="F2F6FC"/>
          </w:tcPr>
          <w:p>
            <w:r/>
            <w:r>
              <w:rPr>
                <w:rFonts w:ascii="Calibri" w:hAnsi="Calibri"/>
                <w:color w:val="333333"/>
                <w:sz w:val="18"/>
              </w:rPr>
              <w:t>Prompt-Response Pair</w:t>
            </w:r>
          </w:p>
        </w:tc>
        <w:tc>
          <w:tcPr>
            <w:tcW w:type="dxa" w:w="6480"/>
            <w:shd w:fill="F2F6FC"/>
          </w:tcPr>
          <w:p>
            <w:r/>
            <w:r>
              <w:rPr>
                <w:rFonts w:ascii="Calibri" w:hAnsi="Calibri"/>
                <w:color w:val="333333"/>
                <w:sz w:val="18"/>
              </w:rPr>
              <w:t>A JSON structure pairing a natural language prompt with its expected output, used in real data mode</w:t>
            </w:r>
          </w:p>
        </w:tc>
      </w:tr>
      <w:tr>
        <w:tc>
          <w:tcPr>
            <w:tcW w:type="dxa" w:w="2880"/>
          </w:tcPr>
          <w:p>
            <w:r/>
            <w:r>
              <w:rPr>
                <w:rFonts w:ascii="Calibri" w:hAnsi="Calibri"/>
                <w:color w:val="333333"/>
                <w:sz w:val="18"/>
              </w:rPr>
              <w:t>Golden Dataset</w:t>
            </w:r>
          </w:p>
        </w:tc>
        <w:tc>
          <w:tcPr>
            <w:tcW w:type="dxa" w:w="6480"/>
          </w:tcPr>
          <w:p>
            <w:r/>
            <w:r>
              <w:rPr>
                <w:rFonts w:ascii="Calibri" w:hAnsi="Calibri"/>
                <w:color w:val="333333"/>
                <w:sz w:val="18"/>
              </w:rPr>
              <w:t>A versioned, approved set of expected outputs used as the baseline for regression detection</w:t>
            </w:r>
          </w:p>
        </w:tc>
      </w:tr>
      <w:tr>
        <w:tc>
          <w:tcPr>
            <w:tcW w:type="dxa" w:w="2880"/>
            <w:shd w:fill="F2F6FC"/>
          </w:tcPr>
          <w:p>
            <w:r/>
            <w:r>
              <w:rPr>
                <w:rFonts w:ascii="Calibri" w:hAnsi="Calibri"/>
                <w:color w:val="333333"/>
                <w:sz w:val="18"/>
              </w:rPr>
              <w:t>Tolerance Threshold</w:t>
            </w:r>
          </w:p>
        </w:tc>
        <w:tc>
          <w:tcPr>
            <w:tcW w:type="dxa" w:w="6480"/>
            <w:shd w:fill="F2F6FC"/>
          </w:tcPr>
          <w:p>
            <w:r/>
            <w:r>
              <w:rPr>
                <w:rFonts w:ascii="Calibri" w:hAnsi="Calibri"/>
                <w:color w:val="333333"/>
                <w:sz w:val="18"/>
              </w:rPr>
              <w:t>The maximum acceptable deviation between expected and actual numeric values (default: 0.01%)</w:t>
            </w:r>
          </w:p>
        </w:tc>
      </w:tr>
      <w:tr>
        <w:tc>
          <w:tcPr>
            <w:tcW w:type="dxa" w:w="2880"/>
          </w:tcPr>
          <w:p>
            <w:r/>
            <w:r>
              <w:rPr>
                <w:rFonts w:ascii="Calibri" w:hAnsi="Calibri"/>
                <w:color w:val="333333"/>
                <w:sz w:val="18"/>
              </w:rPr>
              <w:t>PES</w:t>
            </w:r>
          </w:p>
        </w:tc>
        <w:tc>
          <w:tcPr>
            <w:tcW w:type="dxa" w:w="6480"/>
          </w:tcPr>
          <w:p>
            <w:r/>
            <w:r>
              <w:rPr>
                <w:rFonts w:ascii="Calibri" w:hAnsi="Calibri"/>
                <w:color w:val="333333"/>
                <w:sz w:val="18"/>
              </w:rPr>
              <w:t>Period End Summary — AI-generated executive performance narratives</w:t>
            </w:r>
          </w:p>
        </w:tc>
      </w:tr>
      <w:tr>
        <w:tc>
          <w:tcPr>
            <w:tcW w:type="dxa" w:w="2880"/>
            <w:shd w:fill="F2F6FC"/>
          </w:tcPr>
          <w:p>
            <w:r/>
            <w:r>
              <w:rPr>
                <w:rFonts w:ascii="Calibri" w:hAnsi="Calibri"/>
                <w:color w:val="333333"/>
                <w:sz w:val="18"/>
              </w:rPr>
              <w:t>KPI</w:t>
            </w:r>
          </w:p>
        </w:tc>
        <w:tc>
          <w:tcPr>
            <w:tcW w:type="dxa" w:w="6480"/>
            <w:shd w:fill="F2F6FC"/>
          </w:tcPr>
          <w:p>
            <w:r/>
            <w:r>
              <w:rPr>
                <w:rFonts w:ascii="Calibri" w:hAnsi="Calibri"/>
                <w:color w:val="333333"/>
                <w:sz w:val="18"/>
              </w:rPr>
              <w:t>Key Performance Indicator</w:t>
            </w:r>
          </w:p>
        </w:tc>
      </w:tr>
      <w:tr>
        <w:tc>
          <w:tcPr>
            <w:tcW w:type="dxa" w:w="2880"/>
          </w:tcPr>
          <w:p>
            <w:r/>
            <w:r>
              <w:rPr>
                <w:rFonts w:ascii="Calibri" w:hAnsi="Calibri"/>
                <w:color w:val="333333"/>
                <w:sz w:val="18"/>
              </w:rPr>
              <w:t>P2P</w:t>
            </w:r>
          </w:p>
        </w:tc>
        <w:tc>
          <w:tcPr>
            <w:tcW w:type="dxa" w:w="6480"/>
          </w:tcPr>
          <w:p>
            <w:r/>
            <w:r>
              <w:rPr>
                <w:rFonts w:ascii="Calibri" w:hAnsi="Calibri"/>
                <w:color w:val="333333"/>
                <w:sz w:val="18"/>
              </w:rPr>
              <w:t>Peer-to-Peer benchmarking (competitive comparison tables)</w:t>
            </w:r>
          </w:p>
        </w:tc>
      </w:tr>
      <w:tr>
        <w:tc>
          <w:tcPr>
            <w:tcW w:type="dxa" w:w="2880"/>
            <w:shd w:fill="F2F6FC"/>
          </w:tcPr>
          <w:p>
            <w:r/>
            <w:r>
              <w:rPr>
                <w:rFonts w:ascii="Calibri" w:hAnsi="Calibri"/>
                <w:color w:val="333333"/>
                <w:sz w:val="18"/>
              </w:rPr>
              <w:t>CI/CD</w:t>
            </w:r>
          </w:p>
        </w:tc>
        <w:tc>
          <w:tcPr>
            <w:tcW w:type="dxa" w:w="6480"/>
            <w:shd w:fill="F2F6FC"/>
          </w:tcPr>
          <w:p>
            <w:r/>
            <w:r>
              <w:rPr>
                <w:rFonts w:ascii="Calibri" w:hAnsi="Calibri"/>
                <w:color w:val="333333"/>
                <w:sz w:val="18"/>
              </w:rPr>
              <w:t>Continuous Integration / Continuous Deployment</w:t>
            </w:r>
          </w:p>
        </w:tc>
      </w:tr>
      <w:tr>
        <w:tc>
          <w:tcPr>
            <w:tcW w:type="dxa" w:w="2880"/>
          </w:tcPr>
          <w:p>
            <w:r/>
            <w:r>
              <w:rPr>
                <w:rFonts w:ascii="Calibri" w:hAnsi="Calibri"/>
                <w:color w:val="333333"/>
                <w:sz w:val="18"/>
              </w:rPr>
              <w:t>SLA</w:t>
            </w:r>
          </w:p>
        </w:tc>
        <w:tc>
          <w:tcPr>
            <w:tcW w:type="dxa" w:w="6480"/>
          </w:tcPr>
          <w:p>
            <w:r/>
            <w:r>
              <w:rPr>
                <w:rFonts w:ascii="Calibri" w:hAnsi="Calibri"/>
                <w:color w:val="333333"/>
                <w:sz w:val="18"/>
              </w:rPr>
              <w:t>Service Level Agreement</w:t>
            </w:r>
          </w:p>
        </w:tc>
      </w:tr>
      <w:tr>
        <w:tc>
          <w:tcPr>
            <w:tcW w:type="dxa" w:w="2880"/>
            <w:shd w:fill="F2F6FC"/>
          </w:tcPr>
          <w:p>
            <w:r/>
            <w:r>
              <w:rPr>
                <w:rFonts w:ascii="Calibri" w:hAnsi="Calibri"/>
                <w:color w:val="333333"/>
                <w:sz w:val="18"/>
              </w:rPr>
              <w:t>FR</w:t>
            </w:r>
          </w:p>
        </w:tc>
        <w:tc>
          <w:tcPr>
            <w:tcW w:type="dxa" w:w="6480"/>
            <w:shd w:fill="F2F6FC"/>
          </w:tcPr>
          <w:p>
            <w:r/>
            <w:r>
              <w:rPr>
                <w:rFonts w:ascii="Calibri" w:hAnsi="Calibri"/>
                <w:color w:val="333333"/>
                <w:sz w:val="18"/>
              </w:rPr>
              <w:t>Functional Requirement (from main FinIQ SRS)</w:t>
            </w:r>
          </w:p>
        </w:tc>
      </w:tr>
      <w:tr>
        <w:tc>
          <w:tcPr>
            <w:tcW w:type="dxa" w:w="2880"/>
          </w:tcPr>
          <w:p>
            <w:r/>
            <w:r>
              <w:rPr>
                <w:rFonts w:ascii="Calibri" w:hAnsi="Calibri"/>
                <w:color w:val="333333"/>
                <w:sz w:val="18"/>
              </w:rPr>
              <w:t>TR</w:t>
            </w:r>
          </w:p>
        </w:tc>
        <w:tc>
          <w:tcPr>
            <w:tcW w:type="dxa" w:w="6480"/>
          </w:tcPr>
          <w:p>
            <w:r/>
            <w:r>
              <w:rPr>
                <w:rFonts w:ascii="Calibri" w:hAnsi="Calibri"/>
                <w:color w:val="333333"/>
                <w:sz w:val="18"/>
              </w:rPr>
              <w:t>Test Requirement (defined in this SRS)</w:t>
            </w:r>
          </w:p>
        </w:tc>
      </w:tr>
    </w:tbl>
    <w:p/>
    <w:p>
      <w:pPr>
        <w:pStyle w:val="Heading2"/>
      </w:pPr>
      <w:r>
        <w:t>1.4 References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600"/>
            <w:shd w:fill="1A56DB"/>
          </w:tcPr>
          <w:p>
            <w:r/>
            <w:r>
              <w:rPr>
                <w:rFonts w:ascii="Calibri" w:hAnsi="Calibri"/>
                <w:b/>
                <w:color w:val="FFFFFF"/>
                <w:sz w:val="20"/>
              </w:rPr>
              <w:t>Reference</w:t>
            </w:r>
          </w:p>
        </w:tc>
        <w:tc>
          <w:tcPr>
            <w:tcW w:type="dxa" w:w="5760"/>
            <w:shd w:fill="1A56DB"/>
          </w:tcPr>
          <w:p>
            <w:r/>
            <w:r>
              <w:rPr>
                <w:rFonts w:ascii="Calibri" w:hAnsi="Calibri"/>
                <w:b/>
                <w:color w:val="FFFFFF"/>
                <w:sz w:val="20"/>
              </w:rPr>
              <w:t>Description</w:t>
            </w:r>
          </w:p>
        </w:tc>
      </w:tr>
      <w:tr>
        <w:tc>
          <w:tcPr>
            <w:tcW w:type="dxa" w:w="3600"/>
          </w:tcPr>
          <w:p>
            <w:r/>
            <w:r>
              <w:rPr>
                <w:rFonts w:ascii="Calibri" w:hAnsi="Calibri"/>
                <w:color w:val="333333"/>
                <w:sz w:val="18"/>
              </w:rPr>
              <w:t>Amira FinIQ SRS v3.0</w:t>
            </w:r>
          </w:p>
        </w:tc>
        <w:tc>
          <w:tcPr>
            <w:tcW w:type="dxa" w:w="5760"/>
          </w:tcPr>
          <w:p>
            <w:r/>
            <w:r>
              <w:rPr>
                <w:rFonts w:ascii="Calibri" w:hAnsi="Calibri"/>
                <w:color w:val="333333"/>
                <w:sz w:val="18"/>
              </w:rPr>
              <w:t>Base functional requirements specification (50 FRs across FR1–FR8)</w:t>
            </w:r>
          </w:p>
        </w:tc>
      </w:tr>
      <w:tr>
        <w:tc>
          <w:tcPr>
            <w:tcW w:type="dxa" w:w="3600"/>
            <w:shd w:fill="F2F6FC"/>
          </w:tcPr>
          <w:p>
            <w:r/>
            <w:r>
              <w:rPr>
                <w:rFonts w:ascii="Calibri" w:hAnsi="Calibri"/>
                <w:color w:val="333333"/>
                <w:sz w:val="18"/>
              </w:rPr>
              <w:t>FinIQ Databricks Schema Reference</w:t>
            </w:r>
          </w:p>
        </w:tc>
        <w:tc>
          <w:tcPr>
            <w:tcW w:type="dxa" w:w="5760"/>
            <w:shd w:fill="F2F6FC"/>
          </w:tcPr>
          <w:p>
            <w:r/>
            <w:r>
              <w:rPr>
                <w:rFonts w:ascii="Calibri" w:hAnsi="Calibri"/>
                <w:color w:val="333333"/>
                <w:sz w:val="18"/>
              </w:rPr>
              <w:t>Comprehensive reference for all 20 finiq_ tables/views</w:t>
            </w:r>
          </w:p>
        </w:tc>
      </w:tr>
      <w:tr>
        <w:tc>
          <w:tcPr>
            <w:tcW w:type="dxa" w:w="3600"/>
          </w:tcPr>
          <w:p>
            <w:r/>
            <w:r>
              <w:rPr>
                <w:rFonts w:ascii="Calibri" w:hAnsi="Calibri"/>
                <w:color w:val="333333"/>
                <w:sz w:val="18"/>
              </w:rPr>
              <w:t>FinIQ SRS Addendum A</w:t>
            </w:r>
          </w:p>
        </w:tc>
        <w:tc>
          <w:tcPr>
            <w:tcW w:type="dxa" w:w="5760"/>
          </w:tcPr>
          <w:p>
            <w:r/>
            <w:r>
              <w:rPr>
                <w:rFonts w:ascii="Calibri" w:hAnsi="Calibri"/>
                <w:color w:val="333333"/>
                <w:sz w:val="18"/>
              </w:rPr>
              <w:t>Databricks Integration addendum (4 amended + 4 new requirements)</w:t>
            </w:r>
          </w:p>
        </w:tc>
      </w:tr>
      <w:tr>
        <w:tc>
          <w:tcPr>
            <w:tcW w:type="dxa" w:w="3600"/>
            <w:shd w:fill="F2F6FC"/>
          </w:tcPr>
          <w:p>
            <w:r/>
            <w:r>
              <w:rPr>
                <w:rFonts w:ascii="Calibri" w:hAnsi="Calibri"/>
                <w:color w:val="333333"/>
                <w:sz w:val="18"/>
              </w:rPr>
              <w:t>IEEE 829-2008</w:t>
            </w:r>
          </w:p>
        </w:tc>
        <w:tc>
          <w:tcPr>
            <w:tcW w:type="dxa" w:w="5760"/>
            <w:shd w:fill="F2F6FC"/>
          </w:tcPr>
          <w:p>
            <w:r/>
            <w:r>
              <w:rPr>
                <w:rFonts w:ascii="Calibri" w:hAnsi="Calibri"/>
                <w:color w:val="333333"/>
                <w:sz w:val="18"/>
              </w:rPr>
              <w:t>Standard for Software and System Test Documentation</w:t>
            </w:r>
          </w:p>
        </w:tc>
      </w:tr>
      <w:tr>
        <w:tc>
          <w:tcPr>
            <w:tcW w:type="dxa" w:w="3600"/>
          </w:tcPr>
          <w:p>
            <w:r/>
            <w:r>
              <w:rPr>
                <w:rFonts w:ascii="Calibri" w:hAnsi="Calibri"/>
                <w:color w:val="333333"/>
                <w:sz w:val="18"/>
              </w:rPr>
              <w:t>IEEE 830-1998</w:t>
            </w:r>
          </w:p>
        </w:tc>
        <w:tc>
          <w:tcPr>
            <w:tcW w:type="dxa" w:w="5760"/>
          </w:tcPr>
          <w:p>
            <w:r/>
            <w:r>
              <w:rPr>
                <w:rFonts w:ascii="Calibri" w:hAnsi="Calibri"/>
                <w:color w:val="333333"/>
                <w:sz w:val="18"/>
              </w:rPr>
              <w:t>Recommended Practice for Software Requirements Specifications</w:t>
            </w:r>
          </w:p>
        </w:tc>
      </w:tr>
      <w:tr>
        <w:tc>
          <w:tcPr>
            <w:tcW w:type="dxa" w:w="3600"/>
            <w:shd w:fill="F2F6FC"/>
          </w:tcPr>
          <w:p>
            <w:r/>
            <w:r>
              <w:rPr>
                <w:rFonts w:ascii="Calibri" w:hAnsi="Calibri"/>
                <w:color w:val="333333"/>
                <w:sz w:val="18"/>
              </w:rPr>
              <w:t>ISO/IEC/IEEE 29148:2018</w:t>
            </w:r>
          </w:p>
        </w:tc>
        <w:tc>
          <w:tcPr>
            <w:tcW w:type="dxa" w:w="5760"/>
            <w:shd w:fill="F2F6FC"/>
          </w:tcPr>
          <w:p>
            <w:r/>
            <w:r>
              <w:rPr>
                <w:rFonts w:ascii="Calibri" w:hAnsi="Calibri"/>
                <w:color w:val="333333"/>
                <w:sz w:val="18"/>
              </w:rPr>
              <w:t>Systems and software engineering — Life cycle processes — Requirements engineering</w:t>
            </w:r>
          </w:p>
        </w:tc>
      </w:tr>
      <w:tr>
        <w:tc>
          <w:tcPr>
            <w:tcW w:type="dxa" w:w="3600"/>
          </w:tcPr>
          <w:p>
            <w:r/>
            <w:r>
              <w:rPr>
                <w:rFonts w:ascii="Calibri" w:hAnsi="Calibri"/>
                <w:color w:val="333333"/>
                <w:sz w:val="18"/>
              </w:rPr>
              <w:t>finiq_synthetic.db</w:t>
            </w:r>
          </w:p>
        </w:tc>
        <w:tc>
          <w:tcPr>
            <w:tcW w:type="dxa" w:w="5760"/>
          </w:tcPr>
          <w:p>
            <w:r/>
            <w:r>
              <w:rPr>
                <w:rFonts w:ascii="Calibri" w:hAnsi="Calibri"/>
                <w:color w:val="333333"/>
                <w:sz w:val="18"/>
              </w:rPr>
              <w:t>SQLite synthetic data file (local development mode)</w:t>
            </w:r>
          </w:p>
        </w:tc>
      </w:tr>
      <w:tr>
        <w:tc>
          <w:tcPr>
            <w:tcW w:type="dxa" w:w="3600"/>
            <w:shd w:fill="F2F6FC"/>
          </w:tcPr>
          <w:p>
            <w:r/>
            <w:r>
              <w:rPr>
                <w:rFonts w:ascii="Calibri" w:hAnsi="Calibri"/>
                <w:color w:val="333333"/>
                <w:sz w:val="18"/>
              </w:rPr>
              <w:t>Databricks workspace.default</w:t>
            </w:r>
          </w:p>
        </w:tc>
        <w:tc>
          <w:tcPr>
            <w:tcW w:type="dxa" w:w="5760"/>
            <w:shd w:fill="F2F6FC"/>
          </w:tcPr>
          <w:p>
            <w:r/>
            <w:r>
              <w:rPr>
                <w:rFonts w:ascii="Calibri" w:hAnsi="Calibri"/>
                <w:color w:val="333333"/>
                <w:sz w:val="18"/>
              </w:rPr>
              <w:t>Synthetic data catalog in Databricks (cloud development mode)</w:t>
            </w:r>
          </w:p>
        </w:tc>
      </w:tr>
    </w:tbl>
    <w:p/>
    <w:p>
      <w:pPr>
        <w:pStyle w:val="Heading2"/>
      </w:pPr>
      <w:r>
        <w:t>1.5 Document Overview</w:t>
      </w:r>
    </w:p>
    <w:p>
      <w:pPr>
        <w:spacing w:after="120"/>
      </w:pPr>
      <w:r>
        <w:t>This document is organized into six sections plus appendices. Section 1 introduces the Testing Agent's purpose and scope. Section 2 describes the overall product context, user characteristics, and constraints. Section 3 specifies the detailed functional and non-functional requirements (TR1–TR9, 31 test requirements). Section 4 describes the test data architecture for both simulated and real modes. Section 5 provides the test case matrix mapping main SRS requirements to test requirements. Section 6 defines acceptance criteria for the Testing Agent itself. Appendices provide the prompt-response pair template and simulated data summary.</w:t>
      </w:r>
    </w:p>
    <w:p>
      <w:r>
        <w:br w:type="page"/>
      </w:r>
    </w:p>
    <w:p>
      <w:pPr>
        <w:pStyle w:val="Heading1"/>
      </w:pPr>
      <w:r>
        <w:t>2. Overall Description</w:t>
      </w:r>
    </w:p>
    <w:p>
      <w:pPr>
        <w:pStyle w:val="Heading2"/>
      </w:pPr>
      <w:r>
        <w:t>2.1 Product Perspective</w:t>
      </w:r>
    </w:p>
    <w:p>
      <w:pPr>
        <w:spacing w:after="120"/>
      </w:pPr>
      <w:r>
        <w:t>The Testing Agent is one of the specialized agents in FinIQ's agent pool, alongside the PES Agent, CI Agent, NL Query Agent, and others. Unlike those agents, which serve user-facing queries, the Testing Agent validates the system itself. It connects to the same data sources as FinIQ (Databricks, Azure Blob Storage, Azure AI Search) but compares outputs against known expected results rather than delivering them to end users.</w:t>
      </w:r>
    </w:p>
    <w:p>
      <w:pPr>
        <w:spacing w:after="120"/>
      </w:pPr>
      <w:r>
        <w:t>The Testing Agent operates within FinIQ's existing architecture. It submits requests through the same API endpoints that users and other agents use, then intercepts and evaluates the responses. This approach ensures that tests exercise the full production code path, not a separate test harness.</w:t>
      </w:r>
    </w:p>
    <w:p>
      <w:pPr>
        <w:spacing w:after="120"/>
      </w:pPr>
      <w:r>
        <w:t>In simulated mode, the Testing Agent targets synthetic data with pre-computed expected values. In real mode, it targets production data using user-provided prompt-response pairs as ground truth. This dual-mode design mirrors FinIQ's own dual-mode architecture (development vs. production data sources).</w:t>
      </w:r>
    </w:p>
    <w:p>
      <w:pPr>
        <w:pStyle w:val="Heading2"/>
      </w:pPr>
      <w:r>
        <w:t>2.2 Product Functions</w:t>
      </w:r>
    </w:p>
    <w:p>
      <w:pPr>
        <w:spacing w:after="120"/>
      </w:pPr>
      <w:r>
        <w:t>The Testing Agent provides the following core capabilities:</w:t>
      </w:r>
    </w:p>
    <w:p>
      <w:pPr>
        <w:pStyle w:val="ListBullet"/>
        <w:spacing w:after="40"/>
      </w:pPr>
      <w:r>
        <w:t>Automated test execution against all FR groups (FR1–FR8, 50 functional requirements)</w:t>
      </w:r>
    </w:p>
    <w:p>
      <w:pPr>
        <w:pStyle w:val="ListBullet"/>
        <w:spacing w:after="40"/>
      </w:pPr>
      <w:r>
        <w:t>Dual-mode operation: simulated data (deterministic) and real data (user-validated)</w:t>
      </w:r>
    </w:p>
    <w:p>
      <w:pPr>
        <w:pStyle w:val="ListBullet"/>
        <w:spacing w:after="40"/>
      </w:pPr>
      <w:r>
        <w:t>Prompt-response validation for real data — users provide prompts with expected results, the agent compares actual output</w:t>
      </w:r>
    </w:p>
    <w:p>
      <w:pPr>
        <w:pStyle w:val="ListBullet"/>
        <w:spacing w:after="40"/>
      </w:pPr>
      <w:r>
        <w:t>Regression detection — compares current test outputs against stored baseline (golden dataset)</w:t>
      </w:r>
    </w:p>
    <w:p>
      <w:pPr>
        <w:pStyle w:val="ListBullet"/>
        <w:spacing w:after="40"/>
      </w:pPr>
      <w:r>
        <w:t>Test coverage reporting — maps every test case to its corresponding main SRS requirement</w:t>
      </w:r>
    </w:p>
    <w:p>
      <w:pPr>
        <w:pStyle w:val="ListBullet"/>
        <w:spacing w:after="40"/>
      </w:pPr>
      <w:r>
        <w:t>CI/CD integration — full regression suite runs automatically on every deployment to staging</w:t>
      </w:r>
    </w:p>
    <w:p>
      <w:pPr>
        <w:pStyle w:val="ListBullet"/>
        <w:spacing w:after="40"/>
      </w:pPr>
      <w:r>
        <w:t>On-demand test execution — individual tests or suites can be triggered via the FinIQ job board</w:t>
      </w:r>
    </w:p>
    <w:p>
      <w:pPr>
        <w:pStyle w:val="Heading2"/>
      </w:pPr>
      <w:r>
        <w:t>2.3 User Characteristics</w:t>
      </w:r>
    </w:p>
    <w:p>
      <w:pPr>
        <w:spacing w:after="120"/>
      </w:pPr>
      <w:r>
        <w:t>Three primary user types interact with the Testing Agent:</w:t>
      </w:r>
    </w:p>
    <w:p>
      <w:pPr>
        <w:spacing w:after="40"/>
      </w:pPr>
      <w:r>
        <w:rPr>
          <w:b/>
        </w:rPr>
        <w:t>QA Engineer</w:t>
      </w:r>
    </w:p>
    <w:p>
      <w:pPr>
        <w:spacing w:after="120"/>
      </w:pPr>
      <w:r>
        <w:t>Designs test cases, manages test suites, reviews test results, and maintains golden datasets. Has deep knowledge of FinIQ's functional requirements and expected behavior. Responsible for ensuring adequate test coverage across all FR groups.</w:t>
      </w:r>
    </w:p>
    <w:p>
      <w:pPr>
        <w:spacing w:after="40"/>
      </w:pPr>
      <w:r>
        <w:rPr>
          <w:b/>
        </w:rPr>
        <w:t>Developer</w:t>
      </w:r>
    </w:p>
    <w:p>
      <w:pPr>
        <w:spacing w:after="120"/>
      </w:pPr>
      <w:r>
        <w:t>Runs tests during development to verify changes, investigates test failures, and uses test results to guide debugging. Interacts with the Testing Agent primarily through CI/CD pipeline feedback and on-demand test execution.</w:t>
      </w:r>
    </w:p>
    <w:p>
      <w:pPr>
        <w:spacing w:after="40"/>
      </w:pPr>
      <w:r>
        <w:rPr>
          <w:b/>
        </w:rPr>
        <w:t>Product Owner</w:t>
      </w:r>
    </w:p>
    <w:p>
      <w:pPr>
        <w:spacing w:after="120"/>
      </w:pPr>
      <w:r>
        <w:t>Reviews coverage reports and test trend data to make release decisions. Uses test results as evidence that the platform meets acceptance criteria. Does not design or execute tests directly.</w:t>
      </w:r>
    </w:p>
    <w:p>
      <w:pPr>
        <w:pStyle w:val="Heading2"/>
      </w:pPr>
      <w:r>
        <w:t>2.4 Constraints</w:t>
      </w:r>
    </w:p>
    <w:p>
      <w:pPr>
        <w:pStyle w:val="ListBullet"/>
        <w:spacing w:after="40"/>
      </w:pPr>
      <w:r>
        <w:t>Must not modify production data — all operations are read-only against Databricks and other data stores</w:t>
      </w:r>
    </w:p>
    <w:p>
      <w:pPr>
        <w:pStyle w:val="ListBullet"/>
        <w:spacing w:after="40"/>
      </w:pPr>
      <w:r>
        <w:t>Must use read-only access credentials for all Databricks connections</w:t>
      </w:r>
    </w:p>
    <w:p>
      <w:pPr>
        <w:pStyle w:val="ListBullet"/>
        <w:spacing w:after="40"/>
      </w:pPr>
      <w:r>
        <w:t>Test execution time budget: full regression suite must complete within 30 minutes</w:t>
      </w:r>
    </w:p>
    <w:p>
      <w:pPr>
        <w:pStyle w:val="ListBullet"/>
        <w:spacing w:after="40"/>
      </w:pPr>
      <w:r>
        <w:t>Must support the same dual-mode toggle (simulated vs. real) as the main FinIQ application</w:t>
      </w:r>
    </w:p>
    <w:p>
      <w:pPr>
        <w:pStyle w:val="ListBullet"/>
        <w:spacing w:after="40"/>
      </w:pPr>
      <w:r>
        <w:t>Must not interfere with concurrent user operations on the FinIQ platform</w:t>
      </w:r>
    </w:p>
    <w:p>
      <w:pPr>
        <w:pStyle w:val="ListBullet"/>
        <w:spacing w:after="40"/>
      </w:pPr>
      <w:r>
        <w:t>Test reports must not include raw production data values — only pass/fail status and deviation metrics</w:t>
      </w:r>
    </w:p>
    <w:p>
      <w:pPr>
        <w:pStyle w:val="Heading2"/>
      </w:pPr>
      <w:r>
        <w:t>2.5 Assumptions</w:t>
      </w:r>
    </w:p>
    <w:p>
      <w:pPr>
        <w:pStyle w:val="ListBullet"/>
        <w:spacing w:after="40"/>
      </w:pPr>
      <w:r>
        <w:t>Synthetic data (finiq_synthetic.db for local, workspace.default for Databricks) is available and stable</w:t>
      </w:r>
    </w:p>
    <w:p>
      <w:pPr>
        <w:pStyle w:val="ListBullet"/>
        <w:spacing w:after="40"/>
      </w:pPr>
      <w:r>
        <w:t>Real data prompt-response pairs will be provided by the client/team — placeholder sections are included in this SRS</w:t>
      </w:r>
    </w:p>
    <w:p>
      <w:pPr>
        <w:pStyle w:val="ListBullet"/>
        <w:spacing w:after="40"/>
      </w:pPr>
      <w:r>
        <w:t>FinIQ API endpoints are accessible for integration testing in both development and staging environments</w:t>
      </w:r>
    </w:p>
    <w:p>
      <w:pPr>
        <w:pStyle w:val="ListBullet"/>
        <w:spacing w:after="40"/>
      </w:pPr>
      <w:r>
        <w:t>The FinIQ agent pool infrastructure is operational and can schedule Testing Agent jobs</w:t>
      </w:r>
    </w:p>
    <w:p>
      <w:pPr>
        <w:pStyle w:val="ListBullet"/>
        <w:spacing w:after="40"/>
      </w:pPr>
      <w:r>
        <w:t>Golden dataset baselines will be established during the initial test suite setup and updated through a controlled review process</w:t>
      </w:r>
    </w:p>
    <w:p>
      <w:pPr>
        <w:pStyle w:val="ListBullet"/>
        <w:spacing w:after="40"/>
      </w:pPr>
      <w:r>
        <w:t>CI/CD pipeline (GitHub Actions) is configured and accessible for webhook integration</w:t>
      </w:r>
    </w:p>
    <w:p>
      <w:r>
        <w:br w:type="page"/>
      </w:r>
    </w:p>
    <w:p>
      <w:pPr>
        <w:pStyle w:val="Heading1"/>
      </w:pPr>
      <w:r>
        <w:t>3. Specific Requirements</w:t>
      </w:r>
    </w:p>
    <w:p>
      <w:pPr>
        <w:pStyle w:val="Heading2"/>
      </w:pPr>
      <w:r>
        <w:t>3.1 External Interface Requirements</w:t>
      </w:r>
    </w:p>
    <w:p>
      <w:pPr>
        <w:pStyle w:val="Heading3"/>
      </w:pPr>
      <w:r>
        <w:t>3.1.1 FinIQ API Interface</w:t>
      </w:r>
    </w:p>
    <w:p>
      <w:pPr>
        <w:spacing w:after="120"/>
      </w:pPr>
      <w:r>
        <w:t>The Testing Agent connects to all FinIQ API endpoints defined in the main SRS Section 3.1.4 (Communications Interfaces). It issues requests identical to those made by end users and other agents, then captures and evaluates the responses.</w:t>
      </w:r>
    </w:p>
    <w:p>
      <w:pPr>
        <w:pStyle w:val="Heading3"/>
      </w:pPr>
      <w:r>
        <w:t>3.1.2 Databricks Interface</w:t>
      </w:r>
    </w:p>
    <w:p>
      <w:pPr>
        <w:spacing w:after="120"/>
      </w:pPr>
      <w:r>
        <w:t>The Testing Agent connects to the same Databricks workspace as FinIQ. In simulated mode, it targets workspace.default (synthetic data). In real mode, it targets corporate_finance_analytics_dev.finsight_core_model_mvp3. All connections use read-only credentials.</w:t>
      </w:r>
    </w:p>
    <w:p>
      <w:pPr>
        <w:pStyle w:val="Heading3"/>
      </w:pPr>
      <w:r>
        <w:t>3.1.3 Test Report Output</w:t>
      </w:r>
    </w:p>
    <w:p>
      <w:pPr>
        <w:spacing w:after="120"/>
      </w:pPr>
      <w:r>
        <w:t>The Testing Agent produces test reports in three formats: JSON (machine-readable, for CI/CD integration), HTML (human-readable, for browser viewing), and PDF (archival, for stakeholder distribution). All formats contain identical data: pass/fail results, execution times, error details, coverage metrics, and regression indicators.</w:t>
      </w:r>
    </w:p>
    <w:p>
      <w:pPr>
        <w:pStyle w:val="Heading3"/>
      </w:pPr>
      <w:r>
        <w:t>3.1.4 CI/CD Integration</w:t>
      </w:r>
    </w:p>
    <w:p>
      <w:pPr>
        <w:spacing w:after="120"/>
      </w:pPr>
      <w:r>
        <w:t>The Testing Agent integrates with GitHub Actions via webhooks. On each deployment to the staging environment, the CI/CD pipeline triggers a full regression suite execution. Results are reported back to the pipeline as pass/fail status with a link to the full HTML report.</w:t>
      </w:r>
    </w:p>
    <w:p>
      <w:pPr>
        <w:pStyle w:val="Heading2"/>
      </w:pPr>
      <w:r>
        <w:t>3.2 Functional Requirements</w:t>
      </w:r>
    </w:p>
    <w:p>
      <w:pPr>
        <w:spacing w:after="120"/>
      </w:pPr>
      <w:r>
        <w:rPr>
          <w:b/>
        </w:rPr>
        <w:t>This section defines 31 test requirements organized into 9 groups (TR1–TR9). Each requirement specifies a testable capability of the Testing Agent.</w:t>
      </w:r>
    </w:p>
    <w:p>
      <w:pPr>
        <w:pStyle w:val="Heading3"/>
      </w:pPr>
      <w:r>
        <w:t>3.2.1 TR1: Test Data Management</w:t>
      </w:r>
    </w:p>
    <w:p>
      <w:pPr>
        <w:spacing w:after="120"/>
      </w:pPr>
      <w:r>
        <w:t>4 requirements governing data source selection and golden dataset management.</w:t>
      </w:r>
    </w:p>
    <w:p>
      <w:pPr>
        <w:spacing w:after="80"/>
      </w:pPr>
      <w:r>
        <w:rPr>
          <w:b/>
          <w:color w:val="1A56DB"/>
          <w:sz w:val="22"/>
        </w:rPr>
        <w:t>TR1.1: Simulated Data Mode</w:t>
      </w:r>
    </w:p>
    <w:p>
      <w:pPr>
        <w:spacing w:after="40"/>
      </w:pPr>
      <w:r>
        <w:t>The Testing Agent shall connect to synthetic Databricks data (workspace.default catalog) or local SQLite (finiq_synthetic.db) based on environment configuration. All test cases in simulated mode shall execute against known synthetic data with deterministic expected values that are pre-computed from the synthetic dataset.</w:t>
      </w:r>
    </w:p>
    <w:p>
      <w:pPr>
        <w:spacing w:after="200"/>
      </w:pPr>
      <w:r>
        <w:rPr>
          <w:i/>
          <w:color w:val="666666"/>
          <w:sz w:val="18"/>
        </w:rPr>
        <w:t>Priority: Critical  |  Category: Functional</w:t>
      </w:r>
    </w:p>
    <w:p>
      <w:pPr>
        <w:spacing w:after="80"/>
      </w:pPr>
      <w:r>
        <w:rPr>
          <w:b/>
          <w:color w:val="1A56DB"/>
          <w:sz w:val="22"/>
        </w:rPr>
        <w:t>TR1.2: Real Data Mode</w:t>
      </w:r>
    </w:p>
    <w:p>
      <w:pPr>
        <w:spacing w:after="40"/>
      </w:pPr>
      <w:r>
        <w:t>The Testing Agent shall connect to real Databricks (corporate_finance_analytics_dev.finsight_core_model_mvp3) when configured for real data mode. Test cases in real mode shall use user-provided prompt-response pairs as expected results. Expected results are provided as input, not computed by the agent.</w:t>
      </w:r>
    </w:p>
    <w:p>
      <w:pPr>
        <w:spacing w:after="200"/>
      </w:pPr>
      <w:r>
        <w:rPr>
          <w:i/>
          <w:color w:val="666666"/>
          <w:sz w:val="18"/>
        </w:rPr>
        <w:t>Priority: Critical  |  Category: Functional</w:t>
      </w:r>
    </w:p>
    <w:p>
      <w:pPr>
        <w:spacing w:after="80"/>
      </w:pPr>
      <w:r>
        <w:rPr>
          <w:b/>
          <w:color w:val="1A56DB"/>
          <w:sz w:val="22"/>
        </w:rPr>
        <w:t>TR1.3: Mode Toggle</w:t>
      </w:r>
    </w:p>
    <w:p>
      <w:pPr>
        <w:spacing w:after="40"/>
      </w:pPr>
      <w:r>
        <w:t>The Testing Agent shall provide a single configuration switch to toggle between simulated and real data modes. The same test framework, test runner, and reporting infrastructure shall be used in both modes — only the data source and expected result source differ.</w:t>
      </w:r>
    </w:p>
    <w:p>
      <w:pPr>
        <w:spacing w:after="200"/>
      </w:pPr>
      <w:r>
        <w:rPr>
          <w:i/>
          <w:color w:val="666666"/>
          <w:sz w:val="18"/>
        </w:rPr>
        <w:t>Priority: High  |  Category: Functional</w:t>
      </w:r>
    </w:p>
    <w:p>
      <w:pPr>
        <w:spacing w:after="80"/>
      </w:pPr>
      <w:r>
        <w:rPr>
          <w:b/>
          <w:color w:val="1A56DB"/>
          <w:sz w:val="22"/>
        </w:rPr>
        <w:t>TR1.4: Golden Dataset Management</w:t>
      </w:r>
    </w:p>
    <w:p>
      <w:pPr>
        <w:spacing w:after="40"/>
      </w:pPr>
      <w:r>
        <w:t>The Testing Agent shall maintain versioned golden datasets containing expected outputs for each test case. Golden datasets shall be updatable through a controlled review workflow when requirements change. Full version history shall be preserved to support regression analysis across golden dataset versions.</w:t>
      </w:r>
    </w:p>
    <w:p>
      <w:pPr>
        <w:spacing w:after="200"/>
      </w:pPr>
      <w:r>
        <w:rPr>
          <w:i/>
          <w:color w:val="666666"/>
          <w:sz w:val="18"/>
        </w:rPr>
        <w:t>Priority: High  |  Category: Functional</w:t>
      </w:r>
    </w:p>
    <w:p>
      <w:pPr>
        <w:pStyle w:val="Heading3"/>
      </w:pPr>
      <w:r>
        <w:t>3.2.2 TR2: Period End Summary Testing</w:t>
      </w:r>
    </w:p>
    <w:p>
      <w:pPr>
        <w:spacing w:after="120"/>
      </w:pPr>
      <w:r>
        <w:t>5 requirements validating PES generation correctness.</w:t>
      </w:r>
    </w:p>
    <w:p>
      <w:pPr>
        <w:spacing w:after="80"/>
      </w:pPr>
      <w:r>
        <w:rPr>
          <w:b/>
          <w:color w:val="1A56DB"/>
          <w:sz w:val="22"/>
        </w:rPr>
        <w:t>TR2.1: PES Generation Validation</w:t>
      </w:r>
    </w:p>
    <w:p>
      <w:pPr>
        <w:spacing w:after="40"/>
      </w:pPr>
      <w:r>
        <w:t>For each of the 6 KPIs (Organic Growth, MAC Shape %, A&amp;CP Shape %, CE Shape %, Controllable Overhead Shape %, NCFO), the Testing Agent shall verify that generated narratives contain correct numerical values from the source data. Validation shall cover all three output formats: Summary, What's Working Well (WWW), and What's Not Working Well (WNWW).</w:t>
      </w:r>
    </w:p>
    <w:p>
      <w:pPr>
        <w:spacing w:after="200"/>
      </w:pPr>
      <w:r>
        <w:rPr>
          <w:i/>
          <w:color w:val="666666"/>
          <w:sz w:val="18"/>
        </w:rPr>
        <w:t>Priority: Critical  |  Category: Functional</w:t>
      </w:r>
    </w:p>
    <w:p>
      <w:pPr>
        <w:spacing w:after="80"/>
      </w:pPr>
      <w:r>
        <w:rPr>
          <w:b/>
          <w:color w:val="1A56DB"/>
          <w:sz w:val="22"/>
        </w:rPr>
        <w:t>TR2.2: KPI Accuracy</w:t>
      </w:r>
    </w:p>
    <w:p>
      <w:pPr>
        <w:spacing w:after="40"/>
      </w:pPr>
      <w:r>
        <w:t>The Testing Agent shall validate that each KPI value matches the source data within a configurable tolerance threshold (default: 0.01%). The tolerance shall be adjustable per test case to accommodate KPIs with different precision characteristics.</w:t>
      </w:r>
    </w:p>
    <w:p>
      <w:pPr>
        <w:spacing w:after="200"/>
      </w:pPr>
      <w:r>
        <w:rPr>
          <w:i/>
          <w:color w:val="666666"/>
          <w:sz w:val="18"/>
        </w:rPr>
        <w:t>Priority: Critical  |  Category: Functional</w:t>
      </w:r>
    </w:p>
    <w:p>
      <w:pPr>
        <w:spacing w:after="80"/>
      </w:pPr>
      <w:r>
        <w:rPr>
          <w:b/>
          <w:color w:val="1A56DB"/>
          <w:sz w:val="22"/>
        </w:rPr>
        <w:t>TR2.3: Sub-Unit Ranking Validation</w:t>
      </w:r>
    </w:p>
    <w:p>
      <w:pPr>
        <w:spacing w:after="40"/>
      </w:pPr>
      <w:r>
        <w:t>The Testing Agent shall verify that RANK 1, TOP 3, and BOTTOM 3 rankings for each KPI are correct by independently calculating rankings from the source data and comparing against the PES-generated rankings. Ties shall be handled according to the same ranking logic used by the PES Agent.</w:t>
      </w:r>
    </w:p>
    <w:p>
      <w:pPr>
        <w:spacing w:after="200"/>
      </w:pPr>
      <w:r>
        <w:rPr>
          <w:i/>
          <w:color w:val="666666"/>
          <w:sz w:val="18"/>
        </w:rPr>
        <w:t>Priority: High  |  Category: Functional</w:t>
      </w:r>
    </w:p>
    <w:p>
      <w:pPr>
        <w:spacing w:after="80"/>
      </w:pPr>
      <w:r>
        <w:rPr>
          <w:b/>
          <w:color w:val="1A56DB"/>
          <w:sz w:val="22"/>
        </w:rPr>
        <w:t>TR2.4: Trend Tagline Validation</w:t>
      </w:r>
    </w:p>
    <w:p>
      <w:pPr>
        <w:spacing w:after="40"/>
      </w:pPr>
      <w:r>
        <w:t>The Testing Agent shall verify that trend taglines accurately reflect multi-period data trends. Validation shall confirm that directional indicators (improving, declining, stable) match the underlying data trajectory across the relevant time periods.</w:t>
      </w:r>
    </w:p>
    <w:p>
      <w:pPr>
        <w:spacing w:after="200"/>
      </w:pPr>
      <w:r>
        <w:rPr>
          <w:i/>
          <w:color w:val="666666"/>
          <w:sz w:val="18"/>
        </w:rPr>
        <w:t>Priority: High  |  Category: Functional</w:t>
      </w:r>
    </w:p>
    <w:p>
      <w:pPr>
        <w:spacing w:after="80"/>
      </w:pPr>
      <w:r>
        <w:rPr>
          <w:b/>
          <w:color w:val="1A56DB"/>
          <w:sz w:val="22"/>
        </w:rPr>
        <w:t>TR2.5: PES Prompt-Response Testing (Real Mode)</w:t>
      </w:r>
    </w:p>
    <w:p>
      <w:pPr>
        <w:spacing w:after="40"/>
      </w:pPr>
      <w:r>
        <w:t>In real data mode, the Testing Agent shall execute user-provided prompts (e.g., 'Generate Petcare Period End Summary for P6 2025') and compare the actual output against user-provided expected results. Comparison shall account for the configured tolerance threshold and format variations. [PLACEHOLDER: Expected results to be provided by Rajiv]</w:t>
      </w:r>
    </w:p>
    <w:p>
      <w:pPr>
        <w:spacing w:after="200"/>
      </w:pPr>
      <w:r>
        <w:rPr>
          <w:i/>
          <w:color w:val="666666"/>
          <w:sz w:val="18"/>
        </w:rPr>
        <w:t>Priority: High  |  Category: Functional</w:t>
      </w:r>
    </w:p>
    <w:p>
      <w:pPr>
        <w:pStyle w:val="Heading3"/>
      </w:pPr>
      <w:r>
        <w:t>3.2.3 TR3: Budget Variance Testing</w:t>
      </w:r>
    </w:p>
    <w:p>
      <w:pPr>
        <w:spacing w:after="120"/>
      </w:pPr>
      <w:r>
        <w:t>3 requirements validating budget variance calculations from finiq_financial_replan data.</w:t>
      </w:r>
    </w:p>
    <w:p>
      <w:pPr>
        <w:spacing w:after="80"/>
      </w:pPr>
      <w:r>
        <w:rPr>
          <w:b/>
          <w:color w:val="1A56DB"/>
          <w:sz w:val="22"/>
        </w:rPr>
        <w:t>TR3.1: Variance Calculation Accuracy</w:t>
      </w:r>
    </w:p>
    <w:p>
      <w:pPr>
        <w:spacing w:after="40"/>
      </w:pPr>
      <w:r>
        <w:t>The Testing Agent shall verify that Actual vs. Replan variance calculations match independent computation from finiq_financial_replan data within the configured tolerance threshold. Validation shall cover both absolute and percentage variance figures.</w:t>
      </w:r>
    </w:p>
    <w:p>
      <w:pPr>
        <w:spacing w:after="200"/>
      </w:pPr>
      <w:r>
        <w:rPr>
          <w:i/>
          <w:color w:val="666666"/>
          <w:sz w:val="18"/>
        </w:rPr>
        <w:t>Priority: Critical  |  Category: Functional</w:t>
      </w:r>
    </w:p>
    <w:p>
      <w:pPr>
        <w:spacing w:after="80"/>
      </w:pPr>
      <w:r>
        <w:rPr>
          <w:b/>
          <w:color w:val="1A56DB"/>
          <w:sz w:val="22"/>
        </w:rPr>
        <w:t>TR3.2: Three-Way Comparison</w:t>
      </w:r>
    </w:p>
    <w:p>
      <w:pPr>
        <w:spacing w:after="40"/>
      </w:pPr>
      <w:r>
        <w:t>The Testing Agent shall validate that the Actual vs. Replan vs. Forecast comparison renders correctly when all three data sources are available. It shall also verify graceful handling when one or more data sources are missing (e.g., forecast not yet available for a period).</w:t>
      </w:r>
    </w:p>
    <w:p>
      <w:pPr>
        <w:spacing w:after="200"/>
      </w:pPr>
      <w:r>
        <w:rPr>
          <w:i/>
          <w:color w:val="666666"/>
          <w:sz w:val="18"/>
        </w:rPr>
        <w:t>Priority: High  |  Category: Functional</w:t>
      </w:r>
    </w:p>
    <w:p>
      <w:pPr>
        <w:spacing w:after="80"/>
      </w:pPr>
      <w:r>
        <w:rPr>
          <w:b/>
          <w:color w:val="1A56DB"/>
          <w:sz w:val="22"/>
        </w:rPr>
        <w:t>TR3.3: Currency Handling</w:t>
      </w:r>
    </w:p>
    <w:p>
      <w:pPr>
        <w:spacing w:after="40"/>
      </w:pPr>
      <w:r>
        <w:t>The Testing Agent shall verify that USD and Local currency values are correctly displayed and converted. Tests shall validate that currency indicators are present, that conversion rates are applied correctly, and that the user's configured currency preference is respected.</w:t>
      </w:r>
    </w:p>
    <w:p>
      <w:pPr>
        <w:spacing w:after="200"/>
      </w:pPr>
      <w:r>
        <w:rPr>
          <w:i/>
          <w:color w:val="666666"/>
          <w:sz w:val="18"/>
        </w:rPr>
        <w:t>Priority: High  |  Category: Functional</w:t>
      </w:r>
    </w:p>
    <w:p>
      <w:pPr>
        <w:pStyle w:val="Heading3"/>
      </w:pPr>
      <w:r>
        <w:t>3.2.4 TR4: Natural Language Query Testing</w:t>
      </w:r>
    </w:p>
    <w:p>
      <w:pPr>
        <w:spacing w:after="120"/>
      </w:pPr>
      <w:r>
        <w:t>4 requirements validating the NL query interface.</w:t>
      </w:r>
    </w:p>
    <w:p>
      <w:pPr>
        <w:spacing w:after="80"/>
      </w:pPr>
      <w:r>
        <w:rPr>
          <w:b/>
          <w:color w:val="1A56DB"/>
          <w:sz w:val="22"/>
        </w:rPr>
        <w:t>TR4.1: Query Accuracy</w:t>
      </w:r>
    </w:p>
    <w:p>
      <w:pPr>
        <w:spacing w:after="40"/>
      </w:pPr>
      <w:r>
        <w:t>The Testing Agent shall execute a suite of test queries covering all supported query types (financial lookups, trend questions, comparison queries, what-if scenarios) and validate factual correctness of responses against source data. Each query shall have a defined expected answer or answer range.</w:t>
      </w:r>
    </w:p>
    <w:p>
      <w:pPr>
        <w:spacing w:after="200"/>
      </w:pPr>
      <w:r>
        <w:rPr>
          <w:i/>
          <w:color w:val="666666"/>
          <w:sz w:val="18"/>
        </w:rPr>
        <w:t>Priority: Critical  |  Category: Functional</w:t>
      </w:r>
    </w:p>
    <w:p>
      <w:pPr>
        <w:spacing w:after="80"/>
      </w:pPr>
      <w:r>
        <w:rPr>
          <w:b/>
          <w:color w:val="1A56DB"/>
          <w:sz w:val="22"/>
        </w:rPr>
        <w:t>TR4.2: Source Attribution</w:t>
      </w:r>
    </w:p>
    <w:p>
      <w:pPr>
        <w:spacing w:after="40"/>
      </w:pPr>
      <w:r>
        <w:t>The Testing Agent shall verify that every answer includes correct source references linking back to the specific data tables, document sections, or calculations that produced the result. Attribution shall be validated against the known data lineage for each test query.</w:t>
      </w:r>
    </w:p>
    <w:p>
      <w:pPr>
        <w:spacing w:after="200"/>
      </w:pPr>
      <w:r>
        <w:rPr>
          <w:i/>
          <w:color w:val="666666"/>
          <w:sz w:val="18"/>
        </w:rPr>
        <w:t>Priority: High  |  Category: Functional</w:t>
      </w:r>
    </w:p>
    <w:p>
      <w:pPr>
        <w:spacing w:after="80"/>
      </w:pPr>
      <w:r>
        <w:rPr>
          <w:b/>
          <w:color w:val="1A56DB"/>
          <w:sz w:val="22"/>
        </w:rPr>
        <w:t>TR4.3: Multi-Turn Context</w:t>
      </w:r>
    </w:p>
    <w:p>
      <w:pPr>
        <w:spacing w:after="40"/>
      </w:pPr>
      <w:r>
        <w:t>The Testing Agent shall validate that conversation context is maintained across follow-up queries within the same session. Test sequences shall include pronoun resolution (e.g., 'What about last year?' following a specific-period query) and topic continuation.</w:t>
      </w:r>
    </w:p>
    <w:p>
      <w:pPr>
        <w:spacing w:after="200"/>
      </w:pPr>
      <w:r>
        <w:rPr>
          <w:i/>
          <w:color w:val="666666"/>
          <w:sz w:val="18"/>
        </w:rPr>
        <w:t>Priority: High  |  Category: Functional</w:t>
      </w:r>
    </w:p>
    <w:p>
      <w:pPr>
        <w:spacing w:after="80"/>
      </w:pPr>
      <w:r>
        <w:rPr>
          <w:b/>
          <w:color w:val="1A56DB"/>
          <w:sz w:val="22"/>
        </w:rPr>
        <w:t>TR4.4: Intent Classification</w:t>
      </w:r>
    </w:p>
    <w:p>
      <w:pPr>
        <w:spacing w:after="40"/>
      </w:pPr>
      <w:r>
        <w:t>The Testing Agent shall verify that queries are routed to the correct processing pipeline (PES generation, CI lookup, financial query, job submission, etc.). Misclassification shall be detected by comparing the pipeline used against the expected pipeline for each test query.</w:t>
      </w:r>
    </w:p>
    <w:p>
      <w:pPr>
        <w:spacing w:after="200"/>
      </w:pPr>
      <w:r>
        <w:rPr>
          <w:i/>
          <w:color w:val="666666"/>
          <w:sz w:val="18"/>
        </w:rPr>
        <w:t>Priority: Medium  |  Category: Functional</w:t>
      </w:r>
    </w:p>
    <w:p>
      <w:pPr>
        <w:pStyle w:val="Heading3"/>
      </w:pPr>
      <w:r>
        <w:t>3.2.5 TR5: Competitive Intelligence Testing</w:t>
      </w:r>
    </w:p>
    <w:p>
      <w:pPr>
        <w:spacing w:after="120"/>
      </w:pPr>
      <w:r>
        <w:t>3 requirements validating competitive intelligence capabilities.</w:t>
      </w:r>
    </w:p>
    <w:p>
      <w:pPr>
        <w:spacing w:after="80"/>
      </w:pPr>
      <w:r>
        <w:rPr>
          <w:b/>
          <w:color w:val="1A56DB"/>
          <w:sz w:val="22"/>
        </w:rPr>
        <w:t>TR5.1: Themed Summary Validation</w:t>
      </w:r>
    </w:p>
    <w:p>
      <w:pPr>
        <w:spacing w:after="40"/>
      </w:pPr>
      <w:r>
        <w:t>The Testing Agent shall verify that competitor themed summaries (Organic Growth, Margins, Projections, Consumer Trends, Product Launches, Product Summary, Miscellaneous) contain accurate data with correct source references back to the ingested competitor documents.</w:t>
      </w:r>
    </w:p>
    <w:p>
      <w:pPr>
        <w:spacing w:after="200"/>
      </w:pPr>
      <w:r>
        <w:rPr>
          <w:i/>
          <w:color w:val="666666"/>
          <w:sz w:val="18"/>
        </w:rPr>
        <w:t>Priority: High  |  Category: Functional</w:t>
      </w:r>
    </w:p>
    <w:p>
      <w:pPr>
        <w:spacing w:after="80"/>
      </w:pPr>
      <w:r>
        <w:rPr>
          <w:b/>
          <w:color w:val="1A56DB"/>
          <w:sz w:val="22"/>
        </w:rPr>
        <w:t>TR5.2: P2P Benchmarking Accuracy</w:t>
      </w:r>
    </w:p>
    <w:p>
      <w:pPr>
        <w:spacing w:after="40"/>
      </w:pPr>
      <w:r>
        <w:t>The Testing Agent shall validate that quantitative peer-to-peer comparison tables (OG%, Price, Volume, Mix, Adj Core Operating Profit %) match the values in the source competitor documents. Both quarterly and YTD views shall be validated for each peer group.</w:t>
      </w:r>
    </w:p>
    <w:p>
      <w:pPr>
        <w:spacing w:after="200"/>
      </w:pPr>
      <w:r>
        <w:rPr>
          <w:i/>
          <w:color w:val="666666"/>
          <w:sz w:val="18"/>
        </w:rPr>
        <w:t>Priority: High  |  Category: Functional</w:t>
      </w:r>
    </w:p>
    <w:p>
      <w:pPr>
        <w:spacing w:after="80"/>
      </w:pPr>
      <w:r>
        <w:rPr>
          <w:b/>
          <w:color w:val="1A56DB"/>
          <w:sz w:val="22"/>
        </w:rPr>
        <w:t>TR5.3: Internal-External Cross-Reference</w:t>
      </w:r>
    </w:p>
    <w:p>
      <w:pPr>
        <w:spacing w:after="40"/>
      </w:pPr>
      <w:r>
        <w:t>The Testing Agent shall verify that queries combining internal financial data with competitor data return correct results from both sources. Cross-reference accuracy shall be validated by independently querying each source and comparing the combined result.</w:t>
      </w:r>
    </w:p>
    <w:p>
      <w:pPr>
        <w:spacing w:after="200"/>
      </w:pPr>
      <w:r>
        <w:rPr>
          <w:i/>
          <w:color w:val="666666"/>
          <w:sz w:val="18"/>
        </w:rPr>
        <w:t>Priority: High  |  Category: Functional</w:t>
      </w:r>
    </w:p>
    <w:p>
      <w:pPr>
        <w:pStyle w:val="Heading3"/>
      </w:pPr>
      <w:r>
        <w:t>3.2.6 TR6: Data Ingestion Testing</w:t>
      </w:r>
    </w:p>
    <w:p>
      <w:pPr>
        <w:spacing w:after="120"/>
      </w:pPr>
      <w:r>
        <w:t>3 requirements validating data connectivity and ingestion.</w:t>
      </w:r>
    </w:p>
    <w:p>
      <w:pPr>
        <w:spacing w:after="80"/>
      </w:pPr>
      <w:r>
        <w:rPr>
          <w:b/>
          <w:color w:val="1A56DB"/>
          <w:sz w:val="22"/>
        </w:rPr>
        <w:t>TR6.1: Databricks Connectivity</w:t>
      </w:r>
    </w:p>
    <w:p>
      <w:pPr>
        <w:spacing w:after="40"/>
      </w:pPr>
      <w:r>
        <w:t>The Testing Agent shall verify connectivity to all 20 finiq_ objects (17 tables + 3 views) in the configured Databricks catalog. Validation shall include schema match (column names and types match expected), row count verification (within expected ranges), and query execution against each object.</w:t>
      </w:r>
    </w:p>
    <w:p>
      <w:pPr>
        <w:spacing w:after="200"/>
      </w:pPr>
      <w:r>
        <w:rPr>
          <w:i/>
          <w:color w:val="666666"/>
          <w:sz w:val="18"/>
        </w:rPr>
        <w:t>Priority: Critical  |  Category: Functional</w:t>
      </w:r>
    </w:p>
    <w:p>
      <w:pPr>
        <w:spacing w:after="80"/>
      </w:pPr>
      <w:r>
        <w:rPr>
          <w:b/>
          <w:color w:val="1A56DB"/>
          <w:sz w:val="22"/>
        </w:rPr>
        <w:t>TR6.2: Excel Fallback</w:t>
      </w:r>
    </w:p>
    <w:p>
      <w:pPr>
        <w:spacing w:after="40"/>
      </w:pPr>
      <w:r>
        <w:t>The Testing Agent shall verify that the system falls back to Excel ingestion within 30 seconds of a Databricks connection failure. The test shall simulate a Databricks timeout and confirm that the fallback path produces equivalent results from the Excel data source.</w:t>
      </w:r>
    </w:p>
    <w:p>
      <w:pPr>
        <w:spacing w:after="200"/>
      </w:pPr>
      <w:r>
        <w:rPr>
          <w:i/>
          <w:color w:val="666666"/>
          <w:sz w:val="18"/>
        </w:rPr>
        <w:t>Priority: High  |  Category: Functional</w:t>
      </w:r>
    </w:p>
    <w:p>
      <w:pPr>
        <w:spacing w:after="80"/>
      </w:pPr>
      <w:r>
        <w:rPr>
          <w:b/>
          <w:color w:val="1A56DB"/>
          <w:sz w:val="22"/>
        </w:rPr>
        <w:t>TR6.3: Data Freshness</w:t>
      </w:r>
    </w:p>
    <w:p>
      <w:pPr>
        <w:spacing w:after="40"/>
      </w:pPr>
      <w:r>
        <w:t>The Testing Agent shall verify that stale data alerts fire correctly when expected data is missing or outdated. Tests shall simulate scenarios where the latest period's data has not been loaded and confirm that appropriate warnings are surfaced to users.</w:t>
      </w:r>
    </w:p>
    <w:p>
      <w:pPr>
        <w:spacing w:after="200"/>
      </w:pPr>
      <w:r>
        <w:rPr>
          <w:i/>
          <w:color w:val="666666"/>
          <w:sz w:val="18"/>
        </w:rPr>
        <w:t>Priority: Medium  |  Category: Functional</w:t>
      </w:r>
    </w:p>
    <w:p>
      <w:pPr>
        <w:pStyle w:val="Heading3"/>
      </w:pPr>
      <w:r>
        <w:t>3.2.7 TR7: Job Board Testing</w:t>
      </w:r>
    </w:p>
    <w:p>
      <w:pPr>
        <w:spacing w:after="120"/>
      </w:pPr>
      <w:r>
        <w:t>3 requirements validating job board operations.</w:t>
      </w:r>
    </w:p>
    <w:p>
      <w:pPr>
        <w:spacing w:after="80"/>
      </w:pPr>
      <w:r>
        <w:rPr>
          <w:b/>
          <w:color w:val="1A56DB"/>
          <w:sz w:val="22"/>
        </w:rPr>
        <w:t>TR7.1: Job Lifecycle</w:t>
      </w:r>
    </w:p>
    <w:p>
      <w:pPr>
        <w:spacing w:after="40"/>
      </w:pPr>
      <w:r>
        <w:t>The Testing Agent shall submit test jobs and verify they progress through all lifecycle stages: Submitted → Queued → Assigned → In Progress → Completed (or Failed). Each state transition shall be verified against expected timing and status codes.</w:t>
      </w:r>
    </w:p>
    <w:p>
      <w:pPr>
        <w:spacing w:after="200"/>
      </w:pPr>
      <w:r>
        <w:rPr>
          <w:i/>
          <w:color w:val="666666"/>
          <w:sz w:val="18"/>
        </w:rPr>
        <w:t>Priority: High  |  Category: Functional</w:t>
      </w:r>
    </w:p>
    <w:p>
      <w:pPr>
        <w:spacing w:after="80"/>
      </w:pPr>
      <w:r>
        <w:rPr>
          <w:b/>
          <w:color w:val="1A56DB"/>
          <w:sz w:val="22"/>
        </w:rPr>
        <w:t>TR7.2: SLA Compliance</w:t>
      </w:r>
    </w:p>
    <w:p>
      <w:pPr>
        <w:spacing w:after="40"/>
      </w:pPr>
      <w:r>
        <w:t>The Testing Agent shall verify that jobs complete within SLA targets for each priority level (Critical, High, Medium, Low). Tests shall include jobs at each priority level and measure actual completion time against the defined SLA thresholds.</w:t>
      </w:r>
    </w:p>
    <w:p>
      <w:pPr>
        <w:spacing w:after="200"/>
      </w:pPr>
      <w:r>
        <w:rPr>
          <w:i/>
          <w:color w:val="666666"/>
          <w:sz w:val="18"/>
        </w:rPr>
        <w:t>Priority: High  |  Category: Functional</w:t>
      </w:r>
    </w:p>
    <w:p>
      <w:pPr>
        <w:spacing w:after="80"/>
      </w:pPr>
      <w:r>
        <w:rPr>
          <w:b/>
          <w:color w:val="1A56DB"/>
          <w:sz w:val="22"/>
        </w:rPr>
        <w:t>TR7.3: Scheduled Jobs</w:t>
      </w:r>
    </w:p>
    <w:p>
      <w:pPr>
        <w:spacing w:after="40"/>
      </w:pPr>
      <w:r>
        <w:t>The Testing Agent shall verify that recurring job scheduling works correctly. Tests shall create scheduled jobs with defined recurrence patterns and confirm that jobs are triggered at the expected times with the expected parameters.</w:t>
      </w:r>
    </w:p>
    <w:p>
      <w:pPr>
        <w:spacing w:after="200"/>
      </w:pPr>
      <w:r>
        <w:rPr>
          <w:i/>
          <w:color w:val="666666"/>
          <w:sz w:val="18"/>
        </w:rPr>
        <w:t>Priority: Medium  |  Category: Functional</w:t>
      </w:r>
    </w:p>
    <w:p>
      <w:pPr>
        <w:pStyle w:val="Heading3"/>
      </w:pPr>
      <w:r>
        <w:t>3.2.8 TR8: Regression Testing</w:t>
      </w:r>
    </w:p>
    <w:p>
      <w:pPr>
        <w:spacing w:after="120"/>
      </w:pPr>
      <w:r>
        <w:t>3 requirements for regression detection and reporting.</w:t>
      </w:r>
    </w:p>
    <w:p>
      <w:pPr>
        <w:spacing w:after="80"/>
      </w:pPr>
      <w:r>
        <w:rPr>
          <w:b/>
          <w:color w:val="1A56DB"/>
          <w:sz w:val="22"/>
        </w:rPr>
        <w:t>TR8.1: Baseline Comparison</w:t>
      </w:r>
    </w:p>
    <w:p>
      <w:pPr>
        <w:spacing w:after="40"/>
      </w:pPr>
      <w:r>
        <w:t>The Testing Agent shall compare current test outputs against stored baseline outputs (golden dataset) for every test case. Any difference exceeding the configured tolerance threshold shall be flagged as a potential regression with details of the expected vs. actual values.</w:t>
      </w:r>
    </w:p>
    <w:p>
      <w:pPr>
        <w:spacing w:after="200"/>
      </w:pPr>
      <w:r>
        <w:rPr>
          <w:i/>
          <w:color w:val="666666"/>
          <w:sz w:val="18"/>
        </w:rPr>
        <w:t>Priority: Critical  |  Category: Functional</w:t>
      </w:r>
    </w:p>
    <w:p>
      <w:pPr>
        <w:spacing w:after="80"/>
      </w:pPr>
      <w:r>
        <w:rPr>
          <w:b/>
          <w:color w:val="1A56DB"/>
          <w:sz w:val="22"/>
        </w:rPr>
        <w:t>TR8.2: Automated Regression Suite</w:t>
      </w:r>
    </w:p>
    <w:p>
      <w:pPr>
        <w:spacing w:after="40"/>
      </w:pPr>
      <w:r>
        <w:t>A full regression suite shall run automatically on every deployment to the staging environment. The suite shall execute all test cases in both simulated mode (full suite) and real mode (all available prompt-response pairs). Deployment to production shall be blocked if critical test failures are detected.</w:t>
      </w:r>
    </w:p>
    <w:p>
      <w:pPr>
        <w:spacing w:after="200"/>
      </w:pPr>
      <w:r>
        <w:rPr>
          <w:i/>
          <w:color w:val="666666"/>
          <w:sz w:val="18"/>
        </w:rPr>
        <w:t>Priority: Critical  |  Category: Functional</w:t>
      </w:r>
    </w:p>
    <w:p>
      <w:pPr>
        <w:spacing w:after="80"/>
      </w:pPr>
      <w:r>
        <w:rPr>
          <w:b/>
          <w:color w:val="1A56DB"/>
          <w:sz w:val="22"/>
        </w:rPr>
        <w:t>TR8.3: Regression Report</w:t>
      </w:r>
    </w:p>
    <w:p>
      <w:pPr>
        <w:spacing w:after="40"/>
      </w:pPr>
      <w:r>
        <w:t>The Testing Agent shall generate a detailed diff report showing what changed between the baseline and current output. The report shall include: changed values with before/after comparison, newly failing test cases, newly passing test cases, and overall regression risk assessment.</w:t>
      </w:r>
    </w:p>
    <w:p>
      <w:pPr>
        <w:spacing w:after="200"/>
      </w:pPr>
      <w:r>
        <w:rPr>
          <w:i/>
          <w:color w:val="666666"/>
          <w:sz w:val="18"/>
        </w:rPr>
        <w:t>Priority: High  |  Category: Functional</w:t>
      </w:r>
    </w:p>
    <w:p>
      <w:pPr>
        <w:pStyle w:val="Heading3"/>
      </w:pPr>
      <w:r>
        <w:t>3.2.9 TR9: Test Reporting</w:t>
      </w:r>
    </w:p>
    <w:p>
      <w:pPr>
        <w:spacing w:after="120"/>
      </w:pPr>
      <w:r>
        <w:t>3 requirements for test result reporting and analytics.</w:t>
      </w:r>
    </w:p>
    <w:p>
      <w:pPr>
        <w:spacing w:after="80"/>
      </w:pPr>
      <w:r>
        <w:rPr>
          <w:b/>
          <w:color w:val="1A56DB"/>
          <w:sz w:val="22"/>
        </w:rPr>
        <w:t>TR9.1: Test Execution Report</w:t>
      </w:r>
    </w:p>
    <w:p>
      <w:pPr>
        <w:spacing w:after="40"/>
      </w:pPr>
      <w:r>
        <w:t>The Testing Agent shall generate a comprehensive test execution report showing pass/fail status for each test case, execution time, error details for failures, and summary statistics (total passed, total failed, total skipped, execution duration). Reports shall be available in JSON, HTML, and PDF formats.</w:t>
      </w:r>
    </w:p>
    <w:p>
      <w:pPr>
        <w:spacing w:after="200"/>
      </w:pPr>
      <w:r>
        <w:rPr>
          <w:i/>
          <w:color w:val="666666"/>
          <w:sz w:val="18"/>
        </w:rPr>
        <w:t>Priority: High  |  Category: Functional</w:t>
      </w:r>
    </w:p>
    <w:p>
      <w:pPr>
        <w:spacing w:after="80"/>
      </w:pPr>
      <w:r>
        <w:rPr>
          <w:b/>
          <w:color w:val="1A56DB"/>
          <w:sz w:val="22"/>
        </w:rPr>
        <w:t>TR9.2: Coverage Report</w:t>
      </w:r>
    </w:p>
    <w:p>
      <w:pPr>
        <w:spacing w:after="40"/>
      </w:pPr>
      <w:r>
        <w:t>The Testing Agent shall generate a coverage report mapping every test case to its corresponding main SRS functional requirement(s). The report shall show coverage percentage per FR group (FR1–FR8), identify any FRs without test coverage, and provide an overall coverage score.</w:t>
      </w:r>
    </w:p>
    <w:p>
      <w:pPr>
        <w:spacing w:after="200"/>
      </w:pPr>
      <w:r>
        <w:rPr>
          <w:i/>
          <w:color w:val="666666"/>
          <w:sz w:val="18"/>
        </w:rPr>
        <w:t>Priority: High  |  Category: Functional</w:t>
      </w:r>
    </w:p>
    <w:p>
      <w:pPr>
        <w:spacing w:after="80"/>
      </w:pPr>
      <w:r>
        <w:rPr>
          <w:b/>
          <w:color w:val="1A56DB"/>
          <w:sz w:val="22"/>
        </w:rPr>
        <w:t>TR9.3: Trend Report</w:t>
      </w:r>
    </w:p>
    <w:p>
      <w:pPr>
        <w:spacing w:after="40"/>
      </w:pPr>
      <w:r>
        <w:t>The Testing Agent shall track test results over time and generate trend reports showing improvement or regression trends across test runs. The report shall include pass rate history, flaky test identification (tests that intermittently pass/fail), and execution time trends.</w:t>
      </w:r>
    </w:p>
    <w:p>
      <w:pPr>
        <w:spacing w:after="200"/>
      </w:pPr>
      <w:r>
        <w:rPr>
          <w:i/>
          <w:color w:val="666666"/>
          <w:sz w:val="18"/>
        </w:rPr>
        <w:t>Priority: Medium  |  Category: Functional</w:t>
      </w:r>
    </w:p>
    <w:p>
      <w:pPr>
        <w:pStyle w:val="Heading2"/>
      </w:pPr>
      <w:r>
        <w:t>3.3 Performance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880"/>
            <w:shd w:fill="1A56DB"/>
          </w:tcPr>
          <w:p>
            <w:r/>
            <w:r>
              <w:rPr>
                <w:rFonts w:ascii="Calibri" w:hAnsi="Calibri"/>
                <w:b/>
                <w:color w:val="FFFFFF"/>
                <w:sz w:val="20"/>
              </w:rPr>
              <w:t>Metric</w:t>
            </w:r>
          </w:p>
        </w:tc>
        <w:tc>
          <w:tcPr>
            <w:tcW w:type="dxa" w:w="2160"/>
            <w:shd w:fill="1A56DB"/>
          </w:tcPr>
          <w:p>
            <w:r/>
            <w:r>
              <w:rPr>
                <w:rFonts w:ascii="Calibri" w:hAnsi="Calibri"/>
                <w:b/>
                <w:color w:val="FFFFFF"/>
                <w:sz w:val="20"/>
              </w:rPr>
              <w:t>Target</w:t>
            </w:r>
          </w:p>
        </w:tc>
        <w:tc>
          <w:tcPr>
            <w:tcW w:type="dxa" w:w="4320"/>
            <w:shd w:fill="1A56DB"/>
          </w:tcPr>
          <w:p>
            <w:r/>
            <w:r>
              <w:rPr>
                <w:rFonts w:ascii="Calibri" w:hAnsi="Calibri"/>
                <w:b/>
                <w:color w:val="FFFFFF"/>
                <w:sz w:val="20"/>
              </w:rPr>
              <w:t>Notes</w:t>
            </w:r>
          </w:p>
        </w:tc>
      </w:tr>
      <w:tr>
        <w:tc>
          <w:tcPr>
            <w:tcW w:type="dxa" w:w="2880"/>
          </w:tcPr>
          <w:p>
            <w:r/>
            <w:r>
              <w:rPr>
                <w:rFonts w:ascii="Calibri" w:hAnsi="Calibri"/>
                <w:color w:val="333333"/>
                <w:sz w:val="18"/>
              </w:rPr>
              <w:t>Full simulated test suite</w:t>
            </w:r>
          </w:p>
        </w:tc>
        <w:tc>
          <w:tcPr>
            <w:tcW w:type="dxa" w:w="2160"/>
          </w:tcPr>
          <w:p>
            <w:r/>
            <w:r>
              <w:rPr>
                <w:rFonts w:ascii="Calibri" w:hAnsi="Calibri"/>
                <w:color w:val="333333"/>
                <w:sz w:val="18"/>
              </w:rPr>
              <w:t>&lt; 15 minutes</w:t>
            </w:r>
          </w:p>
        </w:tc>
        <w:tc>
          <w:tcPr>
            <w:tcW w:type="dxa" w:w="4320"/>
          </w:tcPr>
          <w:p>
            <w:r/>
            <w:r>
              <w:rPr>
                <w:rFonts w:ascii="Calibri" w:hAnsi="Calibri"/>
                <w:color w:val="333333"/>
                <w:sz w:val="18"/>
              </w:rPr>
              <w:t>All TR1–TR9 tests against synthetic data</w:t>
            </w:r>
          </w:p>
        </w:tc>
      </w:tr>
      <w:tr>
        <w:tc>
          <w:tcPr>
            <w:tcW w:type="dxa" w:w="2880"/>
            <w:shd w:fill="F2F6FC"/>
          </w:tcPr>
          <w:p>
            <w:r/>
            <w:r>
              <w:rPr>
                <w:rFonts w:ascii="Calibri" w:hAnsi="Calibri"/>
                <w:color w:val="333333"/>
                <w:sz w:val="18"/>
              </w:rPr>
              <w:t>Full real data test suite</w:t>
            </w:r>
          </w:p>
        </w:tc>
        <w:tc>
          <w:tcPr>
            <w:tcW w:type="dxa" w:w="2160"/>
            <w:shd w:fill="F2F6FC"/>
          </w:tcPr>
          <w:p>
            <w:r/>
            <w:r>
              <w:rPr>
                <w:rFonts w:ascii="Calibri" w:hAnsi="Calibri"/>
                <w:color w:val="333333"/>
                <w:sz w:val="18"/>
              </w:rPr>
              <w:t>&lt; 30 minutes</w:t>
            </w:r>
          </w:p>
        </w:tc>
        <w:tc>
          <w:tcPr>
            <w:tcW w:type="dxa" w:w="4320"/>
            <w:shd w:fill="F2F6FC"/>
          </w:tcPr>
          <w:p>
            <w:r/>
            <w:r>
              <w:rPr>
                <w:rFonts w:ascii="Calibri" w:hAnsi="Calibri"/>
                <w:color w:val="333333"/>
                <w:sz w:val="18"/>
              </w:rPr>
              <w:t>All available prompt-response pairs against production data</w:t>
            </w:r>
          </w:p>
        </w:tc>
      </w:tr>
      <w:tr>
        <w:tc>
          <w:tcPr>
            <w:tcW w:type="dxa" w:w="2880"/>
          </w:tcPr>
          <w:p>
            <w:r/>
            <w:r>
              <w:rPr>
                <w:rFonts w:ascii="Calibri" w:hAnsi="Calibri"/>
                <w:color w:val="333333"/>
                <w:sz w:val="18"/>
              </w:rPr>
              <w:t>Individual test case</w:t>
            </w:r>
          </w:p>
        </w:tc>
        <w:tc>
          <w:tcPr>
            <w:tcW w:type="dxa" w:w="2160"/>
          </w:tcPr>
          <w:p>
            <w:r/>
            <w:r>
              <w:rPr>
                <w:rFonts w:ascii="Calibri" w:hAnsi="Calibri"/>
                <w:color w:val="333333"/>
                <w:sz w:val="18"/>
              </w:rPr>
              <w:t>&lt; 30 seconds</w:t>
            </w:r>
          </w:p>
        </w:tc>
        <w:tc>
          <w:tcPr>
            <w:tcW w:type="dxa" w:w="4320"/>
          </w:tcPr>
          <w:p>
            <w:r/>
            <w:r>
              <w:rPr>
                <w:rFonts w:ascii="Calibri" w:hAnsi="Calibri"/>
                <w:color w:val="333333"/>
                <w:sz w:val="18"/>
              </w:rPr>
              <w:t>Any single test case in isolation</w:t>
            </w:r>
          </w:p>
        </w:tc>
      </w:tr>
      <w:tr>
        <w:tc>
          <w:tcPr>
            <w:tcW w:type="dxa" w:w="2880"/>
            <w:shd w:fill="F2F6FC"/>
          </w:tcPr>
          <w:p>
            <w:r/>
            <w:r>
              <w:rPr>
                <w:rFonts w:ascii="Calibri" w:hAnsi="Calibri"/>
                <w:color w:val="333333"/>
                <w:sz w:val="18"/>
              </w:rPr>
              <w:t>Report generation</w:t>
            </w:r>
          </w:p>
        </w:tc>
        <w:tc>
          <w:tcPr>
            <w:tcW w:type="dxa" w:w="2160"/>
            <w:shd w:fill="F2F6FC"/>
          </w:tcPr>
          <w:p>
            <w:r/>
            <w:r>
              <w:rPr>
                <w:rFonts w:ascii="Calibri" w:hAnsi="Calibri"/>
                <w:color w:val="333333"/>
                <w:sz w:val="18"/>
              </w:rPr>
              <w:t>&lt; 60 seconds</w:t>
            </w:r>
          </w:p>
        </w:tc>
        <w:tc>
          <w:tcPr>
            <w:tcW w:type="dxa" w:w="4320"/>
            <w:shd w:fill="F2F6FC"/>
          </w:tcPr>
          <w:p>
            <w:r/>
            <w:r>
              <w:rPr>
                <w:rFonts w:ascii="Calibri" w:hAnsi="Calibri"/>
                <w:color w:val="333333"/>
                <w:sz w:val="18"/>
              </w:rPr>
              <w:t>Any format (JSON, HTML, PDF)</w:t>
            </w:r>
          </w:p>
        </w:tc>
      </w:tr>
      <w:tr>
        <w:tc>
          <w:tcPr>
            <w:tcW w:type="dxa" w:w="2880"/>
          </w:tcPr>
          <w:p>
            <w:r/>
            <w:r>
              <w:rPr>
                <w:rFonts w:ascii="Calibri" w:hAnsi="Calibri"/>
                <w:color w:val="333333"/>
                <w:sz w:val="18"/>
              </w:rPr>
              <w:t>Regression diff computation</w:t>
            </w:r>
          </w:p>
        </w:tc>
        <w:tc>
          <w:tcPr>
            <w:tcW w:type="dxa" w:w="2160"/>
          </w:tcPr>
          <w:p>
            <w:r/>
            <w:r>
              <w:rPr>
                <w:rFonts w:ascii="Calibri" w:hAnsi="Calibri"/>
                <w:color w:val="333333"/>
                <w:sz w:val="18"/>
              </w:rPr>
              <w:t>&lt; 120 seconds</w:t>
            </w:r>
          </w:p>
        </w:tc>
        <w:tc>
          <w:tcPr>
            <w:tcW w:type="dxa" w:w="4320"/>
          </w:tcPr>
          <w:p>
            <w:r/>
            <w:r>
              <w:rPr>
                <w:rFonts w:ascii="Calibri" w:hAnsi="Calibri"/>
                <w:color w:val="333333"/>
                <w:sz w:val="18"/>
              </w:rPr>
              <w:t>Full golden dataset comparison</w:t>
            </w:r>
          </w:p>
        </w:tc>
      </w:tr>
    </w:tbl>
    <w:p/>
    <w:p>
      <w:pPr>
        <w:pStyle w:val="Heading2"/>
      </w:pPr>
      <w:r>
        <w:t>3.4 Design Constraints</w:t>
      </w:r>
    </w:p>
    <w:p>
      <w:pPr>
        <w:pStyle w:val="ListBullet"/>
        <w:spacing w:after="40"/>
      </w:pPr>
      <w:r>
        <w:t>Must use the same technology stack as FinIQ: Python, LangChain, Azure OpenAI Foundry</w:t>
      </w:r>
    </w:p>
    <w:p>
      <w:pPr>
        <w:pStyle w:val="ListBullet"/>
        <w:spacing w:after="40"/>
      </w:pPr>
      <w:r>
        <w:t>Must run in both local (development) and cloud (CI/CD) environments without modification</w:t>
      </w:r>
    </w:p>
    <w:p>
      <w:pPr>
        <w:pStyle w:val="ListBullet"/>
        <w:spacing w:after="40"/>
      </w:pPr>
      <w:r>
        <w:t>Must not require manual intervention during test execution — fully automated from trigger to report</w:t>
      </w:r>
    </w:p>
    <w:p>
      <w:pPr>
        <w:pStyle w:val="ListBullet"/>
        <w:spacing w:after="40"/>
      </w:pPr>
      <w:r>
        <w:t>Must use the same Databricks connection libraries and authentication mechanisms as the main FinIQ platform</w:t>
      </w:r>
    </w:p>
    <w:p>
      <w:pPr>
        <w:pStyle w:val="ListBullet"/>
        <w:spacing w:after="40"/>
      </w:pPr>
      <w:r>
        <w:t>Test case definitions shall be stored in JSON format for portability and version control</w:t>
      </w:r>
    </w:p>
    <w:p>
      <w:pPr>
        <w:pStyle w:val="ListBullet"/>
        <w:spacing w:after="40"/>
      </w:pPr>
      <w:r>
        <w:t>Must integrate with the existing FinIQ agent pool infrastructure (LangGraph agent runtime)</w:t>
      </w:r>
    </w:p>
    <w:p>
      <w:pPr>
        <w:pStyle w:val="Heading2"/>
      </w:pPr>
      <w:r>
        <w:t>3.5 Software System Attributes</w:t>
      </w:r>
    </w:p>
    <w:p>
      <w:pPr>
        <w:spacing w:after="40"/>
      </w:pPr>
      <w:r>
        <w:rPr>
          <w:b/>
        </w:rPr>
        <w:t>Reliability</w:t>
      </w:r>
    </w:p>
    <w:p>
      <w:pPr>
        <w:spacing w:after="120"/>
      </w:pPr>
      <w:r>
        <w:t>Tests must be deterministic — the same inputs must produce the same pass/fail results on every execution. Non-deterministic behavior (e.g., from LLM temperature variations) shall be accounted for through tolerance thresholds and semantic comparison rather than exact string matching.</w:t>
      </w:r>
    </w:p>
    <w:p>
      <w:pPr>
        <w:spacing w:after="40"/>
      </w:pPr>
      <w:r>
        <w:rPr>
          <w:b/>
        </w:rPr>
        <w:t>Maintainability</w:t>
      </w:r>
    </w:p>
    <w:p>
      <w:pPr>
        <w:spacing w:after="120"/>
      </w:pPr>
      <w:r>
        <w:t>Adding a new test case shall require no more than 15 minutes of effort. Test cases are defined as JSON configurations that are loaded by the test runner — no code changes required for standard test additions.</w:t>
      </w:r>
    </w:p>
    <w:p>
      <w:pPr>
        <w:spacing w:after="40"/>
      </w:pPr>
      <w:r>
        <w:rPr>
          <w:b/>
        </w:rPr>
        <w:t>Portability</w:t>
      </w:r>
    </w:p>
    <w:p>
      <w:pPr>
        <w:spacing w:after="120"/>
      </w:pPr>
      <w:r>
        <w:t>The Testing Agent shall run on developer machines (using SQLite/finiq_synthetic.db) and in the cloud (using Databricks) with no code changes — only configuration differences. The same test definitions shall work in both environments.</w:t>
      </w:r>
    </w:p>
    <w:p>
      <w:pPr>
        <w:spacing w:after="40"/>
      </w:pPr>
      <w:r>
        <w:rPr>
          <w:b/>
        </w:rPr>
        <w:t>Traceability</w:t>
      </w:r>
    </w:p>
    <w:p>
      <w:pPr>
        <w:spacing w:after="120"/>
      </w:pPr>
      <w:r>
        <w:t>Every test case shall be traceable to one or more main SRS functional requirements. Every test execution shall be logged with a unique run ID, timestamp, environment details, and complete results for audit purposes.</w:t>
      </w:r>
    </w:p>
    <w:p>
      <w:r>
        <w:br w:type="page"/>
      </w:r>
    </w:p>
    <w:p>
      <w:pPr>
        <w:pStyle w:val="Heading1"/>
      </w:pPr>
      <w:r>
        <w:t>4. Test Data Architecture</w:t>
      </w:r>
    </w:p>
    <w:p>
      <w:pPr>
        <w:pStyle w:val="Heading2"/>
      </w:pPr>
      <w:r>
        <w:t>4.1 Simulated Data</w:t>
      </w:r>
    </w:p>
    <w:p>
      <w:pPr>
        <w:spacing w:after="120"/>
      </w:pPr>
      <w:r>
        <w:t>Simulated mode uses a synthetic dataset designed to exercise all FinIQ functional requirements with known, deterministic values. The synthetic data is generated with a fixed random seed (seed 42) to ensure reproducibility across environments.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Property</w:t>
            </w:r>
          </w:p>
        </w:tc>
        <w:tc>
          <w:tcPr>
            <w:tcW w:type="dxa" w:w="6480"/>
            <w:shd w:fill="1A56DB"/>
          </w:tcPr>
          <w:p>
            <w:r/>
            <w:r>
              <w:rPr>
                <w:rFonts w:ascii="Calibri" w:hAnsi="Calibri"/>
                <w:b/>
                <w:color w:val="FFFFFF"/>
                <w:sz w:val="20"/>
              </w:rPr>
              <w:t>Value</w:t>
            </w:r>
          </w:p>
        </w:tc>
      </w:tr>
      <w:tr>
        <w:tc>
          <w:tcPr>
            <w:tcW w:type="dxa" w:w="2880"/>
          </w:tcPr>
          <w:p>
            <w:r/>
            <w:r>
              <w:rPr>
                <w:rFonts w:ascii="Calibri" w:hAnsi="Calibri"/>
                <w:color w:val="333333"/>
                <w:sz w:val="18"/>
              </w:rPr>
              <w:t>Local source</w:t>
            </w:r>
          </w:p>
        </w:tc>
        <w:tc>
          <w:tcPr>
            <w:tcW w:type="dxa" w:w="6480"/>
          </w:tcPr>
          <w:p>
            <w:r/>
            <w:r>
              <w:rPr>
                <w:rFonts w:ascii="Calibri" w:hAnsi="Calibri"/>
                <w:color w:val="333333"/>
                <w:sz w:val="18"/>
              </w:rPr>
              <w:t>finiq_synthetic.db (SQLite)</w:t>
            </w:r>
          </w:p>
        </w:tc>
      </w:tr>
      <w:tr>
        <w:tc>
          <w:tcPr>
            <w:tcW w:type="dxa" w:w="2880"/>
            <w:shd w:fill="F2F6FC"/>
          </w:tcPr>
          <w:p>
            <w:r/>
            <w:r>
              <w:rPr>
                <w:rFonts w:ascii="Calibri" w:hAnsi="Calibri"/>
                <w:color w:val="333333"/>
                <w:sz w:val="18"/>
              </w:rPr>
              <w:t>Cloud source</w:t>
            </w:r>
          </w:p>
        </w:tc>
        <w:tc>
          <w:tcPr>
            <w:tcW w:type="dxa" w:w="6480"/>
            <w:shd w:fill="F2F6FC"/>
          </w:tcPr>
          <w:p>
            <w:r/>
            <w:r>
              <w:rPr>
                <w:rFonts w:ascii="Calibri" w:hAnsi="Calibri"/>
                <w:color w:val="333333"/>
                <w:sz w:val="18"/>
              </w:rPr>
              <w:t>Databricks workspace.default catalog</w:t>
            </w:r>
          </w:p>
        </w:tc>
      </w:tr>
      <w:tr>
        <w:tc>
          <w:tcPr>
            <w:tcW w:type="dxa" w:w="2880"/>
          </w:tcPr>
          <w:p>
            <w:r/>
            <w:r>
              <w:rPr>
                <w:rFonts w:ascii="Calibri" w:hAnsi="Calibri"/>
                <w:color w:val="333333"/>
                <w:sz w:val="18"/>
              </w:rPr>
              <w:t>Table count</w:t>
            </w:r>
          </w:p>
        </w:tc>
        <w:tc>
          <w:tcPr>
            <w:tcW w:type="dxa" w:w="6480"/>
          </w:tcPr>
          <w:p>
            <w:r/>
            <w:r>
              <w:rPr>
                <w:rFonts w:ascii="Calibri" w:hAnsi="Calibri"/>
                <w:color w:val="333333"/>
                <w:sz w:val="18"/>
              </w:rPr>
              <w:t>17 tables + 3 views (mirrors production schema)</w:t>
            </w:r>
          </w:p>
        </w:tc>
      </w:tr>
      <w:tr>
        <w:tc>
          <w:tcPr>
            <w:tcW w:type="dxa" w:w="2880"/>
            <w:shd w:fill="F2F6FC"/>
          </w:tcPr>
          <w:p>
            <w:r/>
            <w:r>
              <w:rPr>
                <w:rFonts w:ascii="Calibri" w:hAnsi="Calibri"/>
                <w:color w:val="333333"/>
                <w:sz w:val="18"/>
              </w:rPr>
              <w:t>Total rows</w:t>
            </w:r>
          </w:p>
        </w:tc>
        <w:tc>
          <w:tcPr>
            <w:tcW w:type="dxa" w:w="6480"/>
            <w:shd w:fill="F2F6FC"/>
          </w:tcPr>
          <w:p>
            <w:r/>
            <w:r>
              <w:rPr>
                <w:rFonts w:ascii="Calibri" w:hAnsi="Calibri"/>
                <w:color w:val="333333"/>
                <w:sz w:val="18"/>
              </w:rPr>
              <w:t>165,000+ across all tables</w:t>
            </w:r>
          </w:p>
        </w:tc>
      </w:tr>
      <w:tr>
        <w:tc>
          <w:tcPr>
            <w:tcW w:type="dxa" w:w="2880"/>
          </w:tcPr>
          <w:p>
            <w:r/>
            <w:r>
              <w:rPr>
                <w:rFonts w:ascii="Calibri" w:hAnsi="Calibri"/>
                <w:color w:val="333333"/>
                <w:sz w:val="18"/>
              </w:rPr>
              <w:t>Random seed</w:t>
            </w:r>
          </w:p>
        </w:tc>
        <w:tc>
          <w:tcPr>
            <w:tcW w:type="dxa" w:w="6480"/>
          </w:tcPr>
          <w:p>
            <w:r/>
            <w:r>
              <w:rPr>
                <w:rFonts w:ascii="Calibri" w:hAnsi="Calibri"/>
                <w:color w:val="333333"/>
                <w:sz w:val="18"/>
              </w:rPr>
              <w:t>42 (fixed for reproducibility)</w:t>
            </w:r>
          </w:p>
        </w:tc>
      </w:tr>
      <w:tr>
        <w:tc>
          <w:tcPr>
            <w:tcW w:type="dxa" w:w="2880"/>
            <w:shd w:fill="F2F6FC"/>
          </w:tcPr>
          <w:p>
            <w:r/>
            <w:r>
              <w:rPr>
                <w:rFonts w:ascii="Calibri" w:hAnsi="Calibri"/>
                <w:color w:val="333333"/>
                <w:sz w:val="18"/>
              </w:rPr>
              <w:t>Expected results</w:t>
            </w:r>
          </w:p>
        </w:tc>
        <w:tc>
          <w:tcPr>
            <w:tcW w:type="dxa" w:w="6480"/>
            <w:shd w:fill="F2F6FC"/>
          </w:tcPr>
          <w:p>
            <w:r/>
            <w:r>
              <w:rPr>
                <w:rFonts w:ascii="Calibri" w:hAnsi="Calibri"/>
                <w:color w:val="333333"/>
                <w:sz w:val="18"/>
              </w:rPr>
              <w:t>Pre-computed from synthetic data, stored in golden dataset</w:t>
            </w:r>
          </w:p>
        </w:tc>
      </w:tr>
      <w:tr>
        <w:tc>
          <w:tcPr>
            <w:tcW w:type="dxa" w:w="2880"/>
          </w:tcPr>
          <w:p>
            <w:r/>
            <w:r>
              <w:rPr>
                <w:rFonts w:ascii="Calibri" w:hAnsi="Calibri"/>
                <w:color w:val="333333"/>
                <w:sz w:val="18"/>
              </w:rPr>
              <w:t>Org units</w:t>
            </w:r>
          </w:p>
        </w:tc>
        <w:tc>
          <w:tcPr>
            <w:tcW w:type="dxa" w:w="6480"/>
          </w:tcPr>
          <w:p>
            <w:r/>
            <w:r>
              <w:rPr>
                <w:rFonts w:ascii="Calibri" w:hAnsi="Calibri"/>
                <w:color w:val="333333"/>
                <w:sz w:val="18"/>
              </w:rPr>
              <w:t>Synthetic hierarchy: Mars Inc &gt; 3 GBUs &gt; 9 Divisions &gt; 27 Regions</w:t>
            </w:r>
          </w:p>
        </w:tc>
      </w:tr>
      <w:tr>
        <w:tc>
          <w:tcPr>
            <w:tcW w:type="dxa" w:w="2880"/>
            <w:shd w:fill="F2F6FC"/>
          </w:tcPr>
          <w:p>
            <w:r/>
            <w:r>
              <w:rPr>
                <w:rFonts w:ascii="Calibri" w:hAnsi="Calibri"/>
                <w:color w:val="333333"/>
                <w:sz w:val="18"/>
              </w:rPr>
              <w:t>Time periods</w:t>
            </w:r>
          </w:p>
        </w:tc>
        <w:tc>
          <w:tcPr>
            <w:tcW w:type="dxa" w:w="6480"/>
            <w:shd w:fill="F2F6FC"/>
          </w:tcPr>
          <w:p>
            <w:r/>
            <w:r>
              <w:rPr>
                <w:rFonts w:ascii="Calibri" w:hAnsi="Calibri"/>
                <w:color w:val="333333"/>
                <w:sz w:val="18"/>
              </w:rPr>
              <w:t>P1–P13 for fiscal years 2024 and 2025</w:t>
            </w:r>
          </w:p>
        </w:tc>
      </w:tr>
    </w:tbl>
    <w:p/>
    <w:p>
      <w:pPr>
        <w:pStyle w:val="Heading2"/>
      </w:pPr>
      <w:r>
        <w:t>4.2 Real Data (Placeholder)</w:t>
      </w:r>
    </w:p>
    <w:p>
      <w:pPr>
        <w:spacing w:after="120"/>
      </w:pPr>
      <w:r>
        <w:rPr>
          <w:b/>
        </w:rPr>
        <w:t>Real data mode targets Mars's production Databricks environment. Expected results are not computed by the Testing Agent — they are provided by the client/team as prompt-response pairs.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Property</w:t>
            </w:r>
          </w:p>
        </w:tc>
        <w:tc>
          <w:tcPr>
            <w:tcW w:type="dxa" w:w="6480"/>
            <w:shd w:fill="1A56DB"/>
          </w:tcPr>
          <w:p>
            <w:r/>
            <w:r>
              <w:rPr>
                <w:rFonts w:ascii="Calibri" w:hAnsi="Calibri"/>
                <w:b/>
                <w:color w:val="FFFFFF"/>
                <w:sz w:val="20"/>
              </w:rPr>
              <w:t>Value</w:t>
            </w:r>
          </w:p>
        </w:tc>
      </w:tr>
      <w:tr>
        <w:tc>
          <w:tcPr>
            <w:tcW w:type="dxa" w:w="2880"/>
          </w:tcPr>
          <w:p>
            <w:r/>
            <w:r>
              <w:rPr>
                <w:rFonts w:ascii="Calibri" w:hAnsi="Calibri"/>
                <w:color w:val="333333"/>
                <w:sz w:val="18"/>
              </w:rPr>
              <w:t>Source</w:t>
            </w:r>
          </w:p>
        </w:tc>
        <w:tc>
          <w:tcPr>
            <w:tcW w:type="dxa" w:w="6480"/>
          </w:tcPr>
          <w:p>
            <w:r/>
            <w:r>
              <w:rPr>
                <w:rFonts w:ascii="Calibri" w:hAnsi="Calibri"/>
                <w:color w:val="333333"/>
                <w:sz w:val="18"/>
              </w:rPr>
              <w:t>corporate_finance_analytics_dev.finsight_core_model_mvp3</w:t>
            </w:r>
          </w:p>
        </w:tc>
      </w:tr>
      <w:tr>
        <w:tc>
          <w:tcPr>
            <w:tcW w:type="dxa" w:w="2880"/>
            <w:shd w:fill="F2F6FC"/>
          </w:tcPr>
          <w:p>
            <w:r/>
            <w:r>
              <w:rPr>
                <w:rFonts w:ascii="Calibri" w:hAnsi="Calibri"/>
                <w:color w:val="333333"/>
                <w:sz w:val="18"/>
              </w:rPr>
              <w:t>Access</w:t>
            </w:r>
          </w:p>
        </w:tc>
        <w:tc>
          <w:tcPr>
            <w:tcW w:type="dxa" w:w="6480"/>
            <w:shd w:fill="F2F6FC"/>
          </w:tcPr>
          <w:p>
            <w:r/>
            <w:r>
              <w:rPr>
                <w:rFonts w:ascii="Calibri" w:hAnsi="Calibri"/>
                <w:color w:val="333333"/>
                <w:sz w:val="18"/>
              </w:rPr>
              <w:t>Read-only credentials</w:t>
            </w:r>
          </w:p>
        </w:tc>
      </w:tr>
      <w:tr>
        <w:tc>
          <w:tcPr>
            <w:tcW w:type="dxa" w:w="2880"/>
          </w:tcPr>
          <w:p>
            <w:r/>
            <w:r>
              <w:rPr>
                <w:rFonts w:ascii="Calibri" w:hAnsi="Calibri"/>
                <w:color w:val="333333"/>
                <w:sz w:val="18"/>
              </w:rPr>
              <w:t>Expected results</w:t>
            </w:r>
          </w:p>
        </w:tc>
        <w:tc>
          <w:tcPr>
            <w:tcW w:type="dxa" w:w="6480"/>
          </w:tcPr>
          <w:p>
            <w:r/>
            <w:r>
              <w:rPr>
                <w:rFonts w:ascii="Calibri" w:hAnsi="Calibri"/>
                <w:color w:val="333333"/>
                <w:sz w:val="18"/>
              </w:rPr>
              <w:t>User-provided prompt-response pairs (JSON format)</w:t>
            </w:r>
          </w:p>
        </w:tc>
      </w:tr>
      <w:tr>
        <w:tc>
          <w:tcPr>
            <w:tcW w:type="dxa" w:w="2880"/>
            <w:shd w:fill="F2F6FC"/>
          </w:tcPr>
          <w:p>
            <w:r/>
            <w:r>
              <w:rPr>
                <w:rFonts w:ascii="Calibri" w:hAnsi="Calibri"/>
                <w:color w:val="333333"/>
                <w:sz w:val="18"/>
              </w:rPr>
              <w:t>Tolerance</w:t>
            </w:r>
          </w:p>
        </w:tc>
        <w:tc>
          <w:tcPr>
            <w:tcW w:type="dxa" w:w="6480"/>
            <w:shd w:fill="F2F6FC"/>
          </w:tcPr>
          <w:p>
            <w:r/>
            <w:r>
              <w:rPr>
                <w:rFonts w:ascii="Calibri" w:hAnsi="Calibri"/>
                <w:color w:val="333333"/>
                <w:sz w:val="18"/>
              </w:rPr>
              <w:t>Configurable per test case (default: 0.01%)</w:t>
            </w:r>
          </w:p>
        </w:tc>
      </w:tr>
    </w:tbl>
    <w:p/>
    <w:p>
      <w:pPr>
        <w:spacing w:after="80"/>
      </w:pPr>
      <w:r>
        <w:rPr>
          <w:b/>
        </w:rPr>
        <w:t>Prompt-Response Pair Format:</w:t>
      </w:r>
    </w:p>
    <w:p>
      <w:pPr>
        <w:spacing w:after="80"/>
      </w:pPr>
      <w:r>
        <w:t>Each real data test case is defined as a JSON object with the following structure:</w:t>
      </w:r>
    </w:p>
    <w:p>
      <w:pPr>
        <w:spacing w:after="160"/>
      </w:pPr>
      <w:r>
        <w:rPr>
          <w:rFonts w:ascii="Consolas" w:hAnsi="Consolas"/>
          <w:color w:val="333333"/>
          <w:sz w:val="18"/>
        </w:rPr>
        <w:t>{</w:t>
        <w:br/>
        <w:t xml:space="preserve">    "test_id": "PES_001",</w:t>
        <w:br/>
        <w:t xml:space="preserve">    "prompt": "Generate Petcare Period End Summary for P6 2025",</w:t>
        <w:br/>
        <w:t xml:space="preserve">    "expected_output": {</w:t>
        <w:br/>
        <w:t xml:space="preserve">        "format": "Summary",</w:t>
        <w:br/>
        <w:t xml:space="preserve">        "kpis": ["Organic Growth", "MAC Shape %", ...],</w:t>
        <w:br/>
        <w:t xml:space="preserve">        "values": { ... }</w:t>
        <w:br/>
        <w:t xml:space="preserve">    },</w:t>
        <w:br/>
        <w:t xml:space="preserve">    "tolerance": 0.01,</w:t>
        <w:br/>
        <w:t xml:space="preserve">    "mode": "real",</w:t>
        <w:br/>
        <w:t xml:space="preserve">    "category": "PES"</w:t>
        <w:br/>
        <w:t>}</w:t>
      </w:r>
    </w:p>
    <w:p>
      <w:pPr>
        <w:spacing w:after="120"/>
      </w:pPr>
      <w:r>
        <w:rPr>
          <w:i/>
          <w:color w:val="996600"/>
        </w:rPr>
        <w:t>[PLACEHOLDER: Rajiv to provide example prompts and expected results for real data validation. This section will be updated when prompt-response pairs are finalized.]</w:t>
      </w:r>
    </w:p>
    <w:p>
      <w:pPr>
        <w:pStyle w:val="Heading2"/>
      </w:pPr>
      <w:r>
        <w:t>4.3 Golden Dataset Management</w:t>
      </w:r>
    </w:p>
    <w:p>
      <w:pPr>
        <w:spacing w:after="120"/>
      </w:pPr>
      <w:r>
        <w:t>Golden datasets serve as the authoritative expected outputs for regression testing. They are versioned and managed through a controlled update process.</w:t>
      </w:r>
    </w:p>
    <w:p>
      <w:pPr>
        <w:pStyle w:val="ListBullet"/>
        <w:spacing w:after="40"/>
      </w:pPr>
      <w:r>
        <w:t>Versioned storage: Each golden dataset version is stored with a timestamp and change description</w:t>
      </w:r>
    </w:p>
    <w:p>
      <w:pPr>
        <w:pStyle w:val="ListBullet"/>
        <w:spacing w:after="40"/>
      </w:pPr>
      <w:r>
        <w:t>Diff tool: Built-in comparison tool highlights differences between golden dataset versions</w:t>
      </w:r>
    </w:p>
    <w:p>
      <w:pPr>
        <w:pStyle w:val="ListBullet"/>
        <w:spacing w:after="40"/>
      </w:pPr>
      <w:r>
        <w:t>Update workflow: A new golden dataset version requires review and explicit approval before it replaces the current baseline</w:t>
      </w:r>
    </w:p>
    <w:p>
      <w:pPr>
        <w:pStyle w:val="ListBullet"/>
        <w:spacing w:after="40"/>
      </w:pPr>
      <w:r>
        <w:t>Rollback: Previous golden dataset versions can be restored if a new version is found to be incorrect</w:t>
      </w:r>
    </w:p>
    <w:p>
      <w:pPr>
        <w:pStyle w:val="ListBullet"/>
        <w:spacing w:after="40"/>
      </w:pPr>
      <w:r>
        <w:t>Format: Golden datasets are stored as JSON files alongside the test case definitions</w:t>
      </w:r>
    </w:p>
    <w:p>
      <w:r>
        <w:br w:type="page"/>
      </w:r>
    </w:p>
    <w:p>
      <w:pPr>
        <w:pStyle w:val="Heading1"/>
      </w:pPr>
      <w:r>
        <w:t>5. Test Case Matrix</w:t>
      </w:r>
    </w:p>
    <w:p>
      <w:pPr>
        <w:spacing w:after="120"/>
      </w:pPr>
      <w:r>
        <w:t>The following matrix maps each main SRS functional requirement to the corresponding test requirements and test cases defined in this SRS. This mapping ensures complete traceability between the base FinIQ requirements and the Testing Agent's validation coverage.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152"/>
            <w:shd w:fill="1A56DB"/>
          </w:tcPr>
          <w:p>
            <w:r/>
            <w:r>
              <w:rPr>
                <w:rFonts w:ascii="Calibri" w:hAnsi="Calibri"/>
                <w:b/>
                <w:color w:val="FFFFFF"/>
                <w:sz w:val="20"/>
              </w:rPr>
              <w:t>Main SRS Req</w:t>
            </w:r>
          </w:p>
        </w:tc>
        <w:tc>
          <w:tcPr>
            <w:tcW w:type="dxa" w:w="216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Test Req</w:t>
            </w:r>
          </w:p>
        </w:tc>
        <w:tc>
          <w:tcPr>
            <w:tcW w:type="dxa" w:w="2592"/>
            <w:shd w:fill="1A56DB"/>
          </w:tcPr>
          <w:p>
            <w:r/>
            <w:r>
              <w:rPr>
                <w:rFonts w:ascii="Calibri" w:hAnsi="Calibri"/>
                <w:b/>
                <w:color w:val="FFFFFF"/>
                <w:sz w:val="20"/>
              </w:rPr>
              <w:t>Test Cases</w:t>
            </w:r>
          </w:p>
        </w:tc>
        <w:tc>
          <w:tcPr>
            <w:tcW w:type="dxa" w:w="864"/>
            <w:shd w:fill="1A56DB"/>
          </w:tcPr>
          <w:p>
            <w:r/>
            <w:r>
              <w:rPr>
                <w:rFonts w:ascii="Calibri" w:hAnsi="Calibri"/>
                <w:b/>
                <w:color w:val="FFFFFF"/>
                <w:sz w:val="20"/>
              </w:rPr>
              <w:t>Mode</w:t>
            </w:r>
          </w:p>
        </w:tc>
      </w:tr>
      <w:tr>
        <w:tc>
          <w:tcPr>
            <w:tcW w:type="dxa" w:w="1152"/>
          </w:tcPr>
          <w:p>
            <w:r/>
            <w:r>
              <w:rPr>
                <w:rFonts w:ascii="Calibri" w:hAnsi="Calibri"/>
                <w:color w:val="333333"/>
                <w:sz w:val="18"/>
              </w:rPr>
              <w:t>FR1.1</w:t>
            </w:r>
          </w:p>
        </w:tc>
        <w:tc>
          <w:tcPr>
            <w:tcW w:type="dxa" w:w="2160"/>
          </w:tcPr>
          <w:p>
            <w:r/>
            <w:r>
              <w:rPr>
                <w:rFonts w:ascii="Calibri" w:hAnsi="Calibri"/>
                <w:color w:val="333333"/>
                <w:sz w:val="18"/>
              </w:rPr>
              <w:t>Excel Data Ingestion</w:t>
            </w:r>
          </w:p>
        </w:tc>
        <w:tc>
          <w:tcPr>
            <w:tcW w:type="dxa" w:w="1728"/>
          </w:tcPr>
          <w:p>
            <w:r/>
            <w:r>
              <w:rPr>
                <w:rFonts w:ascii="Calibri" w:hAnsi="Calibri"/>
                <w:color w:val="333333"/>
                <w:sz w:val="18"/>
              </w:rPr>
              <w:t>TR6.1, TR6.2</w:t>
            </w:r>
          </w:p>
        </w:tc>
        <w:tc>
          <w:tcPr>
            <w:tcW w:type="dxa" w:w="2592"/>
          </w:tcPr>
          <w:p>
            <w:r/>
            <w:r>
              <w:rPr>
                <w:rFonts w:ascii="Calibri" w:hAnsi="Calibri"/>
                <w:color w:val="333333"/>
                <w:sz w:val="18"/>
              </w:rPr>
              <w:t>Connectivity, schema, fallback</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FR1.2</w:t>
            </w:r>
          </w:p>
        </w:tc>
        <w:tc>
          <w:tcPr>
            <w:tcW w:type="dxa" w:w="2160"/>
            <w:shd w:fill="F2F6FC"/>
          </w:tcPr>
          <w:p>
            <w:r/>
            <w:r>
              <w:rPr>
                <w:rFonts w:ascii="Calibri" w:hAnsi="Calibri"/>
                <w:color w:val="333333"/>
                <w:sz w:val="18"/>
              </w:rPr>
              <w:t>Competitor PDF Ingestion</w:t>
            </w:r>
          </w:p>
        </w:tc>
        <w:tc>
          <w:tcPr>
            <w:tcW w:type="dxa" w:w="1728"/>
            <w:shd w:fill="F2F6FC"/>
          </w:tcPr>
          <w:p>
            <w:r/>
            <w:r>
              <w:rPr>
                <w:rFonts w:ascii="Calibri" w:hAnsi="Calibri"/>
                <w:color w:val="333333"/>
                <w:sz w:val="18"/>
              </w:rPr>
              <w:t>TR5.1</w:t>
            </w:r>
          </w:p>
        </w:tc>
        <w:tc>
          <w:tcPr>
            <w:tcW w:type="dxa" w:w="2592"/>
            <w:shd w:fill="F2F6FC"/>
          </w:tcPr>
          <w:p>
            <w:r/>
            <w:r>
              <w:rPr>
                <w:rFonts w:ascii="Calibri" w:hAnsi="Calibri"/>
                <w:color w:val="333333"/>
                <w:sz w:val="18"/>
              </w:rPr>
              <w:t>Document parsing, summary accuracy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FR1.3</w:t>
            </w:r>
          </w:p>
        </w:tc>
        <w:tc>
          <w:tcPr>
            <w:tcW w:type="dxa" w:w="2160"/>
          </w:tcPr>
          <w:p>
            <w:r/>
            <w:r>
              <w:rPr>
                <w:rFonts w:ascii="Calibri" w:hAnsi="Calibri"/>
                <w:color w:val="333333"/>
                <w:sz w:val="18"/>
              </w:rPr>
              <w:t>Third-Party Connectors</w:t>
            </w:r>
          </w:p>
        </w:tc>
        <w:tc>
          <w:tcPr>
            <w:tcW w:type="dxa" w:w="1728"/>
          </w:tcPr>
          <w:p>
            <w:r/>
            <w:r>
              <w:rPr>
                <w:rFonts w:ascii="Calibri" w:hAnsi="Calibri"/>
                <w:color w:val="333333"/>
                <w:sz w:val="18"/>
              </w:rPr>
              <w:t>TR6.1</w:t>
            </w:r>
          </w:p>
        </w:tc>
        <w:tc>
          <w:tcPr>
            <w:tcW w:type="dxa" w:w="2592"/>
          </w:tcPr>
          <w:p>
            <w:r/>
            <w:r>
              <w:rPr>
                <w:rFonts w:ascii="Calibri" w:hAnsi="Calibri"/>
                <w:color w:val="333333"/>
                <w:sz w:val="18"/>
              </w:rPr>
              <w:t>Connector availability, data freshness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FR1.4</w:t>
            </w:r>
          </w:p>
        </w:tc>
        <w:tc>
          <w:tcPr>
            <w:tcW w:type="dxa" w:w="2160"/>
            <w:shd w:fill="F2F6FC"/>
          </w:tcPr>
          <w:p>
            <w:r/>
            <w:r>
              <w:rPr>
                <w:rFonts w:ascii="Calibri" w:hAnsi="Calibri"/>
                <w:color w:val="333333"/>
                <w:sz w:val="18"/>
              </w:rPr>
              <w:t>Data Lineage</w:t>
            </w:r>
          </w:p>
        </w:tc>
        <w:tc>
          <w:tcPr>
            <w:tcW w:type="dxa" w:w="1728"/>
            <w:shd w:fill="F2F6FC"/>
          </w:tcPr>
          <w:p>
            <w:r/>
            <w:r>
              <w:rPr>
                <w:rFonts w:ascii="Calibri" w:hAnsi="Calibri"/>
                <w:color w:val="333333"/>
                <w:sz w:val="18"/>
              </w:rPr>
              <w:t>TR9.2</w:t>
            </w:r>
          </w:p>
        </w:tc>
        <w:tc>
          <w:tcPr>
            <w:tcW w:type="dxa" w:w="2592"/>
            <w:shd w:fill="F2F6FC"/>
          </w:tcPr>
          <w:p>
            <w:r/>
            <w:r>
              <w:rPr>
                <w:rFonts w:ascii="Calibri" w:hAnsi="Calibri"/>
                <w:color w:val="333333"/>
                <w:sz w:val="18"/>
              </w:rPr>
              <w:t>Lineage tracking in test reports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FR1.5</w:t>
            </w:r>
          </w:p>
        </w:tc>
        <w:tc>
          <w:tcPr>
            <w:tcW w:type="dxa" w:w="2160"/>
          </w:tcPr>
          <w:p>
            <w:r/>
            <w:r>
              <w:rPr>
                <w:rFonts w:ascii="Calibri" w:hAnsi="Calibri"/>
                <w:color w:val="333333"/>
                <w:sz w:val="18"/>
              </w:rPr>
              <w:t>Scheduling</w:t>
            </w:r>
          </w:p>
        </w:tc>
        <w:tc>
          <w:tcPr>
            <w:tcW w:type="dxa" w:w="1728"/>
          </w:tcPr>
          <w:p>
            <w:r/>
            <w:r>
              <w:rPr>
                <w:rFonts w:ascii="Calibri" w:hAnsi="Calibri"/>
                <w:color w:val="333333"/>
                <w:sz w:val="18"/>
              </w:rPr>
              <w:t>TR7.3</w:t>
            </w:r>
          </w:p>
        </w:tc>
        <w:tc>
          <w:tcPr>
            <w:tcW w:type="dxa" w:w="2592"/>
          </w:tcPr>
          <w:p>
            <w:r/>
            <w:r>
              <w:rPr>
                <w:rFonts w:ascii="Calibri" w:hAnsi="Calibri"/>
                <w:color w:val="333333"/>
                <w:sz w:val="18"/>
              </w:rPr>
              <w:t>Scheduled ingestion triggers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FR1.6</w:t>
            </w:r>
          </w:p>
        </w:tc>
        <w:tc>
          <w:tcPr>
            <w:tcW w:type="dxa" w:w="2160"/>
            <w:shd w:fill="F2F6FC"/>
          </w:tcPr>
          <w:p>
            <w:r/>
            <w:r>
              <w:rPr>
                <w:rFonts w:ascii="Calibri" w:hAnsi="Calibri"/>
                <w:color w:val="333333"/>
                <w:sz w:val="18"/>
              </w:rPr>
              <w:t>Databricks Connectivity</w:t>
            </w:r>
          </w:p>
        </w:tc>
        <w:tc>
          <w:tcPr>
            <w:tcW w:type="dxa" w:w="1728"/>
            <w:shd w:fill="F2F6FC"/>
          </w:tcPr>
          <w:p>
            <w:r/>
            <w:r>
              <w:rPr>
                <w:rFonts w:ascii="Calibri" w:hAnsi="Calibri"/>
                <w:color w:val="333333"/>
                <w:sz w:val="18"/>
              </w:rPr>
              <w:t>TR6.1</w:t>
            </w:r>
          </w:p>
        </w:tc>
        <w:tc>
          <w:tcPr>
            <w:tcW w:type="dxa" w:w="2592"/>
            <w:shd w:fill="F2F6FC"/>
          </w:tcPr>
          <w:p>
            <w:r/>
            <w:r>
              <w:rPr>
                <w:rFonts w:ascii="Calibri" w:hAnsi="Calibri"/>
                <w:color w:val="333333"/>
                <w:sz w:val="18"/>
              </w:rPr>
              <w:t>All 20 finiq_ objects, row counts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FR2.1</w:t>
            </w:r>
          </w:p>
        </w:tc>
        <w:tc>
          <w:tcPr>
            <w:tcW w:type="dxa" w:w="2160"/>
          </w:tcPr>
          <w:p>
            <w:r/>
            <w:r>
              <w:rPr>
                <w:rFonts w:ascii="Calibri" w:hAnsi="Calibri"/>
                <w:color w:val="333333"/>
                <w:sz w:val="18"/>
              </w:rPr>
              <w:t>PES Generation</w:t>
            </w:r>
          </w:p>
        </w:tc>
        <w:tc>
          <w:tcPr>
            <w:tcW w:type="dxa" w:w="1728"/>
          </w:tcPr>
          <w:p>
            <w:r/>
            <w:r>
              <w:rPr>
                <w:rFonts w:ascii="Calibri" w:hAnsi="Calibri"/>
                <w:color w:val="333333"/>
                <w:sz w:val="18"/>
              </w:rPr>
              <w:t>TR2.1–TR2.5</w:t>
            </w:r>
          </w:p>
        </w:tc>
        <w:tc>
          <w:tcPr>
            <w:tcW w:type="dxa" w:w="2592"/>
          </w:tcPr>
          <w:p>
            <w:r/>
            <w:r>
              <w:rPr>
                <w:rFonts w:ascii="Calibri" w:hAnsi="Calibri"/>
                <w:color w:val="333333"/>
                <w:sz w:val="18"/>
              </w:rPr>
              <w:t>KPI accuracy, rankings, formats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FR2.2</w:t>
            </w:r>
          </w:p>
        </w:tc>
        <w:tc>
          <w:tcPr>
            <w:tcW w:type="dxa" w:w="2160"/>
            <w:shd w:fill="F2F6FC"/>
          </w:tcPr>
          <w:p>
            <w:r/>
            <w:r>
              <w:rPr>
                <w:rFonts w:ascii="Calibri" w:hAnsi="Calibri"/>
                <w:color w:val="333333"/>
                <w:sz w:val="18"/>
              </w:rPr>
              <w:t>Configurable KPIs</w:t>
            </w:r>
          </w:p>
        </w:tc>
        <w:tc>
          <w:tcPr>
            <w:tcW w:type="dxa" w:w="1728"/>
            <w:shd w:fill="F2F6FC"/>
          </w:tcPr>
          <w:p>
            <w:r/>
            <w:r>
              <w:rPr>
                <w:rFonts w:ascii="Calibri" w:hAnsi="Calibri"/>
                <w:color w:val="333333"/>
                <w:sz w:val="18"/>
              </w:rPr>
              <w:t>TR2.2</w:t>
            </w:r>
          </w:p>
        </w:tc>
        <w:tc>
          <w:tcPr>
            <w:tcW w:type="dxa" w:w="2592"/>
            <w:shd w:fill="F2F6FC"/>
          </w:tcPr>
          <w:p>
            <w:r/>
            <w:r>
              <w:rPr>
                <w:rFonts w:ascii="Calibri" w:hAnsi="Calibri"/>
                <w:color w:val="333333"/>
                <w:sz w:val="18"/>
              </w:rPr>
              <w:t>KPI tolerance, dynamic KPI sets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FR2.3</w:t>
            </w:r>
          </w:p>
        </w:tc>
        <w:tc>
          <w:tcPr>
            <w:tcW w:type="dxa" w:w="2160"/>
          </w:tcPr>
          <w:p>
            <w:r/>
            <w:r>
              <w:rPr>
                <w:rFonts w:ascii="Calibri" w:hAnsi="Calibri"/>
                <w:color w:val="333333"/>
                <w:sz w:val="18"/>
              </w:rPr>
              <w:t>Rankings</w:t>
            </w:r>
          </w:p>
        </w:tc>
        <w:tc>
          <w:tcPr>
            <w:tcW w:type="dxa" w:w="1728"/>
          </w:tcPr>
          <w:p>
            <w:r/>
            <w:r>
              <w:rPr>
                <w:rFonts w:ascii="Calibri" w:hAnsi="Calibri"/>
                <w:color w:val="333333"/>
                <w:sz w:val="18"/>
              </w:rPr>
              <w:t>TR2.3</w:t>
            </w:r>
          </w:p>
        </w:tc>
        <w:tc>
          <w:tcPr>
            <w:tcW w:type="dxa" w:w="2592"/>
          </w:tcPr>
          <w:p>
            <w:r/>
            <w:r>
              <w:rPr>
                <w:rFonts w:ascii="Calibri" w:hAnsi="Calibri"/>
                <w:color w:val="333333"/>
                <w:sz w:val="18"/>
              </w:rPr>
              <w:t>RANK 1, TOP 3, BOTTOM 3 validation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FR2.4</w:t>
            </w:r>
          </w:p>
        </w:tc>
        <w:tc>
          <w:tcPr>
            <w:tcW w:type="dxa" w:w="2160"/>
            <w:shd w:fill="F2F6FC"/>
          </w:tcPr>
          <w:p>
            <w:r/>
            <w:r>
              <w:rPr>
                <w:rFonts w:ascii="Calibri" w:hAnsi="Calibri"/>
                <w:color w:val="333333"/>
                <w:sz w:val="18"/>
              </w:rPr>
              <w:t>Interactive Tables</w:t>
            </w:r>
          </w:p>
        </w:tc>
        <w:tc>
          <w:tcPr>
            <w:tcW w:type="dxa" w:w="1728"/>
            <w:shd w:fill="F2F6FC"/>
          </w:tcPr>
          <w:p>
            <w:r/>
            <w:r>
              <w:rPr>
                <w:rFonts w:ascii="Calibri" w:hAnsi="Calibri"/>
                <w:color w:val="333333"/>
                <w:sz w:val="18"/>
              </w:rPr>
              <w:t>TR2.1</w:t>
            </w:r>
          </w:p>
        </w:tc>
        <w:tc>
          <w:tcPr>
            <w:tcW w:type="dxa" w:w="2592"/>
            <w:shd w:fill="F2F6FC"/>
          </w:tcPr>
          <w:p>
            <w:r/>
            <w:r>
              <w:rPr>
                <w:rFonts w:ascii="Calibri" w:hAnsi="Calibri"/>
                <w:color w:val="333333"/>
                <w:sz w:val="18"/>
              </w:rPr>
              <w:t>Table rendering, data accuracy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FR2.5</w:t>
            </w:r>
          </w:p>
        </w:tc>
        <w:tc>
          <w:tcPr>
            <w:tcW w:type="dxa" w:w="2160"/>
          </w:tcPr>
          <w:p>
            <w:r/>
            <w:r>
              <w:rPr>
                <w:rFonts w:ascii="Calibri" w:hAnsi="Calibri"/>
                <w:color w:val="333333"/>
                <w:sz w:val="18"/>
              </w:rPr>
              <w:t>Custom Report Builder</w:t>
            </w:r>
          </w:p>
        </w:tc>
        <w:tc>
          <w:tcPr>
            <w:tcW w:type="dxa" w:w="1728"/>
          </w:tcPr>
          <w:p>
            <w:r/>
            <w:r>
              <w:rPr>
                <w:rFonts w:ascii="Calibri" w:hAnsi="Calibri"/>
                <w:color w:val="333333"/>
                <w:sz w:val="18"/>
              </w:rPr>
              <w:t>TR4.1</w:t>
            </w:r>
          </w:p>
        </w:tc>
        <w:tc>
          <w:tcPr>
            <w:tcW w:type="dxa" w:w="2592"/>
          </w:tcPr>
          <w:p>
            <w:r/>
            <w:r>
              <w:rPr>
                <w:rFonts w:ascii="Calibri" w:hAnsi="Calibri"/>
                <w:color w:val="333333"/>
                <w:sz w:val="18"/>
              </w:rPr>
              <w:t>Query-driven report generation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FR2.6</w:t>
            </w:r>
          </w:p>
        </w:tc>
        <w:tc>
          <w:tcPr>
            <w:tcW w:type="dxa" w:w="2160"/>
            <w:shd w:fill="F2F6FC"/>
          </w:tcPr>
          <w:p>
            <w:r/>
            <w:r>
              <w:rPr>
                <w:rFonts w:ascii="Calibri" w:hAnsi="Calibri"/>
                <w:color w:val="333333"/>
                <w:sz w:val="18"/>
              </w:rPr>
              <w:t>Export</w:t>
            </w:r>
          </w:p>
        </w:tc>
        <w:tc>
          <w:tcPr>
            <w:tcW w:type="dxa" w:w="1728"/>
            <w:shd w:fill="F2F6FC"/>
          </w:tcPr>
          <w:p>
            <w:r/>
            <w:r>
              <w:rPr>
                <w:rFonts w:ascii="Calibri" w:hAnsi="Calibri"/>
                <w:color w:val="333333"/>
                <w:sz w:val="18"/>
              </w:rPr>
              <w:t>TR9.1</w:t>
            </w:r>
          </w:p>
        </w:tc>
        <w:tc>
          <w:tcPr>
            <w:tcW w:type="dxa" w:w="2592"/>
            <w:shd w:fill="F2F6FC"/>
          </w:tcPr>
          <w:p>
            <w:r/>
            <w:r>
              <w:rPr>
                <w:rFonts w:ascii="Calibri" w:hAnsi="Calibri"/>
                <w:color w:val="333333"/>
                <w:sz w:val="18"/>
              </w:rPr>
              <w:t>JSON, HTML, PDF export correctness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FR2.7</w:t>
            </w:r>
          </w:p>
        </w:tc>
        <w:tc>
          <w:tcPr>
            <w:tcW w:type="dxa" w:w="2160"/>
          </w:tcPr>
          <w:p>
            <w:r/>
            <w:r>
              <w:rPr>
                <w:rFonts w:ascii="Calibri" w:hAnsi="Calibri"/>
                <w:color w:val="333333"/>
                <w:sz w:val="18"/>
              </w:rPr>
              <w:t>Budget Variance</w:t>
            </w:r>
          </w:p>
        </w:tc>
        <w:tc>
          <w:tcPr>
            <w:tcW w:type="dxa" w:w="1728"/>
          </w:tcPr>
          <w:p>
            <w:r/>
            <w:r>
              <w:rPr>
                <w:rFonts w:ascii="Calibri" w:hAnsi="Calibri"/>
                <w:color w:val="333333"/>
                <w:sz w:val="18"/>
              </w:rPr>
              <w:t>TR3.1–TR3.3</w:t>
            </w:r>
          </w:p>
        </w:tc>
        <w:tc>
          <w:tcPr>
            <w:tcW w:type="dxa" w:w="2592"/>
          </w:tcPr>
          <w:p>
            <w:r/>
            <w:r>
              <w:rPr>
                <w:rFonts w:ascii="Calibri" w:hAnsi="Calibri"/>
                <w:color w:val="333333"/>
                <w:sz w:val="18"/>
              </w:rPr>
              <w:t>Variance calcs, three-way, currency</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FR3.1</w:t>
            </w:r>
          </w:p>
        </w:tc>
        <w:tc>
          <w:tcPr>
            <w:tcW w:type="dxa" w:w="2160"/>
            <w:shd w:fill="F2F6FC"/>
          </w:tcPr>
          <w:p>
            <w:r/>
            <w:r>
              <w:rPr>
                <w:rFonts w:ascii="Calibri" w:hAnsi="Calibri"/>
                <w:color w:val="333333"/>
                <w:sz w:val="18"/>
              </w:rPr>
              <w:t>Themed Summaries</w:t>
            </w:r>
          </w:p>
        </w:tc>
        <w:tc>
          <w:tcPr>
            <w:tcW w:type="dxa" w:w="1728"/>
            <w:shd w:fill="F2F6FC"/>
          </w:tcPr>
          <w:p>
            <w:r/>
            <w:r>
              <w:rPr>
                <w:rFonts w:ascii="Calibri" w:hAnsi="Calibri"/>
                <w:color w:val="333333"/>
                <w:sz w:val="18"/>
              </w:rPr>
              <w:t>TR5.1</w:t>
            </w:r>
          </w:p>
        </w:tc>
        <w:tc>
          <w:tcPr>
            <w:tcW w:type="dxa" w:w="2592"/>
            <w:shd w:fill="F2F6FC"/>
          </w:tcPr>
          <w:p>
            <w:r/>
            <w:r>
              <w:rPr>
                <w:rFonts w:ascii="Calibri" w:hAnsi="Calibri"/>
                <w:color w:val="333333"/>
                <w:sz w:val="18"/>
              </w:rPr>
              <w:t>7 theme types, source attribution</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FR3.2</w:t>
            </w:r>
          </w:p>
        </w:tc>
        <w:tc>
          <w:tcPr>
            <w:tcW w:type="dxa" w:w="2160"/>
          </w:tcPr>
          <w:p>
            <w:r/>
            <w:r>
              <w:rPr>
                <w:rFonts w:ascii="Calibri" w:hAnsi="Calibri"/>
                <w:color w:val="333333"/>
                <w:sz w:val="18"/>
              </w:rPr>
              <w:t>P2P Benchmarking</w:t>
            </w:r>
          </w:p>
        </w:tc>
        <w:tc>
          <w:tcPr>
            <w:tcW w:type="dxa" w:w="1728"/>
          </w:tcPr>
          <w:p>
            <w:r/>
            <w:r>
              <w:rPr>
                <w:rFonts w:ascii="Calibri" w:hAnsi="Calibri"/>
                <w:color w:val="333333"/>
                <w:sz w:val="18"/>
              </w:rPr>
              <w:t>TR5.2</w:t>
            </w:r>
          </w:p>
        </w:tc>
        <w:tc>
          <w:tcPr>
            <w:tcW w:type="dxa" w:w="2592"/>
          </w:tcPr>
          <w:p>
            <w:r/>
            <w:r>
              <w:rPr>
                <w:rFonts w:ascii="Calibri" w:hAnsi="Calibri"/>
                <w:color w:val="333333"/>
                <w:sz w:val="18"/>
              </w:rPr>
              <w:t>Quantitative tables, peer groups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FR3.3</w:t>
            </w:r>
          </w:p>
        </w:tc>
        <w:tc>
          <w:tcPr>
            <w:tcW w:type="dxa" w:w="2160"/>
            <w:shd w:fill="F2F6FC"/>
          </w:tcPr>
          <w:p>
            <w:r/>
            <w:r>
              <w:rPr>
                <w:rFonts w:ascii="Calibri" w:hAnsi="Calibri"/>
                <w:color w:val="333333"/>
                <w:sz w:val="18"/>
              </w:rPr>
              <w:t>Cross-Reference</w:t>
            </w:r>
          </w:p>
        </w:tc>
        <w:tc>
          <w:tcPr>
            <w:tcW w:type="dxa" w:w="1728"/>
            <w:shd w:fill="F2F6FC"/>
          </w:tcPr>
          <w:p>
            <w:r/>
            <w:r>
              <w:rPr>
                <w:rFonts w:ascii="Calibri" w:hAnsi="Calibri"/>
                <w:color w:val="333333"/>
                <w:sz w:val="18"/>
              </w:rPr>
              <w:t>TR5.3</w:t>
            </w:r>
          </w:p>
        </w:tc>
        <w:tc>
          <w:tcPr>
            <w:tcW w:type="dxa" w:w="2592"/>
            <w:shd w:fill="F2F6FC"/>
          </w:tcPr>
          <w:p>
            <w:r/>
            <w:r>
              <w:rPr>
                <w:rFonts w:ascii="Calibri" w:hAnsi="Calibri"/>
                <w:color w:val="333333"/>
                <w:sz w:val="18"/>
              </w:rPr>
              <w:t>Internal + external data queries</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FR3.4</w:t>
            </w:r>
          </w:p>
        </w:tc>
        <w:tc>
          <w:tcPr>
            <w:tcW w:type="dxa" w:w="2160"/>
          </w:tcPr>
          <w:p>
            <w:r/>
            <w:r>
              <w:rPr>
                <w:rFonts w:ascii="Calibri" w:hAnsi="Calibri"/>
                <w:color w:val="333333"/>
                <w:sz w:val="18"/>
              </w:rPr>
              <w:t>Monitoring</w:t>
            </w:r>
          </w:p>
        </w:tc>
        <w:tc>
          <w:tcPr>
            <w:tcW w:type="dxa" w:w="1728"/>
          </w:tcPr>
          <w:p>
            <w:r/>
            <w:r>
              <w:rPr>
                <w:rFonts w:ascii="Calibri" w:hAnsi="Calibri"/>
                <w:color w:val="333333"/>
                <w:sz w:val="18"/>
              </w:rPr>
              <w:t>TR5.1</w:t>
            </w:r>
          </w:p>
        </w:tc>
        <w:tc>
          <w:tcPr>
            <w:tcW w:type="dxa" w:w="2592"/>
          </w:tcPr>
          <w:p>
            <w:r/>
            <w:r>
              <w:rPr>
                <w:rFonts w:ascii="Calibri" w:hAnsi="Calibri"/>
                <w:color w:val="333333"/>
                <w:sz w:val="18"/>
              </w:rPr>
              <w:t>New document detection, alerts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FR4.1</w:t>
            </w:r>
          </w:p>
        </w:tc>
        <w:tc>
          <w:tcPr>
            <w:tcW w:type="dxa" w:w="2160"/>
            <w:shd w:fill="F2F6FC"/>
          </w:tcPr>
          <w:p>
            <w:r/>
            <w:r>
              <w:rPr>
                <w:rFonts w:ascii="Calibri" w:hAnsi="Calibri"/>
                <w:color w:val="333333"/>
                <w:sz w:val="18"/>
              </w:rPr>
              <w:t>Query Engine</w:t>
            </w:r>
          </w:p>
        </w:tc>
        <w:tc>
          <w:tcPr>
            <w:tcW w:type="dxa" w:w="1728"/>
            <w:shd w:fill="F2F6FC"/>
          </w:tcPr>
          <w:p>
            <w:r/>
            <w:r>
              <w:rPr>
                <w:rFonts w:ascii="Calibri" w:hAnsi="Calibri"/>
                <w:color w:val="333333"/>
                <w:sz w:val="18"/>
              </w:rPr>
              <w:t>TR4.1–TR4.4</w:t>
            </w:r>
          </w:p>
        </w:tc>
        <w:tc>
          <w:tcPr>
            <w:tcW w:type="dxa" w:w="2592"/>
            <w:shd w:fill="F2F6FC"/>
          </w:tcPr>
          <w:p>
            <w:r/>
            <w:r>
              <w:rPr>
                <w:rFonts w:ascii="Calibri" w:hAnsi="Calibri"/>
                <w:color w:val="333333"/>
                <w:sz w:val="18"/>
              </w:rPr>
              <w:t>Accuracy, attribution, multi-turn</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FR4.2</w:t>
            </w:r>
          </w:p>
        </w:tc>
        <w:tc>
          <w:tcPr>
            <w:tcW w:type="dxa" w:w="2160"/>
          </w:tcPr>
          <w:p>
            <w:r/>
            <w:r>
              <w:rPr>
                <w:rFonts w:ascii="Calibri" w:hAnsi="Calibri"/>
                <w:color w:val="333333"/>
                <w:sz w:val="18"/>
              </w:rPr>
              <w:t>Multi-Turn</w:t>
            </w:r>
          </w:p>
        </w:tc>
        <w:tc>
          <w:tcPr>
            <w:tcW w:type="dxa" w:w="1728"/>
          </w:tcPr>
          <w:p>
            <w:r/>
            <w:r>
              <w:rPr>
                <w:rFonts w:ascii="Calibri" w:hAnsi="Calibri"/>
                <w:color w:val="333333"/>
                <w:sz w:val="18"/>
              </w:rPr>
              <w:t>TR4.3</w:t>
            </w:r>
          </w:p>
        </w:tc>
        <w:tc>
          <w:tcPr>
            <w:tcW w:type="dxa" w:w="2592"/>
          </w:tcPr>
          <w:p>
            <w:r/>
            <w:r>
              <w:rPr>
                <w:rFonts w:ascii="Calibri" w:hAnsi="Calibri"/>
                <w:color w:val="333333"/>
                <w:sz w:val="18"/>
              </w:rPr>
              <w:t>Context maintenance, pronoun resolution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FR4.3</w:t>
            </w:r>
          </w:p>
        </w:tc>
        <w:tc>
          <w:tcPr>
            <w:tcW w:type="dxa" w:w="2160"/>
            <w:shd w:fill="F2F6FC"/>
          </w:tcPr>
          <w:p>
            <w:r/>
            <w:r>
              <w:rPr>
                <w:rFonts w:ascii="Calibri" w:hAnsi="Calibri"/>
                <w:color w:val="333333"/>
                <w:sz w:val="18"/>
              </w:rPr>
              <w:t>Intent Classification</w:t>
            </w:r>
          </w:p>
        </w:tc>
        <w:tc>
          <w:tcPr>
            <w:tcW w:type="dxa" w:w="1728"/>
            <w:shd w:fill="F2F6FC"/>
          </w:tcPr>
          <w:p>
            <w:r/>
            <w:r>
              <w:rPr>
                <w:rFonts w:ascii="Calibri" w:hAnsi="Calibri"/>
                <w:color w:val="333333"/>
                <w:sz w:val="18"/>
              </w:rPr>
              <w:t>TR4.4</w:t>
            </w:r>
          </w:p>
        </w:tc>
        <w:tc>
          <w:tcPr>
            <w:tcW w:type="dxa" w:w="2592"/>
            <w:shd w:fill="F2F6FC"/>
          </w:tcPr>
          <w:p>
            <w:r/>
            <w:r>
              <w:rPr>
                <w:rFonts w:ascii="Calibri" w:hAnsi="Calibri"/>
                <w:color w:val="333333"/>
                <w:sz w:val="18"/>
              </w:rPr>
              <w:t>Pipeline routing accuracy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FR4.4</w:t>
            </w:r>
          </w:p>
        </w:tc>
        <w:tc>
          <w:tcPr>
            <w:tcW w:type="dxa" w:w="2160"/>
          </w:tcPr>
          <w:p>
            <w:r/>
            <w:r>
              <w:rPr>
                <w:rFonts w:ascii="Calibri" w:hAnsi="Calibri"/>
                <w:color w:val="333333"/>
                <w:sz w:val="18"/>
              </w:rPr>
              <w:t>Source Attribution</w:t>
            </w:r>
          </w:p>
        </w:tc>
        <w:tc>
          <w:tcPr>
            <w:tcW w:type="dxa" w:w="1728"/>
          </w:tcPr>
          <w:p>
            <w:r/>
            <w:r>
              <w:rPr>
                <w:rFonts w:ascii="Calibri" w:hAnsi="Calibri"/>
                <w:color w:val="333333"/>
                <w:sz w:val="18"/>
              </w:rPr>
              <w:t>TR4.2</w:t>
            </w:r>
          </w:p>
        </w:tc>
        <w:tc>
          <w:tcPr>
            <w:tcW w:type="dxa" w:w="2592"/>
          </w:tcPr>
          <w:p>
            <w:r/>
            <w:r>
              <w:rPr>
                <w:rFonts w:ascii="Calibri" w:hAnsi="Calibri"/>
                <w:color w:val="333333"/>
                <w:sz w:val="18"/>
              </w:rPr>
              <w:t>Citation correctness, link validity</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FR5.1</w:t>
            </w:r>
          </w:p>
        </w:tc>
        <w:tc>
          <w:tcPr>
            <w:tcW w:type="dxa" w:w="2160"/>
            <w:shd w:fill="F2F6FC"/>
          </w:tcPr>
          <w:p>
            <w:r/>
            <w:r>
              <w:rPr>
                <w:rFonts w:ascii="Calibri" w:hAnsi="Calibri"/>
                <w:color w:val="333333"/>
                <w:sz w:val="18"/>
              </w:rPr>
              <w:t>Job Submission</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Lifecycle from submit to complete</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FR5.2</w:t>
            </w:r>
          </w:p>
        </w:tc>
        <w:tc>
          <w:tcPr>
            <w:tcW w:type="dxa" w:w="2160"/>
          </w:tcPr>
          <w:p>
            <w:r/>
            <w:r>
              <w:rPr>
                <w:rFonts w:ascii="Calibri" w:hAnsi="Calibri"/>
                <w:color w:val="333333"/>
                <w:sz w:val="18"/>
              </w:rPr>
              <w:t>Agent Pool</w:t>
            </w:r>
          </w:p>
        </w:tc>
        <w:tc>
          <w:tcPr>
            <w:tcW w:type="dxa" w:w="1728"/>
          </w:tcPr>
          <w:p>
            <w:r/>
            <w:r>
              <w:rPr>
                <w:rFonts w:ascii="Calibri" w:hAnsi="Calibri"/>
                <w:color w:val="333333"/>
                <w:sz w:val="18"/>
              </w:rPr>
              <w:t>TR7.1</w:t>
            </w:r>
          </w:p>
        </w:tc>
        <w:tc>
          <w:tcPr>
            <w:tcW w:type="dxa" w:w="2592"/>
          </w:tcPr>
          <w:p>
            <w:r/>
            <w:r>
              <w:rPr>
                <w:rFonts w:ascii="Calibri" w:hAnsi="Calibri"/>
                <w:color w:val="333333"/>
                <w:sz w:val="18"/>
              </w:rPr>
              <w:t>Agent assignment, capacity</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FR5.3</w:t>
            </w:r>
          </w:p>
        </w:tc>
        <w:tc>
          <w:tcPr>
            <w:tcW w:type="dxa" w:w="2160"/>
            <w:shd w:fill="F2F6FC"/>
          </w:tcPr>
          <w:p>
            <w:r/>
            <w:r>
              <w:rPr>
                <w:rFonts w:ascii="Calibri" w:hAnsi="Calibri"/>
                <w:color w:val="333333"/>
                <w:sz w:val="18"/>
              </w:rPr>
              <w:t>SLA Routing</w:t>
            </w:r>
          </w:p>
        </w:tc>
        <w:tc>
          <w:tcPr>
            <w:tcW w:type="dxa" w:w="1728"/>
            <w:shd w:fill="F2F6FC"/>
          </w:tcPr>
          <w:p>
            <w:r/>
            <w:r>
              <w:rPr>
                <w:rFonts w:ascii="Calibri" w:hAnsi="Calibri"/>
                <w:color w:val="333333"/>
                <w:sz w:val="18"/>
              </w:rPr>
              <w:t>TR7.2</w:t>
            </w:r>
          </w:p>
        </w:tc>
        <w:tc>
          <w:tcPr>
            <w:tcW w:type="dxa" w:w="2592"/>
            <w:shd w:fill="F2F6FC"/>
          </w:tcPr>
          <w:p>
            <w:r/>
            <w:r>
              <w:rPr>
                <w:rFonts w:ascii="Calibri" w:hAnsi="Calibri"/>
                <w:color w:val="333333"/>
                <w:sz w:val="18"/>
              </w:rPr>
              <w:t>Priority-based SLA compliance</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FR5.4</w:t>
            </w:r>
          </w:p>
        </w:tc>
        <w:tc>
          <w:tcPr>
            <w:tcW w:type="dxa" w:w="2160"/>
          </w:tcPr>
          <w:p>
            <w:r/>
            <w:r>
              <w:rPr>
                <w:rFonts w:ascii="Calibri" w:hAnsi="Calibri"/>
                <w:color w:val="333333"/>
                <w:sz w:val="18"/>
              </w:rPr>
              <w:t>Lifecycle</w:t>
            </w:r>
          </w:p>
        </w:tc>
        <w:tc>
          <w:tcPr>
            <w:tcW w:type="dxa" w:w="1728"/>
          </w:tcPr>
          <w:p>
            <w:r/>
            <w:r>
              <w:rPr>
                <w:rFonts w:ascii="Calibri" w:hAnsi="Calibri"/>
                <w:color w:val="333333"/>
                <w:sz w:val="18"/>
              </w:rPr>
              <w:t>TR7.1</w:t>
            </w:r>
          </w:p>
        </w:tc>
        <w:tc>
          <w:tcPr>
            <w:tcW w:type="dxa" w:w="2592"/>
          </w:tcPr>
          <w:p>
            <w:r/>
            <w:r>
              <w:rPr>
                <w:rFonts w:ascii="Calibri" w:hAnsi="Calibri"/>
                <w:color w:val="333333"/>
                <w:sz w:val="18"/>
              </w:rPr>
              <w:t>All state transitions verified</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FR5.5</w:t>
            </w:r>
          </w:p>
        </w:tc>
        <w:tc>
          <w:tcPr>
            <w:tcW w:type="dxa" w:w="2160"/>
            <w:shd w:fill="F2F6FC"/>
          </w:tcPr>
          <w:p>
            <w:r/>
            <w:r>
              <w:rPr>
                <w:rFonts w:ascii="Calibri" w:hAnsi="Calibri"/>
                <w:color w:val="333333"/>
                <w:sz w:val="18"/>
              </w:rPr>
              <w:t>Dashboard</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Job status visibility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FR5.6</w:t>
            </w:r>
          </w:p>
        </w:tc>
        <w:tc>
          <w:tcPr>
            <w:tcW w:type="dxa" w:w="2160"/>
          </w:tcPr>
          <w:p>
            <w:r/>
            <w:r>
              <w:rPr>
                <w:rFonts w:ascii="Calibri" w:hAnsi="Calibri"/>
                <w:color w:val="333333"/>
                <w:sz w:val="18"/>
              </w:rPr>
              <w:t>Scheduling</w:t>
            </w:r>
          </w:p>
        </w:tc>
        <w:tc>
          <w:tcPr>
            <w:tcW w:type="dxa" w:w="1728"/>
          </w:tcPr>
          <w:p>
            <w:r/>
            <w:r>
              <w:rPr>
                <w:rFonts w:ascii="Calibri" w:hAnsi="Calibri"/>
                <w:color w:val="333333"/>
                <w:sz w:val="18"/>
              </w:rPr>
              <w:t>TR7.3</w:t>
            </w:r>
          </w:p>
        </w:tc>
        <w:tc>
          <w:tcPr>
            <w:tcW w:type="dxa" w:w="2592"/>
          </w:tcPr>
          <w:p>
            <w:r/>
            <w:r>
              <w:rPr>
                <w:rFonts w:ascii="Calibri" w:hAnsi="Calibri"/>
                <w:color w:val="333333"/>
                <w:sz w:val="18"/>
              </w:rPr>
              <w:t>Recurring job execution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FR5.7</w:t>
            </w:r>
          </w:p>
        </w:tc>
        <w:tc>
          <w:tcPr>
            <w:tcW w:type="dxa" w:w="2160"/>
            <w:shd w:fill="F2F6FC"/>
          </w:tcPr>
          <w:p>
            <w:r/>
            <w:r>
              <w:rPr>
                <w:rFonts w:ascii="Calibri" w:hAnsi="Calibri"/>
                <w:color w:val="333333"/>
                <w:sz w:val="18"/>
              </w:rPr>
              <w:t>Review</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Job result review workflow</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FR6.1</w:t>
            </w:r>
          </w:p>
        </w:tc>
        <w:tc>
          <w:tcPr>
            <w:tcW w:type="dxa" w:w="2160"/>
          </w:tcPr>
          <w:p>
            <w:r/>
            <w:r>
              <w:rPr>
                <w:rFonts w:ascii="Calibri" w:hAnsi="Calibri"/>
                <w:color w:val="333333"/>
                <w:sz w:val="18"/>
              </w:rPr>
              <w:t>Forecasting API</w:t>
            </w:r>
          </w:p>
        </w:tc>
        <w:tc>
          <w:tcPr>
            <w:tcW w:type="dxa" w:w="1728"/>
          </w:tcPr>
          <w:p>
            <w:r/>
            <w:r>
              <w:rPr>
                <w:rFonts w:ascii="Calibri" w:hAnsi="Calibri"/>
                <w:color w:val="333333"/>
                <w:sz w:val="18"/>
              </w:rPr>
              <w:t>TR4.1</w:t>
            </w:r>
          </w:p>
        </w:tc>
        <w:tc>
          <w:tcPr>
            <w:tcW w:type="dxa" w:w="2592"/>
          </w:tcPr>
          <w:p>
            <w:r/>
            <w:r>
              <w:rPr>
                <w:rFonts w:ascii="Calibri" w:hAnsi="Calibri"/>
                <w:color w:val="333333"/>
                <w:sz w:val="18"/>
              </w:rPr>
              <w:t>Forecast data in query responses</w:t>
            </w:r>
          </w:p>
        </w:tc>
        <w:tc>
          <w:tcPr>
            <w:tcW w:type="dxa" w:w="864"/>
          </w:tcPr>
          <w:p>
            <w:r/>
            <w:r>
              <w:rPr>
                <w:rFonts w:ascii="Calibri" w:hAnsi="Calibri"/>
                <w:color w:val="333333"/>
                <w:sz w:val="18"/>
              </w:rPr>
              <w:t>Real</w:t>
            </w:r>
          </w:p>
        </w:tc>
      </w:tr>
      <w:tr>
        <w:tc>
          <w:tcPr>
            <w:tcW w:type="dxa" w:w="1152"/>
            <w:shd w:fill="F2F6FC"/>
          </w:tcPr>
          <w:p>
            <w:r/>
            <w:r>
              <w:rPr>
                <w:rFonts w:ascii="Calibri" w:hAnsi="Calibri"/>
                <w:color w:val="333333"/>
                <w:sz w:val="18"/>
              </w:rPr>
              <w:t>FR6.2</w:t>
            </w:r>
          </w:p>
        </w:tc>
        <w:tc>
          <w:tcPr>
            <w:tcW w:type="dxa" w:w="2160"/>
            <w:shd w:fill="F2F6FC"/>
          </w:tcPr>
          <w:p>
            <w:r/>
            <w:r>
              <w:rPr>
                <w:rFonts w:ascii="Calibri" w:hAnsi="Calibri"/>
                <w:color w:val="333333"/>
                <w:sz w:val="18"/>
              </w:rPr>
              <w:t>Marketing API</w:t>
            </w:r>
          </w:p>
        </w:tc>
        <w:tc>
          <w:tcPr>
            <w:tcW w:type="dxa" w:w="1728"/>
            <w:shd w:fill="F2F6FC"/>
          </w:tcPr>
          <w:p>
            <w:r/>
            <w:r>
              <w:rPr>
                <w:rFonts w:ascii="Calibri" w:hAnsi="Calibri"/>
                <w:color w:val="333333"/>
                <w:sz w:val="18"/>
              </w:rPr>
              <w:t>TR4.1</w:t>
            </w:r>
          </w:p>
        </w:tc>
        <w:tc>
          <w:tcPr>
            <w:tcW w:type="dxa" w:w="2592"/>
            <w:shd w:fill="F2F6FC"/>
          </w:tcPr>
          <w:p>
            <w:r/>
            <w:r>
              <w:rPr>
                <w:rFonts w:ascii="Calibri" w:hAnsi="Calibri"/>
                <w:color w:val="333333"/>
                <w:sz w:val="18"/>
              </w:rPr>
              <w:t>Marketing data in query responses</w:t>
            </w:r>
          </w:p>
        </w:tc>
        <w:tc>
          <w:tcPr>
            <w:tcW w:type="dxa" w:w="864"/>
            <w:shd w:fill="F2F6FC"/>
          </w:tcPr>
          <w:p>
            <w:r/>
            <w:r>
              <w:rPr>
                <w:rFonts w:ascii="Calibri" w:hAnsi="Calibri"/>
                <w:color w:val="333333"/>
                <w:sz w:val="18"/>
              </w:rPr>
              <w:t>Real</w:t>
            </w:r>
          </w:p>
        </w:tc>
      </w:tr>
      <w:tr>
        <w:tc>
          <w:tcPr>
            <w:tcW w:type="dxa" w:w="1152"/>
          </w:tcPr>
          <w:p>
            <w:r/>
            <w:r>
              <w:rPr>
                <w:rFonts w:ascii="Calibri" w:hAnsi="Calibri"/>
                <w:color w:val="333333"/>
                <w:sz w:val="18"/>
              </w:rPr>
              <w:t>FR6.3</w:t>
            </w:r>
          </w:p>
        </w:tc>
        <w:tc>
          <w:tcPr>
            <w:tcW w:type="dxa" w:w="2160"/>
          </w:tcPr>
          <w:p>
            <w:r/>
            <w:r>
              <w:rPr>
                <w:rFonts w:ascii="Calibri" w:hAnsi="Calibri"/>
                <w:color w:val="333333"/>
                <w:sz w:val="18"/>
              </w:rPr>
              <w:t>Recommendation Engine</w:t>
            </w:r>
          </w:p>
        </w:tc>
        <w:tc>
          <w:tcPr>
            <w:tcW w:type="dxa" w:w="1728"/>
          </w:tcPr>
          <w:p>
            <w:r/>
            <w:r>
              <w:rPr>
                <w:rFonts w:ascii="Calibri" w:hAnsi="Calibri"/>
                <w:color w:val="333333"/>
                <w:sz w:val="18"/>
              </w:rPr>
              <w:t>TR4.1</w:t>
            </w:r>
          </w:p>
        </w:tc>
        <w:tc>
          <w:tcPr>
            <w:tcW w:type="dxa" w:w="2592"/>
          </w:tcPr>
          <w:p>
            <w:r/>
            <w:r>
              <w:rPr>
                <w:rFonts w:ascii="Calibri" w:hAnsi="Calibri"/>
                <w:color w:val="333333"/>
                <w:sz w:val="18"/>
              </w:rPr>
              <w:t>Recommendation accuracy</w:t>
            </w:r>
          </w:p>
        </w:tc>
        <w:tc>
          <w:tcPr>
            <w:tcW w:type="dxa" w:w="864"/>
          </w:tcPr>
          <w:p>
            <w:r/>
            <w:r>
              <w:rPr>
                <w:rFonts w:ascii="Calibri" w:hAnsi="Calibri"/>
                <w:color w:val="333333"/>
                <w:sz w:val="18"/>
              </w:rPr>
              <w:t>Real</w:t>
            </w:r>
          </w:p>
        </w:tc>
      </w:tr>
      <w:tr>
        <w:tc>
          <w:tcPr>
            <w:tcW w:type="dxa" w:w="1152"/>
            <w:shd w:fill="F2F6FC"/>
          </w:tcPr>
          <w:p>
            <w:r/>
            <w:r>
              <w:rPr>
                <w:rFonts w:ascii="Calibri" w:hAnsi="Calibri"/>
                <w:color w:val="333333"/>
                <w:sz w:val="18"/>
              </w:rPr>
              <w:t>FR6.4</w:t>
            </w:r>
          </w:p>
        </w:tc>
        <w:tc>
          <w:tcPr>
            <w:tcW w:type="dxa" w:w="2160"/>
            <w:shd w:fill="F2F6FC"/>
          </w:tcPr>
          <w:p>
            <w:r/>
            <w:r>
              <w:rPr>
                <w:rFonts w:ascii="Calibri" w:hAnsi="Calibri"/>
                <w:color w:val="333333"/>
                <w:sz w:val="18"/>
              </w:rPr>
              <w:t>External Gateway</w:t>
            </w:r>
          </w:p>
        </w:tc>
        <w:tc>
          <w:tcPr>
            <w:tcW w:type="dxa" w:w="1728"/>
            <w:shd w:fill="F2F6FC"/>
          </w:tcPr>
          <w:p>
            <w:r/>
            <w:r>
              <w:rPr>
                <w:rFonts w:ascii="Calibri" w:hAnsi="Calibri"/>
                <w:color w:val="333333"/>
                <w:sz w:val="18"/>
              </w:rPr>
              <w:t>TR6.1</w:t>
            </w:r>
          </w:p>
        </w:tc>
        <w:tc>
          <w:tcPr>
            <w:tcW w:type="dxa" w:w="2592"/>
            <w:shd w:fill="F2F6FC"/>
          </w:tcPr>
          <w:p>
            <w:r/>
            <w:r>
              <w:rPr>
                <w:rFonts w:ascii="Calibri" w:hAnsi="Calibri"/>
                <w:color w:val="333333"/>
                <w:sz w:val="18"/>
              </w:rPr>
              <w:t>Third-party data connectivity</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FR6.5</w:t>
            </w:r>
          </w:p>
        </w:tc>
        <w:tc>
          <w:tcPr>
            <w:tcW w:type="dxa" w:w="2160"/>
          </w:tcPr>
          <w:p>
            <w:r/>
            <w:r>
              <w:rPr>
                <w:rFonts w:ascii="Calibri" w:hAnsi="Calibri"/>
                <w:color w:val="333333"/>
                <w:sz w:val="18"/>
              </w:rPr>
              <w:t>Databricks Direct</w:t>
            </w:r>
          </w:p>
        </w:tc>
        <w:tc>
          <w:tcPr>
            <w:tcW w:type="dxa" w:w="1728"/>
          </w:tcPr>
          <w:p>
            <w:r/>
            <w:r>
              <w:rPr>
                <w:rFonts w:ascii="Calibri" w:hAnsi="Calibri"/>
                <w:color w:val="333333"/>
                <w:sz w:val="18"/>
              </w:rPr>
              <w:t>TR6.1</w:t>
            </w:r>
          </w:p>
        </w:tc>
        <w:tc>
          <w:tcPr>
            <w:tcW w:type="dxa" w:w="2592"/>
          </w:tcPr>
          <w:p>
            <w:r/>
            <w:r>
              <w:rPr>
                <w:rFonts w:ascii="Calibri" w:hAnsi="Calibri"/>
                <w:color w:val="333333"/>
                <w:sz w:val="18"/>
              </w:rPr>
              <w:t>Direct Databricks query execution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FR7.1</w:t>
            </w:r>
          </w:p>
        </w:tc>
        <w:tc>
          <w:tcPr>
            <w:tcW w:type="dxa" w:w="2160"/>
            <w:shd w:fill="F2F6FC"/>
          </w:tcPr>
          <w:p>
            <w:r/>
            <w:r>
              <w:rPr>
                <w:rFonts w:ascii="Calibri" w:hAnsi="Calibri"/>
                <w:color w:val="333333"/>
                <w:sz w:val="18"/>
              </w:rPr>
              <w:t>Templates</w:t>
            </w:r>
          </w:p>
        </w:tc>
        <w:tc>
          <w:tcPr>
            <w:tcW w:type="dxa" w:w="1728"/>
            <w:shd w:fill="F2F6FC"/>
          </w:tcPr>
          <w:p>
            <w:r/>
            <w:r>
              <w:rPr>
                <w:rFonts w:ascii="Calibri" w:hAnsi="Calibri"/>
                <w:color w:val="333333"/>
                <w:sz w:val="18"/>
              </w:rPr>
              <w:t>TR2.1</w:t>
            </w:r>
          </w:p>
        </w:tc>
        <w:tc>
          <w:tcPr>
            <w:tcW w:type="dxa" w:w="2592"/>
            <w:shd w:fill="F2F6FC"/>
          </w:tcPr>
          <w:p>
            <w:r/>
            <w:r>
              <w:rPr>
                <w:rFonts w:ascii="Calibri" w:hAnsi="Calibri"/>
                <w:color w:val="333333"/>
                <w:sz w:val="18"/>
              </w:rPr>
              <w:t>Template-driven output format</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FR7.2</w:t>
            </w:r>
          </w:p>
        </w:tc>
        <w:tc>
          <w:tcPr>
            <w:tcW w:type="dxa" w:w="2160"/>
          </w:tcPr>
          <w:p>
            <w:r/>
            <w:r>
              <w:rPr>
                <w:rFonts w:ascii="Calibri" w:hAnsi="Calibri"/>
                <w:color w:val="333333"/>
                <w:sz w:val="18"/>
              </w:rPr>
              <w:t>Org Hierarchy</w:t>
            </w:r>
          </w:p>
        </w:tc>
        <w:tc>
          <w:tcPr>
            <w:tcW w:type="dxa" w:w="1728"/>
          </w:tcPr>
          <w:p>
            <w:r/>
            <w:r>
              <w:rPr>
                <w:rFonts w:ascii="Calibri" w:hAnsi="Calibri"/>
                <w:color w:val="333333"/>
                <w:sz w:val="18"/>
              </w:rPr>
              <w:t>TR2.3</w:t>
            </w:r>
          </w:p>
        </w:tc>
        <w:tc>
          <w:tcPr>
            <w:tcW w:type="dxa" w:w="2592"/>
          </w:tcPr>
          <w:p>
            <w:r/>
            <w:r>
              <w:rPr>
                <w:rFonts w:ascii="Calibri" w:hAnsi="Calibri"/>
                <w:color w:val="333333"/>
                <w:sz w:val="18"/>
              </w:rPr>
              <w:t>Hierarchy-based rankings</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FR7.3</w:t>
            </w:r>
          </w:p>
        </w:tc>
        <w:tc>
          <w:tcPr>
            <w:tcW w:type="dxa" w:w="2160"/>
            <w:shd w:fill="F2F6FC"/>
          </w:tcPr>
          <w:p>
            <w:r/>
            <w:r>
              <w:rPr>
                <w:rFonts w:ascii="Calibri" w:hAnsi="Calibri"/>
                <w:color w:val="333333"/>
                <w:sz w:val="18"/>
              </w:rPr>
              <w:t>Peer Groups</w:t>
            </w:r>
          </w:p>
        </w:tc>
        <w:tc>
          <w:tcPr>
            <w:tcW w:type="dxa" w:w="1728"/>
            <w:shd w:fill="F2F6FC"/>
          </w:tcPr>
          <w:p>
            <w:r/>
            <w:r>
              <w:rPr>
                <w:rFonts w:ascii="Calibri" w:hAnsi="Calibri"/>
                <w:color w:val="333333"/>
                <w:sz w:val="18"/>
              </w:rPr>
              <w:t>TR5.2</w:t>
            </w:r>
          </w:p>
        </w:tc>
        <w:tc>
          <w:tcPr>
            <w:tcW w:type="dxa" w:w="2592"/>
            <w:shd w:fill="F2F6FC"/>
          </w:tcPr>
          <w:p>
            <w:r/>
            <w:r>
              <w:rPr>
                <w:rFonts w:ascii="Calibri" w:hAnsi="Calibri"/>
                <w:color w:val="333333"/>
                <w:sz w:val="18"/>
              </w:rPr>
              <w:t>Peer group configuration</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FR7.4</w:t>
            </w:r>
          </w:p>
        </w:tc>
        <w:tc>
          <w:tcPr>
            <w:tcW w:type="dxa" w:w="2160"/>
          </w:tcPr>
          <w:p>
            <w:r/>
            <w:r>
              <w:rPr>
                <w:rFonts w:ascii="Calibri" w:hAnsi="Calibri"/>
                <w:color w:val="333333"/>
                <w:sz w:val="18"/>
              </w:rPr>
              <w:t>Prompt Management</w:t>
            </w:r>
          </w:p>
        </w:tc>
        <w:tc>
          <w:tcPr>
            <w:tcW w:type="dxa" w:w="1728"/>
          </w:tcPr>
          <w:p>
            <w:r/>
            <w:r>
              <w:rPr>
                <w:rFonts w:ascii="Calibri" w:hAnsi="Calibri"/>
                <w:color w:val="333333"/>
                <w:sz w:val="18"/>
              </w:rPr>
              <w:t>TR4.1</w:t>
            </w:r>
          </w:p>
        </w:tc>
        <w:tc>
          <w:tcPr>
            <w:tcW w:type="dxa" w:w="2592"/>
          </w:tcPr>
          <w:p>
            <w:r/>
            <w:r>
              <w:rPr>
                <w:rFonts w:ascii="Calibri" w:hAnsi="Calibri"/>
                <w:color w:val="333333"/>
                <w:sz w:val="18"/>
              </w:rPr>
              <w:t>Prompt registry validation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FR7.5</w:t>
            </w:r>
          </w:p>
        </w:tc>
        <w:tc>
          <w:tcPr>
            <w:tcW w:type="dxa" w:w="2160"/>
            <w:shd w:fill="F2F6FC"/>
          </w:tcPr>
          <w:p>
            <w:r/>
            <w:r>
              <w:rPr>
                <w:rFonts w:ascii="Calibri" w:hAnsi="Calibri"/>
                <w:color w:val="333333"/>
                <w:sz w:val="18"/>
              </w:rPr>
              <w:t>RBAC</w:t>
            </w:r>
          </w:p>
        </w:tc>
        <w:tc>
          <w:tcPr>
            <w:tcW w:type="dxa" w:w="1728"/>
            <w:shd w:fill="F2F6FC"/>
          </w:tcPr>
          <w:p>
            <w:r/>
            <w:r>
              <w:rPr>
                <w:rFonts w:ascii="Calibri" w:hAnsi="Calibri"/>
                <w:color w:val="333333"/>
                <w:sz w:val="18"/>
              </w:rPr>
              <w:t>TR7.1</w:t>
            </w:r>
          </w:p>
        </w:tc>
        <w:tc>
          <w:tcPr>
            <w:tcW w:type="dxa" w:w="2592"/>
            <w:shd w:fill="F2F6FC"/>
          </w:tcPr>
          <w:p>
            <w:r/>
            <w:r>
              <w:rPr>
                <w:rFonts w:ascii="Calibri" w:hAnsi="Calibri"/>
                <w:color w:val="333333"/>
                <w:sz w:val="18"/>
              </w:rPr>
              <w:t>Role-based access in test context</w:t>
            </w:r>
          </w:p>
        </w:tc>
        <w:tc>
          <w:tcPr>
            <w:tcW w:type="dxa" w:w="864"/>
            <w:shd w:fill="F2F6FC"/>
          </w:tcPr>
          <w:p>
            <w:r/>
            <w:r>
              <w:rPr>
                <w:rFonts w:ascii="Calibri" w:hAnsi="Calibri"/>
                <w:color w:val="333333"/>
                <w:sz w:val="18"/>
              </w:rPr>
              <w:t>Both</w:t>
            </w:r>
          </w:p>
        </w:tc>
      </w:tr>
      <w:tr>
        <w:tc>
          <w:tcPr>
            <w:tcW w:type="dxa" w:w="1152"/>
          </w:tcPr>
          <w:p>
            <w:r/>
            <w:r>
              <w:rPr>
                <w:rFonts w:ascii="Calibri" w:hAnsi="Calibri"/>
                <w:color w:val="333333"/>
                <w:sz w:val="18"/>
              </w:rPr>
              <w:t>FR7.6</w:t>
            </w:r>
          </w:p>
        </w:tc>
        <w:tc>
          <w:tcPr>
            <w:tcW w:type="dxa" w:w="2160"/>
          </w:tcPr>
          <w:p>
            <w:r/>
            <w:r>
              <w:rPr>
                <w:rFonts w:ascii="Calibri" w:hAnsi="Calibri"/>
                <w:color w:val="333333"/>
                <w:sz w:val="18"/>
              </w:rPr>
              <w:t>Databricks Config</w:t>
            </w:r>
          </w:p>
        </w:tc>
        <w:tc>
          <w:tcPr>
            <w:tcW w:type="dxa" w:w="1728"/>
          </w:tcPr>
          <w:p>
            <w:r/>
            <w:r>
              <w:rPr>
                <w:rFonts w:ascii="Calibri" w:hAnsi="Calibri"/>
                <w:color w:val="333333"/>
                <w:sz w:val="18"/>
              </w:rPr>
              <w:t>TR6.1</w:t>
            </w:r>
          </w:p>
        </w:tc>
        <w:tc>
          <w:tcPr>
            <w:tcW w:type="dxa" w:w="2592"/>
          </w:tcPr>
          <w:p>
            <w:r/>
            <w:r>
              <w:rPr>
                <w:rFonts w:ascii="Calibri" w:hAnsi="Calibri"/>
                <w:color w:val="333333"/>
                <w:sz w:val="18"/>
              </w:rPr>
              <w:t>Connection configuration</w:t>
            </w:r>
          </w:p>
        </w:tc>
        <w:tc>
          <w:tcPr>
            <w:tcW w:type="dxa" w:w="864"/>
          </w:tcPr>
          <w:p>
            <w:r/>
            <w:r>
              <w:rPr>
                <w:rFonts w:ascii="Calibri" w:hAnsi="Calibri"/>
                <w:color w:val="333333"/>
                <w:sz w:val="18"/>
              </w:rPr>
              <w:t>Both</w:t>
            </w:r>
          </w:p>
        </w:tc>
      </w:tr>
      <w:tr>
        <w:tc>
          <w:tcPr>
            <w:tcW w:type="dxa" w:w="1152"/>
            <w:shd w:fill="F2F6FC"/>
          </w:tcPr>
          <w:p>
            <w:r/>
            <w:r>
              <w:rPr>
                <w:rFonts w:ascii="Calibri" w:hAnsi="Calibri"/>
                <w:color w:val="333333"/>
                <w:sz w:val="18"/>
              </w:rPr>
              <w:t>FR8.1–FR8.11</w:t>
            </w:r>
          </w:p>
        </w:tc>
        <w:tc>
          <w:tcPr>
            <w:tcW w:type="dxa" w:w="2160"/>
            <w:shd w:fill="F2F6FC"/>
          </w:tcPr>
          <w:p>
            <w:r/>
            <w:r>
              <w:rPr>
                <w:rFonts w:ascii="Calibri" w:hAnsi="Calibri"/>
                <w:color w:val="333333"/>
                <w:sz w:val="18"/>
              </w:rPr>
              <w:t>Dynamic UI (11 reqs)</w:t>
            </w:r>
          </w:p>
        </w:tc>
        <w:tc>
          <w:tcPr>
            <w:tcW w:type="dxa" w:w="1728"/>
            <w:shd w:fill="F2F6FC"/>
          </w:tcPr>
          <w:p>
            <w:r/>
            <w:r>
              <w:rPr>
                <w:rFonts w:ascii="Calibri" w:hAnsi="Calibri"/>
                <w:color w:val="333333"/>
                <w:sz w:val="18"/>
              </w:rPr>
              <w:t>TR4.1, TR9.1</w:t>
            </w:r>
          </w:p>
        </w:tc>
        <w:tc>
          <w:tcPr>
            <w:tcW w:type="dxa" w:w="2592"/>
            <w:shd w:fill="F2F6FC"/>
          </w:tcPr>
          <w:p>
            <w:r/>
            <w:r>
              <w:rPr>
                <w:rFonts w:ascii="Calibri" w:hAnsi="Calibri"/>
                <w:color w:val="333333"/>
                <w:sz w:val="18"/>
              </w:rPr>
              <w:t>UI-driven query and report output</w:t>
            </w:r>
          </w:p>
        </w:tc>
        <w:tc>
          <w:tcPr>
            <w:tcW w:type="dxa" w:w="864"/>
            <w:shd w:fill="F2F6FC"/>
          </w:tcPr>
          <w:p>
            <w:r/>
            <w:r>
              <w:rPr>
                <w:rFonts w:ascii="Calibri" w:hAnsi="Calibri"/>
                <w:color w:val="333333"/>
                <w:sz w:val="18"/>
              </w:rPr>
              <w:t>Both</w:t>
            </w:r>
          </w:p>
        </w:tc>
      </w:tr>
    </w:tbl>
    <w:p/>
    <w:p>
      <w:pPr>
        <w:spacing w:after="120"/>
      </w:pPr>
      <w:r>
        <w:rPr>
          <w:b/>
        </w:rPr>
        <w:t>Total coverage: All 50 main SRS functional requirements are mapped to at least one test requirement. The Testing Agent's 31 test requirements (TR1.1–TR9.3) collectively provide full functional coverage.</w:t>
      </w:r>
    </w:p>
    <w:p>
      <w:r>
        <w:br w:type="page"/>
      </w:r>
    </w:p>
    <w:p>
      <w:pPr>
        <w:pStyle w:val="Heading1"/>
      </w:pPr>
      <w:r>
        <w:t>6. Acceptance Criteria</w:t>
      </w:r>
    </w:p>
    <w:p>
      <w:pPr>
        <w:spacing w:after="120"/>
      </w:pPr>
      <w:r>
        <w:t>The following acceptance criteria define the conditions under which the Testing Agent itself is considered complete and ready for deployment.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1A56DB"/>
          </w:tcPr>
          <w:p>
            <w:r/>
            <w:r>
              <w:rPr>
                <w:rFonts w:ascii="Calibri" w:hAnsi="Calibri"/>
                <w:b/>
                <w:color w:val="FFFFFF"/>
                <w:sz w:val="20"/>
              </w:rPr>
              <w:t>ID</w:t>
            </w:r>
          </w:p>
        </w:tc>
        <w:tc>
          <w:tcPr>
            <w:tcW w:type="dxa" w:w="4608"/>
            <w:shd w:fill="1A56DB"/>
          </w:tcPr>
          <w:p>
            <w:r/>
            <w:r>
              <w:rPr>
                <w:rFonts w:ascii="Calibri" w:hAnsi="Calibri"/>
                <w:b/>
                <w:color w:val="FFFFFF"/>
                <w:sz w:val="20"/>
              </w:rPr>
              <w:t>Criterion</w:t>
            </w:r>
          </w:p>
        </w:tc>
        <w:tc>
          <w:tcPr>
            <w:tcW w:type="dxa" w:w="3888"/>
            <w:shd w:fill="1A56DB"/>
          </w:tcPr>
          <w:p>
            <w:r/>
            <w:r>
              <w:rPr>
                <w:rFonts w:ascii="Calibri" w:hAnsi="Calibri"/>
                <w:b/>
                <w:color w:val="FFFFFF"/>
                <w:sz w:val="20"/>
              </w:rPr>
              <w:t>Verification Method</w:t>
            </w:r>
          </w:p>
        </w:tc>
      </w:tr>
      <w:tr>
        <w:tc>
          <w:tcPr>
            <w:tcW w:type="dxa" w:w="864"/>
          </w:tcPr>
          <w:p>
            <w:r/>
            <w:r>
              <w:rPr>
                <w:rFonts w:ascii="Calibri" w:hAnsi="Calibri"/>
                <w:color w:val="333333"/>
                <w:sz w:val="18"/>
              </w:rPr>
              <w:t>AC-1</w:t>
            </w:r>
          </w:p>
        </w:tc>
        <w:tc>
          <w:tcPr>
            <w:tcW w:type="dxa" w:w="4608"/>
          </w:tcPr>
          <w:p>
            <w:r/>
            <w:r>
              <w:rPr>
                <w:rFonts w:ascii="Calibri" w:hAnsi="Calibri"/>
                <w:color w:val="333333"/>
                <w:sz w:val="18"/>
              </w:rPr>
              <w:t>Full simulated test suite passes with 100% of TR requirements executable</w:t>
            </w:r>
          </w:p>
        </w:tc>
        <w:tc>
          <w:tcPr>
            <w:tcW w:type="dxa" w:w="3888"/>
          </w:tcPr>
          <w:p>
            <w:r/>
            <w:r>
              <w:rPr>
                <w:rFonts w:ascii="Calibri" w:hAnsi="Calibri"/>
                <w:color w:val="333333"/>
                <w:sz w:val="18"/>
              </w:rPr>
              <w:t>Execute full suite in simulated mode; verify all 31 TRs produce results</w:t>
            </w:r>
          </w:p>
        </w:tc>
      </w:tr>
      <w:tr>
        <w:tc>
          <w:tcPr>
            <w:tcW w:type="dxa" w:w="864"/>
            <w:shd w:fill="F2F6FC"/>
          </w:tcPr>
          <w:p>
            <w:r/>
            <w:r>
              <w:rPr>
                <w:rFonts w:ascii="Calibri" w:hAnsi="Calibri"/>
                <w:color w:val="333333"/>
                <w:sz w:val="18"/>
              </w:rPr>
              <w:t>AC-2</w:t>
            </w:r>
          </w:p>
        </w:tc>
        <w:tc>
          <w:tcPr>
            <w:tcW w:type="dxa" w:w="4608"/>
            <w:shd w:fill="F2F6FC"/>
          </w:tcPr>
          <w:p>
            <w:r/>
            <w:r>
              <w:rPr>
                <w:rFonts w:ascii="Calibri" w:hAnsi="Calibri"/>
                <w:color w:val="333333"/>
                <w:sz w:val="18"/>
              </w:rPr>
              <w:t>Coverage report shows 100% of main SRS FRs (all 50) have at least one test case</w:t>
            </w:r>
          </w:p>
        </w:tc>
        <w:tc>
          <w:tcPr>
            <w:tcW w:type="dxa" w:w="3888"/>
            <w:shd w:fill="F2F6FC"/>
          </w:tcPr>
          <w:p>
            <w:r/>
            <w:r>
              <w:rPr>
                <w:rFonts w:ascii="Calibri" w:hAnsi="Calibri"/>
                <w:color w:val="333333"/>
                <w:sz w:val="18"/>
              </w:rPr>
              <w:t>Generate coverage report; verify no unmapped FRs</w:t>
            </w:r>
          </w:p>
        </w:tc>
      </w:tr>
      <w:tr>
        <w:tc>
          <w:tcPr>
            <w:tcW w:type="dxa" w:w="864"/>
          </w:tcPr>
          <w:p>
            <w:r/>
            <w:r>
              <w:rPr>
                <w:rFonts w:ascii="Calibri" w:hAnsi="Calibri"/>
                <w:color w:val="333333"/>
                <w:sz w:val="18"/>
              </w:rPr>
              <w:t>AC-3</w:t>
            </w:r>
          </w:p>
        </w:tc>
        <w:tc>
          <w:tcPr>
            <w:tcW w:type="dxa" w:w="4608"/>
          </w:tcPr>
          <w:p>
            <w:r/>
            <w:r>
              <w:rPr>
                <w:rFonts w:ascii="Calibri" w:hAnsi="Calibri"/>
                <w:color w:val="333333"/>
                <w:sz w:val="18"/>
              </w:rPr>
              <w:t>Regression suite detects intentional changes within a single run</w:t>
            </w:r>
          </w:p>
        </w:tc>
        <w:tc>
          <w:tcPr>
            <w:tcW w:type="dxa" w:w="3888"/>
          </w:tcPr>
          <w:p>
            <w:r/>
            <w:r>
              <w:rPr>
                <w:rFonts w:ascii="Calibri" w:hAnsi="Calibri"/>
                <w:color w:val="333333"/>
                <w:sz w:val="18"/>
              </w:rPr>
              <w:t>Introduce a known change; verify regression report flags it</w:t>
            </w:r>
          </w:p>
        </w:tc>
      </w:tr>
      <w:tr>
        <w:tc>
          <w:tcPr>
            <w:tcW w:type="dxa" w:w="864"/>
            <w:shd w:fill="F2F6FC"/>
          </w:tcPr>
          <w:p>
            <w:r/>
            <w:r>
              <w:rPr>
                <w:rFonts w:ascii="Calibri" w:hAnsi="Calibri"/>
                <w:color w:val="333333"/>
                <w:sz w:val="18"/>
              </w:rPr>
              <w:t>AC-4</w:t>
            </w:r>
          </w:p>
        </w:tc>
        <w:tc>
          <w:tcPr>
            <w:tcW w:type="dxa" w:w="4608"/>
            <w:shd w:fill="F2F6FC"/>
          </w:tcPr>
          <w:p>
            <w:r/>
            <w:r>
              <w:rPr>
                <w:rFonts w:ascii="Calibri" w:hAnsi="Calibri"/>
                <w:color w:val="333333"/>
                <w:sz w:val="18"/>
              </w:rPr>
              <w:t>Real data mode executes all user-provided prompt-response pairs</w:t>
            </w:r>
          </w:p>
        </w:tc>
        <w:tc>
          <w:tcPr>
            <w:tcW w:type="dxa" w:w="3888"/>
            <w:shd w:fill="F2F6FC"/>
          </w:tcPr>
          <w:p>
            <w:r/>
            <w:r>
              <w:rPr>
                <w:rFonts w:ascii="Calibri" w:hAnsi="Calibri"/>
                <w:color w:val="333333"/>
                <w:sz w:val="18"/>
              </w:rPr>
              <w:t>Load prompt-response JSON; execute in real mode; verify all pairs processed</w:t>
            </w:r>
          </w:p>
        </w:tc>
      </w:tr>
      <w:tr>
        <w:tc>
          <w:tcPr>
            <w:tcW w:type="dxa" w:w="864"/>
          </w:tcPr>
          <w:p>
            <w:r/>
            <w:r>
              <w:rPr>
                <w:rFonts w:ascii="Calibri" w:hAnsi="Calibri"/>
                <w:color w:val="333333"/>
                <w:sz w:val="18"/>
              </w:rPr>
              <w:t>AC-5</w:t>
            </w:r>
          </w:p>
        </w:tc>
        <w:tc>
          <w:tcPr>
            <w:tcW w:type="dxa" w:w="4608"/>
          </w:tcPr>
          <w:p>
            <w:r/>
            <w:r>
              <w:rPr>
                <w:rFonts w:ascii="Calibri" w:hAnsi="Calibri"/>
                <w:color w:val="333333"/>
                <w:sz w:val="18"/>
              </w:rPr>
              <w:t>Test reports generate correctly in all three formats (JSON, HTML, PDF)</w:t>
            </w:r>
          </w:p>
        </w:tc>
        <w:tc>
          <w:tcPr>
            <w:tcW w:type="dxa" w:w="3888"/>
          </w:tcPr>
          <w:p>
            <w:r/>
            <w:r>
              <w:rPr>
                <w:rFonts w:ascii="Calibri" w:hAnsi="Calibri"/>
                <w:color w:val="333333"/>
                <w:sz w:val="18"/>
              </w:rPr>
              <w:t>Generate reports in each format; verify structure and content consistency</w:t>
            </w:r>
          </w:p>
        </w:tc>
      </w:tr>
      <w:tr>
        <w:tc>
          <w:tcPr>
            <w:tcW w:type="dxa" w:w="864"/>
            <w:shd w:fill="F2F6FC"/>
          </w:tcPr>
          <w:p>
            <w:r/>
            <w:r>
              <w:rPr>
                <w:rFonts w:ascii="Calibri" w:hAnsi="Calibri"/>
                <w:color w:val="333333"/>
                <w:sz w:val="18"/>
              </w:rPr>
              <w:t>AC-6</w:t>
            </w:r>
          </w:p>
        </w:tc>
        <w:tc>
          <w:tcPr>
            <w:tcW w:type="dxa" w:w="4608"/>
            <w:shd w:fill="F2F6FC"/>
          </w:tcPr>
          <w:p>
            <w:r/>
            <w:r>
              <w:rPr>
                <w:rFonts w:ascii="Calibri" w:hAnsi="Calibri"/>
                <w:color w:val="333333"/>
                <w:sz w:val="18"/>
              </w:rPr>
              <w:t>CI/CD integration triggers regression suite on staging deployment</w:t>
            </w:r>
          </w:p>
        </w:tc>
        <w:tc>
          <w:tcPr>
            <w:tcW w:type="dxa" w:w="3888"/>
            <w:shd w:fill="F2F6FC"/>
          </w:tcPr>
          <w:p>
            <w:r/>
            <w:r>
              <w:rPr>
                <w:rFonts w:ascii="Calibri" w:hAnsi="Calibri"/>
                <w:color w:val="333333"/>
                <w:sz w:val="18"/>
              </w:rPr>
              <w:t>Deploy to staging; verify automated test execution via webhook</w:t>
            </w:r>
          </w:p>
        </w:tc>
      </w:tr>
      <w:tr>
        <w:tc>
          <w:tcPr>
            <w:tcW w:type="dxa" w:w="864"/>
          </w:tcPr>
          <w:p>
            <w:r/>
            <w:r>
              <w:rPr>
                <w:rFonts w:ascii="Calibri" w:hAnsi="Calibri"/>
                <w:color w:val="333333"/>
                <w:sz w:val="18"/>
              </w:rPr>
              <w:t>AC-7</w:t>
            </w:r>
          </w:p>
        </w:tc>
        <w:tc>
          <w:tcPr>
            <w:tcW w:type="dxa" w:w="4608"/>
          </w:tcPr>
          <w:p>
            <w:r/>
            <w:r>
              <w:rPr>
                <w:rFonts w:ascii="Calibri" w:hAnsi="Calibri"/>
                <w:color w:val="333333"/>
                <w:sz w:val="18"/>
              </w:rPr>
              <w:t>Individual test case execution completes within 30 seconds</w:t>
            </w:r>
          </w:p>
        </w:tc>
        <w:tc>
          <w:tcPr>
            <w:tcW w:type="dxa" w:w="3888"/>
          </w:tcPr>
          <w:p>
            <w:r/>
            <w:r>
              <w:rPr>
                <w:rFonts w:ascii="Calibri" w:hAnsi="Calibri"/>
                <w:color w:val="333333"/>
                <w:sz w:val="18"/>
              </w:rPr>
              <w:t>Execute each test case independently; measure wall-clock time</w:t>
            </w:r>
          </w:p>
        </w:tc>
      </w:tr>
      <w:tr>
        <w:tc>
          <w:tcPr>
            <w:tcW w:type="dxa" w:w="864"/>
            <w:shd w:fill="F2F6FC"/>
          </w:tcPr>
          <w:p>
            <w:r/>
            <w:r>
              <w:rPr>
                <w:rFonts w:ascii="Calibri" w:hAnsi="Calibri"/>
                <w:color w:val="333333"/>
                <w:sz w:val="18"/>
              </w:rPr>
              <w:t>AC-8</w:t>
            </w:r>
          </w:p>
        </w:tc>
        <w:tc>
          <w:tcPr>
            <w:tcW w:type="dxa" w:w="4608"/>
            <w:shd w:fill="F2F6FC"/>
          </w:tcPr>
          <w:p>
            <w:r/>
            <w:r>
              <w:rPr>
                <w:rFonts w:ascii="Calibri" w:hAnsi="Calibri"/>
                <w:color w:val="333333"/>
                <w:sz w:val="18"/>
              </w:rPr>
              <w:t>Full simulated suite completes within 15 minutes</w:t>
            </w:r>
          </w:p>
        </w:tc>
        <w:tc>
          <w:tcPr>
            <w:tcW w:type="dxa" w:w="3888"/>
            <w:shd w:fill="F2F6FC"/>
          </w:tcPr>
          <w:p>
            <w:r/>
            <w:r>
              <w:rPr>
                <w:rFonts w:ascii="Calibri" w:hAnsi="Calibri"/>
                <w:color w:val="333333"/>
                <w:sz w:val="18"/>
              </w:rPr>
              <w:t>Execute full simulated suite; measure total duration</w:t>
            </w:r>
          </w:p>
        </w:tc>
      </w:tr>
      <w:tr>
        <w:tc>
          <w:tcPr>
            <w:tcW w:type="dxa" w:w="864"/>
          </w:tcPr>
          <w:p>
            <w:r/>
            <w:r>
              <w:rPr>
                <w:rFonts w:ascii="Calibri" w:hAnsi="Calibri"/>
                <w:color w:val="333333"/>
                <w:sz w:val="18"/>
              </w:rPr>
              <w:t>AC-9</w:t>
            </w:r>
          </w:p>
        </w:tc>
        <w:tc>
          <w:tcPr>
            <w:tcW w:type="dxa" w:w="4608"/>
          </w:tcPr>
          <w:p>
            <w:r/>
            <w:r>
              <w:rPr>
                <w:rFonts w:ascii="Calibri" w:hAnsi="Calibri"/>
                <w:color w:val="333333"/>
                <w:sz w:val="18"/>
              </w:rPr>
              <w:t>Full real data suite completes within 30 minutes</w:t>
            </w:r>
          </w:p>
        </w:tc>
        <w:tc>
          <w:tcPr>
            <w:tcW w:type="dxa" w:w="3888"/>
          </w:tcPr>
          <w:p>
            <w:r/>
            <w:r>
              <w:rPr>
                <w:rFonts w:ascii="Calibri" w:hAnsi="Calibri"/>
                <w:color w:val="333333"/>
                <w:sz w:val="18"/>
              </w:rPr>
              <w:t>Execute full real suite with all available pairs; measure total duration</w:t>
            </w:r>
          </w:p>
        </w:tc>
      </w:tr>
      <w:tr>
        <w:tc>
          <w:tcPr>
            <w:tcW w:type="dxa" w:w="864"/>
            <w:shd w:fill="F2F6FC"/>
          </w:tcPr>
          <w:p>
            <w:r/>
            <w:r>
              <w:rPr>
                <w:rFonts w:ascii="Calibri" w:hAnsi="Calibri"/>
                <w:color w:val="333333"/>
                <w:sz w:val="18"/>
              </w:rPr>
              <w:t>AC-10</w:t>
            </w:r>
          </w:p>
        </w:tc>
        <w:tc>
          <w:tcPr>
            <w:tcW w:type="dxa" w:w="4608"/>
            <w:shd w:fill="F2F6FC"/>
          </w:tcPr>
          <w:p>
            <w:r/>
            <w:r>
              <w:rPr>
                <w:rFonts w:ascii="Calibri" w:hAnsi="Calibri"/>
                <w:color w:val="333333"/>
                <w:sz w:val="18"/>
              </w:rPr>
              <w:t>Adding a new test case requires no code changes (JSON-only)</w:t>
            </w:r>
          </w:p>
        </w:tc>
        <w:tc>
          <w:tcPr>
            <w:tcW w:type="dxa" w:w="3888"/>
            <w:shd w:fill="F2F6FC"/>
          </w:tcPr>
          <w:p>
            <w:r/>
            <w:r>
              <w:rPr>
                <w:rFonts w:ascii="Calibri" w:hAnsi="Calibri"/>
                <w:color w:val="333333"/>
                <w:sz w:val="18"/>
              </w:rPr>
              <w:t>Add a new test case via JSON; execute it without any code modifications</w:t>
            </w:r>
          </w:p>
        </w:tc>
      </w:tr>
      <w:tr>
        <w:tc>
          <w:tcPr>
            <w:tcW w:type="dxa" w:w="864"/>
          </w:tcPr>
          <w:p>
            <w:r/>
            <w:r>
              <w:rPr>
                <w:rFonts w:ascii="Calibri" w:hAnsi="Calibri"/>
                <w:color w:val="333333"/>
                <w:sz w:val="18"/>
              </w:rPr>
              <w:t>AC-11</w:t>
            </w:r>
          </w:p>
        </w:tc>
        <w:tc>
          <w:tcPr>
            <w:tcW w:type="dxa" w:w="4608"/>
          </w:tcPr>
          <w:p>
            <w:r/>
            <w:r>
              <w:rPr>
                <w:rFonts w:ascii="Calibri" w:hAnsi="Calibri"/>
                <w:color w:val="333333"/>
                <w:sz w:val="18"/>
              </w:rPr>
              <w:t>Mode toggle switches between simulated and real without restart</w:t>
            </w:r>
          </w:p>
        </w:tc>
        <w:tc>
          <w:tcPr>
            <w:tcW w:type="dxa" w:w="3888"/>
          </w:tcPr>
          <w:p>
            <w:r/>
            <w:r>
              <w:rPr>
                <w:rFonts w:ascii="Calibri" w:hAnsi="Calibri"/>
                <w:color w:val="333333"/>
                <w:sz w:val="18"/>
              </w:rPr>
              <w:t>Switch mode via configuration; verify next test run uses correct data source</w:t>
            </w:r>
          </w:p>
        </w:tc>
      </w:tr>
      <w:tr>
        <w:tc>
          <w:tcPr>
            <w:tcW w:type="dxa" w:w="864"/>
            <w:shd w:fill="F2F6FC"/>
          </w:tcPr>
          <w:p>
            <w:r/>
            <w:r>
              <w:rPr>
                <w:rFonts w:ascii="Calibri" w:hAnsi="Calibri"/>
                <w:color w:val="333333"/>
                <w:sz w:val="18"/>
              </w:rPr>
              <w:t>AC-12</w:t>
            </w:r>
          </w:p>
        </w:tc>
        <w:tc>
          <w:tcPr>
            <w:tcW w:type="dxa" w:w="4608"/>
            <w:shd w:fill="F2F6FC"/>
          </w:tcPr>
          <w:p>
            <w:r/>
            <w:r>
              <w:rPr>
                <w:rFonts w:ascii="Calibri" w:hAnsi="Calibri"/>
                <w:color w:val="333333"/>
                <w:sz w:val="18"/>
              </w:rPr>
              <w:t>Golden dataset versioning preserves full history</w:t>
            </w:r>
          </w:p>
        </w:tc>
        <w:tc>
          <w:tcPr>
            <w:tcW w:type="dxa" w:w="3888"/>
            <w:shd w:fill="F2F6FC"/>
          </w:tcPr>
          <w:p>
            <w:r/>
            <w:r>
              <w:rPr>
                <w:rFonts w:ascii="Calibri" w:hAnsi="Calibri"/>
                <w:color w:val="333333"/>
                <w:sz w:val="18"/>
              </w:rPr>
              <w:t>Create 3+ golden dataset versions; verify all are retrievable and diffable</w:t>
            </w:r>
          </w:p>
        </w:tc>
      </w:tr>
    </w:tbl>
    <w:p/>
    <w:p>
      <w:r>
        <w:br w:type="page"/>
      </w:r>
    </w:p>
    <w:p>
      <w:pPr>
        <w:pStyle w:val="Heading1"/>
      </w:pPr>
      <w:r>
        <w:t>Appendix A: Prompt-Response Pair Template</w:t>
      </w:r>
    </w:p>
    <w:p>
      <w:pPr>
        <w:spacing w:after="160"/>
      </w:pPr>
      <w:r>
        <w:t>This appendix provides the JSON template for submitting test cases with expected results in real data mode. Each prompt-response pair defines a single test case.</w:t>
      </w:r>
    </w:p>
    <w:p>
      <w:pPr>
        <w:spacing w:after="120"/>
      </w:pPr>
      <w:r>
        <w:rPr>
          <w:b/>
          <w:i/>
          <w:color w:val="996600"/>
        </w:rPr>
        <w:t>[PLACEHOLDER — To be populated by Rajiv with actual prompt-response pairs]</w:t>
      </w:r>
    </w:p>
    <w:p>
      <w:pPr>
        <w:spacing w:after="80"/>
      </w:pPr>
      <w:r>
        <w:rPr>
          <w:b/>
        </w:rPr>
        <w:t>Template Structure:</w:t>
      </w:r>
    </w:p>
    <w:p>
      <w:pPr>
        <w:spacing w:after="160"/>
      </w:pPr>
      <w:r>
        <w:rPr>
          <w:rFonts w:ascii="Consolas" w:hAnsi="Consolas"/>
          <w:color w:val="333333"/>
          <w:sz w:val="16"/>
        </w:rPr>
        <w:t>[</w:t>
        <w:br/>
        <w:t xml:space="preserve">  {</w:t>
        <w:br/>
        <w:t xml:space="preserve">    "test_id": "PES_001",</w:t>
        <w:br/>
        <w:t xml:space="preserve">    "category": "PES",</w:t>
        <w:br/>
        <w:t xml:space="preserve">    "description": "Petcare Period End Summary for P6 2025",</w:t>
        <w:br/>
        <w:t xml:space="preserve">    "prompt": "Generate Petcare Period End Summary for P6 2025",</w:t>
        <w:br/>
        <w:t xml:space="preserve">    "expected_output": {</w:t>
        <w:br/>
        <w:t xml:space="preserve">      "format": "Summary",</w:t>
        <w:br/>
        <w:t xml:space="preserve">      "unit": "Petcare",</w:t>
        <w:br/>
        <w:t xml:space="preserve">      "period": "P6",</w:t>
        <w:br/>
        <w:t xml:space="preserve">      "year": "2025",</w:t>
        <w:br/>
        <w:t xml:space="preserve">      "kpis": {</w:t>
        <w:br/>
        <w:t xml:space="preserve">        "Organic Growth": { "value": "X.X%", "direction": "up" },</w:t>
        <w:br/>
        <w:t xml:space="preserve">        "MAC Shape %": { "value": "X.X%", "direction": "down" },</w:t>
        <w:br/>
        <w:t xml:space="preserve">        "...": "..."</w:t>
        <w:br/>
        <w:t xml:space="preserve">      },</w:t>
        <w:br/>
        <w:t xml:space="preserve">      "rankings": {</w:t>
        <w:br/>
        <w:t xml:space="preserve">        "RANK_1": "Sub-Unit A",</w:t>
        <w:br/>
        <w:t xml:space="preserve">        "TOP_3": ["Sub-Unit A", "Sub-Unit B", "Sub-Unit C"],</w:t>
        <w:br/>
        <w:t xml:space="preserve">        "BOTTOM_3": ["Sub-Unit X", "Sub-Unit Y", "Sub-Unit Z"]</w:t>
        <w:br/>
        <w:t xml:space="preserve">      }</w:t>
        <w:br/>
        <w:t xml:space="preserve">    },</w:t>
        <w:br/>
        <w:t xml:space="preserve">    "tolerance": 0.01,</w:t>
        <w:br/>
        <w:t xml:space="preserve">    "mode": "real",</w:t>
        <w:br/>
        <w:t xml:space="preserve">    "tags": ["PES", "Petcare", "P6", "2025"]</w:t>
        <w:br/>
        <w:t xml:space="preserve">  },</w:t>
        <w:br/>
        <w:t xml:space="preserve">  {</w:t>
        <w:br/>
        <w:t xml:space="preserve">    "test_id": "NLQ_001",</w:t>
        <w:br/>
        <w:t xml:space="preserve">    "category": "NL Query",</w:t>
        <w:br/>
        <w:t xml:space="preserve">    "description": "Simple financial lookup query",</w:t>
        <w:br/>
        <w:t xml:space="preserve">    "prompt": "What was Mars Inc organic growth for P6 2025?",</w:t>
        <w:br/>
        <w:t xml:space="preserve">    "expected_output": {</w:t>
        <w:br/>
        <w:t xml:space="preserve">      "answer_contains": "X.X%",</w:t>
        <w:br/>
        <w:t xml:space="preserve">      "source_table": "finiq_vw_pl_entity",</w:t>
        <w:br/>
        <w:t xml:space="preserve">      "source_attribution_required": true</w:t>
        <w:br/>
        <w:t xml:space="preserve">    },</w:t>
        <w:br/>
        <w:t xml:space="preserve">    "tolerance": 0.01,</w:t>
        <w:br/>
        <w:t xml:space="preserve">    "mode": "real",</w:t>
        <w:br/>
        <w:t xml:space="preserve">    "tags": ["NLQ", "Financial", "Organic Growth"]</w:t>
        <w:br/>
        <w:t xml:space="preserve">  },</w:t>
        <w:br/>
        <w:t xml:space="preserve">  {</w:t>
        <w:br/>
        <w:t xml:space="preserve">    "test_id": "BV_001",</w:t>
        <w:br/>
        <w:t xml:space="preserve">    "category": "Budget Variance",</w:t>
        <w:br/>
        <w:t xml:space="preserve">    "description": "Actual vs Replan variance for Mars Inc P6 2025",</w:t>
        <w:br/>
        <w:t xml:space="preserve">    "prompt": "Show budget variance for Mars Inc P6 2025",</w:t>
        <w:br/>
        <w:t xml:space="preserve">    "expected_output": {</w:t>
        <w:br/>
        <w:t xml:space="preserve">      "actual": "X.X",</w:t>
        <w:br/>
        <w:t xml:space="preserve">      "replan": "X.X",</w:t>
        <w:br/>
        <w:t xml:space="preserve">      "variance_abs": "X.X",</w:t>
        <w:br/>
        <w:t xml:space="preserve">      "variance_pct": "X.X%"</w:t>
        <w:br/>
        <w:t xml:space="preserve">    },</w:t>
        <w:br/>
        <w:t xml:space="preserve">    "tolerance": 0.01,</w:t>
        <w:br/>
        <w:t xml:space="preserve">    "mode": "real",</w:t>
        <w:br/>
        <w:t xml:space="preserve">    "tags": ["Budget", "Variance", "Replan"]</w:t>
        <w:br/>
        <w:t xml:space="preserve">  }</w:t>
        <w:br/>
        <w:t>]</w:t>
      </w:r>
    </w:p>
    <w:p>
      <w:pPr>
        <w:spacing w:after="80"/>
      </w:pPr>
      <w:r>
        <w:rPr>
          <w:b/>
        </w:rPr>
        <w:t>Field Reference: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728"/>
            <w:shd w:fill="1A56DB"/>
          </w:tcPr>
          <w:p>
            <w:r/>
            <w:r>
              <w:rPr>
                <w:rFonts w:ascii="Calibri" w:hAnsi="Calibri"/>
                <w:b/>
                <w:color w:val="FFFFFF"/>
                <w:sz w:val="20"/>
              </w:rPr>
              <w:t>Field</w:t>
            </w:r>
          </w:p>
        </w:tc>
        <w:tc>
          <w:tcPr>
            <w:tcW w:type="dxa" w:w="1152"/>
            <w:shd w:fill="1A56DB"/>
          </w:tcPr>
          <w:p>
            <w:r/>
            <w:r>
              <w:rPr>
                <w:rFonts w:ascii="Calibri" w:hAnsi="Calibri"/>
                <w:b/>
                <w:color w:val="FFFFFF"/>
                <w:sz w:val="20"/>
              </w:rPr>
              <w:t>Type</w:t>
            </w:r>
          </w:p>
        </w:tc>
        <w:tc>
          <w:tcPr>
            <w:tcW w:type="dxa" w:w="1152"/>
            <w:shd w:fill="1A56DB"/>
          </w:tcPr>
          <w:p>
            <w:r/>
            <w:r>
              <w:rPr>
                <w:rFonts w:ascii="Calibri" w:hAnsi="Calibri"/>
                <w:b/>
                <w:color w:val="FFFFFF"/>
                <w:sz w:val="20"/>
              </w:rPr>
              <w:t>Required</w:t>
            </w:r>
          </w:p>
        </w:tc>
        <w:tc>
          <w:tcPr>
            <w:tcW w:type="dxa" w:w="5328"/>
            <w:shd w:fill="1A56DB"/>
          </w:tcPr>
          <w:p>
            <w:r/>
            <w:r>
              <w:rPr>
                <w:rFonts w:ascii="Calibri" w:hAnsi="Calibri"/>
                <w:b/>
                <w:color w:val="FFFFFF"/>
                <w:sz w:val="20"/>
              </w:rPr>
              <w:t>Description</w:t>
            </w:r>
          </w:p>
        </w:tc>
      </w:tr>
      <w:tr>
        <w:tc>
          <w:tcPr>
            <w:tcW w:type="dxa" w:w="1728"/>
          </w:tcPr>
          <w:p>
            <w:r/>
            <w:r>
              <w:rPr>
                <w:rFonts w:ascii="Calibri" w:hAnsi="Calibri"/>
                <w:color w:val="333333"/>
                <w:sz w:val="18"/>
              </w:rPr>
              <w:t>test_id</w:t>
            </w:r>
          </w:p>
        </w:tc>
        <w:tc>
          <w:tcPr>
            <w:tcW w:type="dxa" w:w="1152"/>
          </w:tcPr>
          <w:p>
            <w:r/>
            <w:r>
              <w:rPr>
                <w:rFonts w:ascii="Calibri" w:hAnsi="Calibri"/>
                <w:color w:val="333333"/>
                <w:sz w:val="18"/>
              </w:rPr>
              <w:t>String</w:t>
            </w:r>
          </w:p>
        </w:tc>
        <w:tc>
          <w:tcPr>
            <w:tcW w:type="dxa" w:w="1152"/>
          </w:tcPr>
          <w:p>
            <w:r/>
            <w:r>
              <w:rPr>
                <w:rFonts w:ascii="Calibri" w:hAnsi="Calibri"/>
                <w:color w:val="333333"/>
                <w:sz w:val="18"/>
              </w:rPr>
              <w:t>Yes</w:t>
            </w:r>
          </w:p>
        </w:tc>
        <w:tc>
          <w:tcPr>
            <w:tcW w:type="dxa" w:w="5328"/>
          </w:tcPr>
          <w:p>
            <w:r/>
            <w:r>
              <w:rPr>
                <w:rFonts w:ascii="Calibri" w:hAnsi="Calibri"/>
                <w:color w:val="333333"/>
                <w:sz w:val="18"/>
              </w:rPr>
              <w:t>Unique identifier for the test case (e.g., PES_001, NLQ_001)</w:t>
            </w:r>
          </w:p>
        </w:tc>
      </w:tr>
      <w:tr>
        <w:tc>
          <w:tcPr>
            <w:tcW w:type="dxa" w:w="1728"/>
            <w:shd w:fill="F2F6FC"/>
          </w:tcPr>
          <w:p>
            <w:r/>
            <w:r>
              <w:rPr>
                <w:rFonts w:ascii="Calibri" w:hAnsi="Calibri"/>
                <w:color w:val="333333"/>
                <w:sz w:val="18"/>
              </w:rPr>
              <w:t>category</w:t>
            </w:r>
          </w:p>
        </w:tc>
        <w:tc>
          <w:tcPr>
            <w:tcW w:type="dxa" w:w="1152"/>
            <w:shd w:fill="F2F6FC"/>
          </w:tcPr>
          <w:p>
            <w:r/>
            <w:r>
              <w:rPr>
                <w:rFonts w:ascii="Calibri" w:hAnsi="Calibri"/>
                <w:color w:val="333333"/>
                <w:sz w:val="18"/>
              </w:rPr>
              <w:t>String</w:t>
            </w:r>
          </w:p>
        </w:tc>
        <w:tc>
          <w:tcPr>
            <w:tcW w:type="dxa" w:w="1152"/>
            <w:shd w:fill="F2F6FC"/>
          </w:tcPr>
          <w:p>
            <w:r/>
            <w:r>
              <w:rPr>
                <w:rFonts w:ascii="Calibri" w:hAnsi="Calibri"/>
                <w:color w:val="333333"/>
                <w:sz w:val="18"/>
              </w:rPr>
              <w:t>Yes</w:t>
            </w:r>
          </w:p>
        </w:tc>
        <w:tc>
          <w:tcPr>
            <w:tcW w:type="dxa" w:w="5328"/>
            <w:shd w:fill="F2F6FC"/>
          </w:tcPr>
          <w:p>
            <w:r/>
            <w:r>
              <w:rPr>
                <w:rFonts w:ascii="Calibri" w:hAnsi="Calibri"/>
                <w:color w:val="333333"/>
                <w:sz w:val="18"/>
              </w:rPr>
              <w:t>Test category: PES, NL Query, Budget Variance, CI, Job Board</w:t>
            </w:r>
          </w:p>
        </w:tc>
      </w:tr>
      <w:tr>
        <w:tc>
          <w:tcPr>
            <w:tcW w:type="dxa" w:w="1728"/>
          </w:tcPr>
          <w:p>
            <w:r/>
            <w:r>
              <w:rPr>
                <w:rFonts w:ascii="Calibri" w:hAnsi="Calibri"/>
                <w:color w:val="333333"/>
                <w:sz w:val="18"/>
              </w:rPr>
              <w:t>description</w:t>
            </w:r>
          </w:p>
        </w:tc>
        <w:tc>
          <w:tcPr>
            <w:tcW w:type="dxa" w:w="1152"/>
          </w:tcPr>
          <w:p>
            <w:r/>
            <w:r>
              <w:rPr>
                <w:rFonts w:ascii="Calibri" w:hAnsi="Calibri"/>
                <w:color w:val="333333"/>
                <w:sz w:val="18"/>
              </w:rPr>
              <w:t>String</w:t>
            </w:r>
          </w:p>
        </w:tc>
        <w:tc>
          <w:tcPr>
            <w:tcW w:type="dxa" w:w="1152"/>
          </w:tcPr>
          <w:p>
            <w:r/>
            <w:r>
              <w:rPr>
                <w:rFonts w:ascii="Calibri" w:hAnsi="Calibri"/>
                <w:color w:val="333333"/>
                <w:sz w:val="18"/>
              </w:rPr>
              <w:t>Yes</w:t>
            </w:r>
          </w:p>
        </w:tc>
        <w:tc>
          <w:tcPr>
            <w:tcW w:type="dxa" w:w="5328"/>
          </w:tcPr>
          <w:p>
            <w:r/>
            <w:r>
              <w:rPr>
                <w:rFonts w:ascii="Calibri" w:hAnsi="Calibri"/>
                <w:color w:val="333333"/>
                <w:sz w:val="18"/>
              </w:rPr>
              <w:t>Human-readable description of what the test validates</w:t>
            </w:r>
          </w:p>
        </w:tc>
      </w:tr>
      <w:tr>
        <w:tc>
          <w:tcPr>
            <w:tcW w:type="dxa" w:w="1728"/>
            <w:shd w:fill="F2F6FC"/>
          </w:tcPr>
          <w:p>
            <w:r/>
            <w:r>
              <w:rPr>
                <w:rFonts w:ascii="Calibri" w:hAnsi="Calibri"/>
                <w:color w:val="333333"/>
                <w:sz w:val="18"/>
              </w:rPr>
              <w:t>prompt</w:t>
            </w:r>
          </w:p>
        </w:tc>
        <w:tc>
          <w:tcPr>
            <w:tcW w:type="dxa" w:w="1152"/>
            <w:shd w:fill="F2F6FC"/>
          </w:tcPr>
          <w:p>
            <w:r/>
            <w:r>
              <w:rPr>
                <w:rFonts w:ascii="Calibri" w:hAnsi="Calibri"/>
                <w:color w:val="333333"/>
                <w:sz w:val="18"/>
              </w:rPr>
              <w:t>String</w:t>
            </w:r>
          </w:p>
        </w:tc>
        <w:tc>
          <w:tcPr>
            <w:tcW w:type="dxa" w:w="1152"/>
            <w:shd w:fill="F2F6FC"/>
          </w:tcPr>
          <w:p>
            <w:r/>
            <w:r>
              <w:rPr>
                <w:rFonts w:ascii="Calibri" w:hAnsi="Calibri"/>
                <w:color w:val="333333"/>
                <w:sz w:val="18"/>
              </w:rPr>
              <w:t>Yes</w:t>
            </w:r>
          </w:p>
        </w:tc>
        <w:tc>
          <w:tcPr>
            <w:tcW w:type="dxa" w:w="5328"/>
            <w:shd w:fill="F2F6FC"/>
          </w:tcPr>
          <w:p>
            <w:r/>
            <w:r>
              <w:rPr>
                <w:rFonts w:ascii="Calibri" w:hAnsi="Calibri"/>
                <w:color w:val="333333"/>
                <w:sz w:val="18"/>
              </w:rPr>
              <w:t>The exact prompt to submit to FinIQ</w:t>
            </w:r>
          </w:p>
        </w:tc>
      </w:tr>
      <w:tr>
        <w:tc>
          <w:tcPr>
            <w:tcW w:type="dxa" w:w="1728"/>
          </w:tcPr>
          <w:p>
            <w:r/>
            <w:r>
              <w:rPr>
                <w:rFonts w:ascii="Calibri" w:hAnsi="Calibri"/>
                <w:color w:val="333333"/>
                <w:sz w:val="18"/>
              </w:rPr>
              <w:t>expected_output</w:t>
            </w:r>
          </w:p>
        </w:tc>
        <w:tc>
          <w:tcPr>
            <w:tcW w:type="dxa" w:w="1152"/>
          </w:tcPr>
          <w:p>
            <w:r/>
            <w:r>
              <w:rPr>
                <w:rFonts w:ascii="Calibri" w:hAnsi="Calibri"/>
                <w:color w:val="333333"/>
                <w:sz w:val="18"/>
              </w:rPr>
              <w:t>Object</w:t>
            </w:r>
          </w:p>
        </w:tc>
        <w:tc>
          <w:tcPr>
            <w:tcW w:type="dxa" w:w="1152"/>
          </w:tcPr>
          <w:p>
            <w:r/>
            <w:r>
              <w:rPr>
                <w:rFonts w:ascii="Calibri" w:hAnsi="Calibri"/>
                <w:color w:val="333333"/>
                <w:sz w:val="18"/>
              </w:rPr>
              <w:t>Yes</w:t>
            </w:r>
          </w:p>
        </w:tc>
        <w:tc>
          <w:tcPr>
            <w:tcW w:type="dxa" w:w="5328"/>
          </w:tcPr>
          <w:p>
            <w:r/>
            <w:r>
              <w:rPr>
                <w:rFonts w:ascii="Calibri" w:hAnsi="Calibri"/>
                <w:color w:val="333333"/>
                <w:sz w:val="18"/>
              </w:rPr>
              <w:t>The expected response structure and values</w:t>
            </w:r>
          </w:p>
        </w:tc>
      </w:tr>
      <w:tr>
        <w:tc>
          <w:tcPr>
            <w:tcW w:type="dxa" w:w="1728"/>
            <w:shd w:fill="F2F6FC"/>
          </w:tcPr>
          <w:p>
            <w:r/>
            <w:r>
              <w:rPr>
                <w:rFonts w:ascii="Calibri" w:hAnsi="Calibri"/>
                <w:color w:val="333333"/>
                <w:sz w:val="18"/>
              </w:rPr>
              <w:t>tolerance</w:t>
            </w:r>
          </w:p>
        </w:tc>
        <w:tc>
          <w:tcPr>
            <w:tcW w:type="dxa" w:w="1152"/>
            <w:shd w:fill="F2F6FC"/>
          </w:tcPr>
          <w:p>
            <w:r/>
            <w:r>
              <w:rPr>
                <w:rFonts w:ascii="Calibri" w:hAnsi="Calibri"/>
                <w:color w:val="333333"/>
                <w:sz w:val="18"/>
              </w:rPr>
              <w:t>Float</w:t>
            </w:r>
          </w:p>
        </w:tc>
        <w:tc>
          <w:tcPr>
            <w:tcW w:type="dxa" w:w="1152"/>
            <w:shd w:fill="F2F6FC"/>
          </w:tcPr>
          <w:p>
            <w:r/>
            <w:r>
              <w:rPr>
                <w:rFonts w:ascii="Calibri" w:hAnsi="Calibri"/>
                <w:color w:val="333333"/>
                <w:sz w:val="18"/>
              </w:rPr>
              <w:t>No</w:t>
            </w:r>
          </w:p>
        </w:tc>
        <w:tc>
          <w:tcPr>
            <w:tcW w:type="dxa" w:w="5328"/>
            <w:shd w:fill="F2F6FC"/>
          </w:tcPr>
          <w:p>
            <w:r/>
            <w:r>
              <w:rPr>
                <w:rFonts w:ascii="Calibri" w:hAnsi="Calibri"/>
                <w:color w:val="333333"/>
                <w:sz w:val="18"/>
              </w:rPr>
              <w:t>Numeric tolerance (default: 0.01 = 0.01%)</w:t>
            </w:r>
          </w:p>
        </w:tc>
      </w:tr>
      <w:tr>
        <w:tc>
          <w:tcPr>
            <w:tcW w:type="dxa" w:w="1728"/>
          </w:tcPr>
          <w:p>
            <w:r/>
            <w:r>
              <w:rPr>
                <w:rFonts w:ascii="Calibri" w:hAnsi="Calibri"/>
                <w:color w:val="333333"/>
                <w:sz w:val="18"/>
              </w:rPr>
              <w:t>mode</w:t>
            </w:r>
          </w:p>
        </w:tc>
        <w:tc>
          <w:tcPr>
            <w:tcW w:type="dxa" w:w="1152"/>
          </w:tcPr>
          <w:p>
            <w:r/>
            <w:r>
              <w:rPr>
                <w:rFonts w:ascii="Calibri" w:hAnsi="Calibri"/>
                <w:color w:val="333333"/>
                <w:sz w:val="18"/>
              </w:rPr>
              <w:t>String</w:t>
            </w:r>
          </w:p>
        </w:tc>
        <w:tc>
          <w:tcPr>
            <w:tcW w:type="dxa" w:w="1152"/>
          </w:tcPr>
          <w:p>
            <w:r/>
            <w:r>
              <w:rPr>
                <w:rFonts w:ascii="Calibri" w:hAnsi="Calibri"/>
                <w:color w:val="333333"/>
                <w:sz w:val="18"/>
              </w:rPr>
              <w:t>Yes</w:t>
            </w:r>
          </w:p>
        </w:tc>
        <w:tc>
          <w:tcPr>
            <w:tcW w:type="dxa" w:w="5328"/>
          </w:tcPr>
          <w:p>
            <w:r/>
            <w:r>
              <w:rPr>
                <w:rFonts w:ascii="Calibri" w:hAnsi="Calibri"/>
                <w:color w:val="333333"/>
                <w:sz w:val="18"/>
              </w:rPr>
              <w:t>Must be 'real' for prompt-response pairs</w:t>
            </w:r>
          </w:p>
        </w:tc>
      </w:tr>
      <w:tr>
        <w:tc>
          <w:tcPr>
            <w:tcW w:type="dxa" w:w="1728"/>
            <w:shd w:fill="F2F6FC"/>
          </w:tcPr>
          <w:p>
            <w:r/>
            <w:r>
              <w:rPr>
                <w:rFonts w:ascii="Calibri" w:hAnsi="Calibri"/>
                <w:color w:val="333333"/>
                <w:sz w:val="18"/>
              </w:rPr>
              <w:t>tags</w:t>
            </w:r>
          </w:p>
        </w:tc>
        <w:tc>
          <w:tcPr>
            <w:tcW w:type="dxa" w:w="1152"/>
            <w:shd w:fill="F2F6FC"/>
          </w:tcPr>
          <w:p>
            <w:r/>
            <w:r>
              <w:rPr>
                <w:rFonts w:ascii="Calibri" w:hAnsi="Calibri"/>
                <w:color w:val="333333"/>
                <w:sz w:val="18"/>
              </w:rPr>
              <w:t>Array</w:t>
            </w:r>
          </w:p>
        </w:tc>
        <w:tc>
          <w:tcPr>
            <w:tcW w:type="dxa" w:w="1152"/>
            <w:shd w:fill="F2F6FC"/>
          </w:tcPr>
          <w:p>
            <w:r/>
            <w:r>
              <w:rPr>
                <w:rFonts w:ascii="Calibri" w:hAnsi="Calibri"/>
                <w:color w:val="333333"/>
                <w:sz w:val="18"/>
              </w:rPr>
              <w:t>No</w:t>
            </w:r>
          </w:p>
        </w:tc>
        <w:tc>
          <w:tcPr>
            <w:tcW w:type="dxa" w:w="5328"/>
            <w:shd w:fill="F2F6FC"/>
          </w:tcPr>
          <w:p>
            <w:r/>
            <w:r>
              <w:rPr>
                <w:rFonts w:ascii="Calibri" w:hAnsi="Calibri"/>
                <w:color w:val="333333"/>
                <w:sz w:val="18"/>
              </w:rPr>
              <w:t>Tags for filtering and grouping test cases</w:t>
            </w:r>
          </w:p>
        </w:tc>
      </w:tr>
    </w:tbl>
    <w:p/>
    <w:p>
      <w:r>
        <w:br w:type="page"/>
      </w:r>
    </w:p>
    <w:p>
      <w:pPr>
        <w:pStyle w:val="Heading1"/>
      </w:pPr>
      <w:r>
        <w:t>Appendix B: Simulated Data Summary</w:t>
      </w:r>
    </w:p>
    <w:p>
      <w:pPr>
        <w:spacing w:after="120"/>
      </w:pPr>
      <w:r>
        <w:t>This appendix provides a quick reference for the synthetic data available in simulated mode. The synthetic dataset mirrors the production Databricks schema with deterministic, reproducible values.</w:t>
      </w:r>
    </w:p>
    <w:p>
      <w:pPr>
        <w:spacing w:after="80"/>
      </w:pPr>
      <w:r>
        <w:rPr>
          <w:b/>
        </w:rPr>
        <w:t>Dimension Tables (11):</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880"/>
            <w:shd w:fill="1A56DB"/>
          </w:tcPr>
          <w:p>
            <w:r/>
            <w:r>
              <w:rPr>
                <w:rFonts w:ascii="Calibri" w:hAnsi="Calibri"/>
                <w:b/>
                <w:color w:val="FFFFFF"/>
                <w:sz w:val="20"/>
              </w:rPr>
              <w:t>Table</w:t>
            </w:r>
          </w:p>
        </w:tc>
        <w:tc>
          <w:tcPr>
            <w:tcW w:type="dxa" w:w="1152"/>
            <w:shd w:fill="1A56DB"/>
          </w:tcPr>
          <w:p>
            <w:r/>
            <w:r>
              <w:rPr>
                <w:rFonts w:ascii="Calibri" w:hAnsi="Calibri"/>
                <w:b/>
                <w:color w:val="FFFFFF"/>
                <w:sz w:val="20"/>
              </w:rPr>
              <w:t>Rows</w:t>
            </w:r>
          </w:p>
        </w:tc>
        <w:tc>
          <w:tcPr>
            <w:tcW w:type="dxa" w:w="5328"/>
            <w:shd w:fill="1A56DB"/>
          </w:tcPr>
          <w:p>
            <w:r/>
            <w:r>
              <w:rPr>
                <w:rFonts w:ascii="Calibri" w:hAnsi="Calibri"/>
                <w:b/>
                <w:color w:val="FFFFFF"/>
                <w:sz w:val="20"/>
              </w:rPr>
              <w:t>Key Characteristics</w:t>
            </w:r>
          </w:p>
        </w:tc>
      </w:tr>
      <w:tr>
        <w:tc>
          <w:tcPr>
            <w:tcW w:type="dxa" w:w="2880"/>
          </w:tcPr>
          <w:p>
            <w:r/>
            <w:r>
              <w:rPr>
                <w:rFonts w:ascii="Calibri" w:hAnsi="Calibri"/>
                <w:color w:val="333333"/>
                <w:sz w:val="18"/>
              </w:rPr>
              <w:t>finiq_date</w:t>
            </w:r>
          </w:p>
        </w:tc>
        <w:tc>
          <w:tcPr>
            <w:tcW w:type="dxa" w:w="1152"/>
          </w:tcPr>
          <w:p>
            <w:r/>
            <w:r>
              <w:rPr>
                <w:rFonts w:ascii="Calibri" w:hAnsi="Calibri"/>
                <w:color w:val="333333"/>
                <w:sz w:val="18"/>
              </w:rPr>
              <w:t>730</w:t>
            </w:r>
          </w:p>
        </w:tc>
        <w:tc>
          <w:tcPr>
            <w:tcW w:type="dxa" w:w="5328"/>
          </w:tcPr>
          <w:p>
            <w:r/>
            <w:r>
              <w:rPr>
                <w:rFonts w:ascii="Calibri" w:hAnsi="Calibri"/>
                <w:color w:val="333333"/>
                <w:sz w:val="18"/>
              </w:rPr>
              <w:t>2 fiscal years (2024–2025), P1–P13 per year</w:t>
            </w:r>
          </w:p>
        </w:tc>
      </w:tr>
      <w:tr>
        <w:tc>
          <w:tcPr>
            <w:tcW w:type="dxa" w:w="2880"/>
            <w:shd w:fill="F2F6FC"/>
          </w:tcPr>
          <w:p>
            <w:r/>
            <w:r>
              <w:rPr>
                <w:rFonts w:ascii="Calibri" w:hAnsi="Calibri"/>
                <w:color w:val="333333"/>
                <w:sz w:val="18"/>
              </w:rPr>
              <w:t>finiq_dim_entity</w:t>
            </w:r>
          </w:p>
        </w:tc>
        <w:tc>
          <w:tcPr>
            <w:tcW w:type="dxa" w:w="1152"/>
            <w:shd w:fill="F2F6FC"/>
          </w:tcPr>
          <w:p>
            <w:r/>
            <w:r>
              <w:rPr>
                <w:rFonts w:ascii="Calibri" w:hAnsi="Calibri"/>
                <w:color w:val="333333"/>
                <w:sz w:val="18"/>
              </w:rPr>
              <w:t>150+</w:t>
            </w:r>
          </w:p>
        </w:tc>
        <w:tc>
          <w:tcPr>
            <w:tcW w:type="dxa" w:w="5328"/>
            <w:shd w:fill="F2F6FC"/>
          </w:tcPr>
          <w:p>
            <w:r/>
            <w:r>
              <w:rPr>
                <w:rFonts w:ascii="Calibri" w:hAnsi="Calibri"/>
                <w:color w:val="333333"/>
                <w:sz w:val="18"/>
              </w:rPr>
              <w:t>Synthetic org hierarchy: Mars Inc &gt; GBUs &gt; Divisions &gt; Regions &gt; Sub-units</w:t>
            </w:r>
          </w:p>
        </w:tc>
      </w:tr>
      <w:tr>
        <w:tc>
          <w:tcPr>
            <w:tcW w:type="dxa" w:w="2880"/>
          </w:tcPr>
          <w:p>
            <w:r/>
            <w:r>
              <w:rPr>
                <w:rFonts w:ascii="Calibri" w:hAnsi="Calibri"/>
                <w:color w:val="333333"/>
                <w:sz w:val="18"/>
              </w:rPr>
              <w:t>finiq_dim_account</w:t>
            </w:r>
          </w:p>
        </w:tc>
        <w:tc>
          <w:tcPr>
            <w:tcW w:type="dxa" w:w="1152"/>
          </w:tcPr>
          <w:p>
            <w:r/>
            <w:r>
              <w:rPr>
                <w:rFonts w:ascii="Calibri" w:hAnsi="Calibri"/>
                <w:color w:val="333333"/>
                <w:sz w:val="18"/>
              </w:rPr>
              <w:t>200+</w:t>
            </w:r>
          </w:p>
        </w:tc>
        <w:tc>
          <w:tcPr>
            <w:tcW w:type="dxa" w:w="5328"/>
          </w:tcPr>
          <w:p>
            <w:r/>
            <w:r>
              <w:rPr>
                <w:rFonts w:ascii="Calibri" w:hAnsi="Calibri"/>
                <w:color w:val="333333"/>
                <w:sz w:val="18"/>
              </w:rPr>
              <w:t>Account master with Sign_Conversion and parent IDs (array)</w:t>
            </w:r>
          </w:p>
        </w:tc>
      </w:tr>
      <w:tr>
        <w:tc>
          <w:tcPr>
            <w:tcW w:type="dxa" w:w="2880"/>
            <w:shd w:fill="F2F6FC"/>
          </w:tcPr>
          <w:p>
            <w:r/>
            <w:r>
              <w:rPr>
                <w:rFonts w:ascii="Calibri" w:hAnsi="Calibri"/>
                <w:color w:val="333333"/>
                <w:sz w:val="18"/>
              </w:rPr>
              <w:t>finiq_account_formula</w:t>
            </w:r>
          </w:p>
        </w:tc>
        <w:tc>
          <w:tcPr>
            <w:tcW w:type="dxa" w:w="1152"/>
            <w:shd w:fill="F2F6FC"/>
          </w:tcPr>
          <w:p>
            <w:r/>
            <w:r>
              <w:rPr>
                <w:rFonts w:ascii="Calibri" w:hAnsi="Calibri"/>
                <w:color w:val="333333"/>
                <w:sz w:val="18"/>
              </w:rPr>
              <w:t>50+</w:t>
            </w:r>
          </w:p>
        </w:tc>
        <w:tc>
          <w:tcPr>
            <w:tcW w:type="dxa" w:w="5328"/>
            <w:shd w:fill="F2F6FC"/>
          </w:tcPr>
          <w:p>
            <w:r/>
            <w:r>
              <w:rPr>
                <w:rFonts w:ascii="Calibri" w:hAnsi="Calibri"/>
                <w:color w:val="333333"/>
                <w:sz w:val="18"/>
              </w:rPr>
              <w:t>KPI calculation logic (numerator/denominator pairs)</w:t>
            </w:r>
          </w:p>
        </w:tc>
      </w:tr>
      <w:tr>
        <w:tc>
          <w:tcPr>
            <w:tcW w:type="dxa" w:w="2880"/>
          </w:tcPr>
          <w:p>
            <w:r/>
            <w:r>
              <w:rPr>
                <w:rFonts w:ascii="Calibri" w:hAnsi="Calibri"/>
                <w:color w:val="333333"/>
                <w:sz w:val="18"/>
              </w:rPr>
              <w:t>finiq_account_input</w:t>
            </w:r>
          </w:p>
        </w:tc>
        <w:tc>
          <w:tcPr>
            <w:tcW w:type="dxa" w:w="1152"/>
          </w:tcPr>
          <w:p>
            <w:r/>
            <w:r>
              <w:rPr>
                <w:rFonts w:ascii="Calibri" w:hAnsi="Calibri"/>
                <w:color w:val="333333"/>
                <w:sz w:val="18"/>
              </w:rPr>
              <w:t>100+</w:t>
            </w:r>
          </w:p>
        </w:tc>
        <w:tc>
          <w:tcPr>
            <w:tcW w:type="dxa" w:w="5328"/>
          </w:tcPr>
          <w:p>
            <w:r/>
            <w:r>
              <w:rPr>
                <w:rFonts w:ascii="Calibri" w:hAnsi="Calibri"/>
                <w:color w:val="333333"/>
                <w:sz w:val="18"/>
              </w:rPr>
              <w:t>Account input configurations</w:t>
            </w:r>
          </w:p>
        </w:tc>
      </w:tr>
      <w:tr>
        <w:tc>
          <w:tcPr>
            <w:tcW w:type="dxa" w:w="2880"/>
            <w:shd w:fill="F2F6FC"/>
          </w:tcPr>
          <w:p>
            <w:r/>
            <w:r>
              <w:rPr>
                <w:rFonts w:ascii="Calibri" w:hAnsi="Calibri"/>
                <w:color w:val="333333"/>
                <w:sz w:val="18"/>
              </w:rPr>
              <w:t>finiq_composite_item</w:t>
            </w:r>
          </w:p>
        </w:tc>
        <w:tc>
          <w:tcPr>
            <w:tcW w:type="dxa" w:w="1152"/>
            <w:shd w:fill="F2F6FC"/>
          </w:tcPr>
          <w:p>
            <w:r/>
            <w:r>
              <w:rPr>
                <w:rFonts w:ascii="Calibri" w:hAnsi="Calibri"/>
                <w:color w:val="333333"/>
                <w:sz w:val="18"/>
              </w:rPr>
              <w:t>500+</w:t>
            </w:r>
          </w:p>
        </w:tc>
        <w:tc>
          <w:tcPr>
            <w:tcW w:type="dxa" w:w="5328"/>
            <w:shd w:fill="F2F6FC"/>
          </w:tcPr>
          <w:p>
            <w:r/>
            <w:r>
              <w:rPr>
                <w:rFonts w:ascii="Calibri" w:hAnsi="Calibri"/>
                <w:color w:val="333333"/>
                <w:sz w:val="18"/>
              </w:rPr>
              <w:t>12-column product master (brands, categories)</w:t>
            </w:r>
          </w:p>
        </w:tc>
      </w:tr>
      <w:tr>
        <w:tc>
          <w:tcPr>
            <w:tcW w:type="dxa" w:w="2880"/>
          </w:tcPr>
          <w:p>
            <w:r/>
            <w:r>
              <w:rPr>
                <w:rFonts w:ascii="Calibri" w:hAnsi="Calibri"/>
                <w:color w:val="333333"/>
                <w:sz w:val="18"/>
              </w:rPr>
              <w:t>finiq_item</w:t>
            </w:r>
          </w:p>
        </w:tc>
        <w:tc>
          <w:tcPr>
            <w:tcW w:type="dxa" w:w="1152"/>
          </w:tcPr>
          <w:p>
            <w:r/>
            <w:r>
              <w:rPr>
                <w:rFonts w:ascii="Calibri" w:hAnsi="Calibri"/>
                <w:color w:val="333333"/>
                <w:sz w:val="18"/>
              </w:rPr>
              <w:t>1,000+</w:t>
            </w:r>
          </w:p>
        </w:tc>
        <w:tc>
          <w:tcPr>
            <w:tcW w:type="dxa" w:w="5328"/>
          </w:tcPr>
          <w:p>
            <w:r/>
            <w:r>
              <w:rPr>
                <w:rFonts w:ascii="Calibri" w:hAnsi="Calibri"/>
                <w:color w:val="333333"/>
                <w:sz w:val="18"/>
              </w:rPr>
              <w:t>15-column granular product detail</w:t>
            </w:r>
          </w:p>
        </w:tc>
      </w:tr>
      <w:tr>
        <w:tc>
          <w:tcPr>
            <w:tcW w:type="dxa" w:w="2880"/>
            <w:shd w:fill="F2F6FC"/>
          </w:tcPr>
          <w:p>
            <w:r/>
            <w:r>
              <w:rPr>
                <w:rFonts w:ascii="Calibri" w:hAnsi="Calibri"/>
                <w:color w:val="333333"/>
                <w:sz w:val="18"/>
              </w:rPr>
              <w:t>finiq_item_composite_item</w:t>
            </w:r>
          </w:p>
        </w:tc>
        <w:tc>
          <w:tcPr>
            <w:tcW w:type="dxa" w:w="1152"/>
            <w:shd w:fill="F2F6FC"/>
          </w:tcPr>
          <w:p>
            <w:r/>
            <w:r>
              <w:rPr>
                <w:rFonts w:ascii="Calibri" w:hAnsi="Calibri"/>
                <w:color w:val="333333"/>
                <w:sz w:val="18"/>
              </w:rPr>
              <w:t>1,500+</w:t>
            </w:r>
          </w:p>
        </w:tc>
        <w:tc>
          <w:tcPr>
            <w:tcW w:type="dxa" w:w="5328"/>
            <w:shd w:fill="F2F6FC"/>
          </w:tcPr>
          <w:p>
            <w:r/>
            <w:r>
              <w:rPr>
                <w:rFonts w:ascii="Calibri" w:hAnsi="Calibri"/>
                <w:color w:val="333333"/>
                <w:sz w:val="18"/>
              </w:rPr>
              <w:t>Bridge table linking items to composite items</w:t>
            </w:r>
          </w:p>
        </w:tc>
      </w:tr>
      <w:tr>
        <w:tc>
          <w:tcPr>
            <w:tcW w:type="dxa" w:w="2880"/>
          </w:tcPr>
          <w:p>
            <w:r/>
            <w:r>
              <w:rPr>
                <w:rFonts w:ascii="Calibri" w:hAnsi="Calibri"/>
                <w:color w:val="333333"/>
                <w:sz w:val="18"/>
              </w:rPr>
              <w:t>finiq_customer</w:t>
            </w:r>
          </w:p>
        </w:tc>
        <w:tc>
          <w:tcPr>
            <w:tcW w:type="dxa" w:w="1152"/>
          </w:tcPr>
          <w:p>
            <w:r/>
            <w:r>
              <w:rPr>
                <w:rFonts w:ascii="Calibri" w:hAnsi="Calibri"/>
                <w:color w:val="333333"/>
                <w:sz w:val="18"/>
              </w:rPr>
              <w:t>300+</w:t>
            </w:r>
          </w:p>
        </w:tc>
        <w:tc>
          <w:tcPr>
            <w:tcW w:type="dxa" w:w="5328"/>
          </w:tcPr>
          <w:p>
            <w:r/>
            <w:r>
              <w:rPr>
                <w:rFonts w:ascii="Calibri" w:hAnsi="Calibri"/>
                <w:color w:val="333333"/>
                <w:sz w:val="18"/>
              </w:rPr>
              <w:t>11-column customer master</w:t>
            </w:r>
          </w:p>
        </w:tc>
      </w:tr>
      <w:tr>
        <w:tc>
          <w:tcPr>
            <w:tcW w:type="dxa" w:w="2880"/>
            <w:shd w:fill="F2F6FC"/>
          </w:tcPr>
          <w:p>
            <w:r/>
            <w:r>
              <w:rPr>
                <w:rFonts w:ascii="Calibri" w:hAnsi="Calibri"/>
                <w:color w:val="333333"/>
                <w:sz w:val="18"/>
              </w:rPr>
              <w:t>finiq_customer_map</w:t>
            </w:r>
          </w:p>
        </w:tc>
        <w:tc>
          <w:tcPr>
            <w:tcW w:type="dxa" w:w="1152"/>
            <w:shd w:fill="F2F6FC"/>
          </w:tcPr>
          <w:p>
            <w:r/>
            <w:r>
              <w:rPr>
                <w:rFonts w:ascii="Calibri" w:hAnsi="Calibri"/>
                <w:color w:val="333333"/>
                <w:sz w:val="18"/>
              </w:rPr>
              <w:t>600+</w:t>
            </w:r>
          </w:p>
        </w:tc>
        <w:tc>
          <w:tcPr>
            <w:tcW w:type="dxa" w:w="5328"/>
            <w:shd w:fill="F2F6FC"/>
          </w:tcPr>
          <w:p>
            <w:r/>
            <w:r>
              <w:rPr>
                <w:rFonts w:ascii="Calibri" w:hAnsi="Calibri"/>
                <w:color w:val="333333"/>
                <w:sz w:val="18"/>
              </w:rPr>
              <w:t>Customer hierarchy mapping</w:t>
            </w:r>
          </w:p>
        </w:tc>
      </w:tr>
      <w:tr>
        <w:tc>
          <w:tcPr>
            <w:tcW w:type="dxa" w:w="2880"/>
          </w:tcPr>
          <w:p>
            <w:r/>
            <w:r>
              <w:rPr>
                <w:rFonts w:ascii="Calibri" w:hAnsi="Calibri"/>
                <w:color w:val="333333"/>
                <w:sz w:val="18"/>
              </w:rPr>
              <w:t>finiq_economic_cell</w:t>
            </w:r>
          </w:p>
        </w:tc>
        <w:tc>
          <w:tcPr>
            <w:tcW w:type="dxa" w:w="1152"/>
          </w:tcPr>
          <w:p>
            <w:r/>
            <w:r>
              <w:rPr>
                <w:rFonts w:ascii="Calibri" w:hAnsi="Calibri"/>
                <w:color w:val="333333"/>
                <w:sz w:val="18"/>
              </w:rPr>
              <w:t>100+</w:t>
            </w:r>
          </w:p>
        </w:tc>
        <w:tc>
          <w:tcPr>
            <w:tcW w:type="dxa" w:w="5328"/>
          </w:tcPr>
          <w:p>
            <w:r/>
            <w:r>
              <w:rPr>
                <w:rFonts w:ascii="Calibri" w:hAnsi="Calibri"/>
                <w:color w:val="333333"/>
                <w:sz w:val="18"/>
              </w:rPr>
              <w:t>Economic cell definitions</w:t>
            </w:r>
          </w:p>
        </w:tc>
      </w:tr>
    </w:tbl>
    <w:p/>
    <w:p>
      <w:pPr>
        <w:spacing w:after="80"/>
      </w:pPr>
      <w:r>
        <w:rPr>
          <w:b/>
        </w:rPr>
        <w:t>Fact Tables (5):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fill="1A56DB"/>
          </w:tcPr>
          <w:p>
            <w:r/>
            <w:r>
              <w:rPr>
                <w:rFonts w:ascii="Calibri" w:hAnsi="Calibri"/>
                <w:b/>
                <w:color w:val="FFFFFF"/>
                <w:sz w:val="20"/>
              </w:rPr>
              <w:t>Table</w:t>
            </w:r>
          </w:p>
        </w:tc>
        <w:tc>
          <w:tcPr>
            <w:tcW w:type="dxa" w:w="1440"/>
            <w:shd w:fill="1A56DB"/>
          </w:tcPr>
          <w:p>
            <w:r/>
            <w:r>
              <w:rPr>
                <w:rFonts w:ascii="Calibri" w:hAnsi="Calibri"/>
                <w:b/>
                <w:color w:val="FFFFFF"/>
                <w:sz w:val="20"/>
              </w:rPr>
              <w:t>Rows</w:t>
            </w:r>
          </w:p>
        </w:tc>
        <w:tc>
          <w:tcPr>
            <w:tcW w:type="dxa" w:w="4320"/>
            <w:shd w:fill="1A56DB"/>
          </w:tcPr>
          <w:p>
            <w:r/>
            <w:r>
              <w:rPr>
                <w:rFonts w:ascii="Calibri" w:hAnsi="Calibri"/>
                <w:b/>
                <w:color w:val="FFFFFF"/>
                <w:sz w:val="20"/>
              </w:rPr>
              <w:t>Key Characteristics</w:t>
            </w:r>
          </w:p>
        </w:tc>
      </w:tr>
      <w:tr>
        <w:tc>
          <w:tcPr>
            <w:tcW w:type="dxa" w:w="3600"/>
          </w:tcPr>
          <w:p>
            <w:r/>
            <w:r>
              <w:rPr>
                <w:rFonts w:ascii="Calibri" w:hAnsi="Calibri"/>
                <w:color w:val="333333"/>
                <w:sz w:val="18"/>
              </w:rPr>
              <w:t>finiq_financial</w:t>
            </w:r>
          </w:p>
        </w:tc>
        <w:tc>
          <w:tcPr>
            <w:tcW w:type="dxa" w:w="1440"/>
          </w:tcPr>
          <w:p>
            <w:r/>
            <w:r>
              <w:rPr>
                <w:rFonts w:ascii="Calibri" w:hAnsi="Calibri"/>
                <w:color w:val="333333"/>
                <w:sz w:val="18"/>
              </w:rPr>
              <w:t>50,000+</w:t>
            </w:r>
          </w:p>
        </w:tc>
        <w:tc>
          <w:tcPr>
            <w:tcW w:type="dxa" w:w="4320"/>
          </w:tcPr>
          <w:p>
            <w:r/>
            <w:r>
              <w:rPr>
                <w:rFonts w:ascii="Calibri" w:hAnsi="Calibri"/>
                <w:color w:val="333333"/>
                <w:sz w:val="18"/>
              </w:rPr>
              <w:t>39-column denormalized wide table (primary fact table)</w:t>
            </w:r>
          </w:p>
        </w:tc>
      </w:tr>
      <w:tr>
        <w:tc>
          <w:tcPr>
            <w:tcW w:type="dxa" w:w="3600"/>
            <w:shd w:fill="F2F6FC"/>
          </w:tcPr>
          <w:p>
            <w:r/>
            <w:r>
              <w:rPr>
                <w:rFonts w:ascii="Calibri" w:hAnsi="Calibri"/>
                <w:color w:val="333333"/>
                <w:sz w:val="18"/>
              </w:rPr>
              <w:t>finiq_financial_base</w:t>
            </w:r>
          </w:p>
        </w:tc>
        <w:tc>
          <w:tcPr>
            <w:tcW w:type="dxa" w:w="1440"/>
            <w:shd w:fill="F2F6FC"/>
          </w:tcPr>
          <w:p>
            <w:r/>
            <w:r>
              <w:rPr>
                <w:rFonts w:ascii="Calibri" w:hAnsi="Calibri"/>
                <w:color w:val="333333"/>
                <w:sz w:val="18"/>
              </w:rPr>
              <w:t>30,000+</w:t>
            </w:r>
          </w:p>
        </w:tc>
        <w:tc>
          <w:tcPr>
            <w:tcW w:type="dxa" w:w="4320"/>
            <w:shd w:fill="F2F6FC"/>
          </w:tcPr>
          <w:p>
            <w:r/>
            <w:r>
              <w:rPr>
                <w:rFonts w:ascii="Calibri" w:hAnsi="Calibri"/>
                <w:color w:val="333333"/>
                <w:sz w:val="18"/>
              </w:rPr>
              <w:t>7-column normalized base financials</w:t>
            </w:r>
          </w:p>
        </w:tc>
      </w:tr>
      <w:tr>
        <w:tc>
          <w:tcPr>
            <w:tcW w:type="dxa" w:w="3600"/>
          </w:tcPr>
          <w:p>
            <w:r/>
            <w:r>
              <w:rPr>
                <w:rFonts w:ascii="Calibri" w:hAnsi="Calibri"/>
                <w:color w:val="333333"/>
                <w:sz w:val="18"/>
              </w:rPr>
              <w:t>finiq_financial_cons</w:t>
            </w:r>
          </w:p>
        </w:tc>
        <w:tc>
          <w:tcPr>
            <w:tcW w:type="dxa" w:w="1440"/>
          </w:tcPr>
          <w:p>
            <w:r/>
            <w:r>
              <w:rPr>
                <w:rFonts w:ascii="Calibri" w:hAnsi="Calibri"/>
                <w:color w:val="333333"/>
                <w:sz w:val="18"/>
              </w:rPr>
              <w:t>20,000+</w:t>
            </w:r>
          </w:p>
        </w:tc>
        <w:tc>
          <w:tcPr>
            <w:tcW w:type="dxa" w:w="4320"/>
          </w:tcPr>
          <w:p>
            <w:r/>
            <w:r>
              <w:rPr>
                <w:rFonts w:ascii="Calibri" w:hAnsi="Calibri"/>
                <w:color w:val="333333"/>
                <w:sz w:val="18"/>
              </w:rPr>
              <w:t>9-column with currency (used by views)</w:t>
            </w:r>
          </w:p>
        </w:tc>
      </w:tr>
      <w:tr>
        <w:tc>
          <w:tcPr>
            <w:tcW w:type="dxa" w:w="3600"/>
            <w:shd w:fill="F2F6FC"/>
          </w:tcPr>
          <w:p>
            <w:r/>
            <w:r>
              <w:rPr>
                <w:rFonts w:ascii="Calibri" w:hAnsi="Calibri"/>
                <w:color w:val="333333"/>
                <w:sz w:val="18"/>
              </w:rPr>
              <w:t>finiq_financial_replan</w:t>
            </w:r>
          </w:p>
        </w:tc>
        <w:tc>
          <w:tcPr>
            <w:tcW w:type="dxa" w:w="1440"/>
            <w:shd w:fill="F2F6FC"/>
          </w:tcPr>
          <w:p>
            <w:r/>
            <w:r>
              <w:rPr>
                <w:rFonts w:ascii="Calibri" w:hAnsi="Calibri"/>
                <w:color w:val="333333"/>
                <w:sz w:val="18"/>
              </w:rPr>
              <w:t>15,000+</w:t>
            </w:r>
          </w:p>
        </w:tc>
        <w:tc>
          <w:tcPr>
            <w:tcW w:type="dxa" w:w="4320"/>
            <w:shd w:fill="F2F6FC"/>
          </w:tcPr>
          <w:p>
            <w:r/>
            <w:r>
              <w:rPr>
                <w:rFonts w:ascii="Calibri" w:hAnsi="Calibri"/>
                <w:color w:val="333333"/>
                <w:sz w:val="18"/>
              </w:rPr>
              <w:t>18-column actual vs. replan (budget variance source)</w:t>
            </w:r>
          </w:p>
        </w:tc>
      </w:tr>
      <w:tr>
        <w:tc>
          <w:tcPr>
            <w:tcW w:type="dxa" w:w="3600"/>
          </w:tcPr>
          <w:p>
            <w:r/>
            <w:r>
              <w:rPr>
                <w:rFonts w:ascii="Calibri" w:hAnsi="Calibri"/>
                <w:color w:val="333333"/>
                <w:sz w:val="18"/>
              </w:rPr>
              <w:t>finiq_financial_replan_cons</w:t>
            </w:r>
          </w:p>
        </w:tc>
        <w:tc>
          <w:tcPr>
            <w:tcW w:type="dxa" w:w="1440"/>
          </w:tcPr>
          <w:p>
            <w:r/>
            <w:r>
              <w:rPr>
                <w:rFonts w:ascii="Calibri" w:hAnsi="Calibri"/>
                <w:color w:val="333333"/>
                <w:sz w:val="18"/>
              </w:rPr>
              <w:t>10,000+</w:t>
            </w:r>
          </w:p>
        </w:tc>
        <w:tc>
          <w:tcPr>
            <w:tcW w:type="dxa" w:w="4320"/>
          </w:tcPr>
          <w:p>
            <w:r/>
            <w:r>
              <w:rPr>
                <w:rFonts w:ascii="Calibri" w:hAnsi="Calibri"/>
                <w:color w:val="333333"/>
                <w:sz w:val="18"/>
              </w:rPr>
              <w:t>6-column consolidated replan</w:t>
            </w:r>
          </w:p>
        </w:tc>
      </w:tr>
    </w:tbl>
    <w:p/>
    <w:p>
      <w:pPr>
        <w:spacing w:after="80"/>
      </w:pPr>
      <w:r>
        <w:rPr>
          <w:b/>
        </w:rPr>
        <w:t>Views (3):</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68"/>
            <w:shd w:fill="1A56DB"/>
          </w:tcPr>
          <w:p>
            <w:r/>
            <w:r>
              <w:rPr>
                <w:rFonts w:ascii="Calibri" w:hAnsi="Calibri"/>
                <w:b/>
                <w:color w:val="FFFFFF"/>
                <w:sz w:val="20"/>
              </w:rPr>
              <w:t>View</w:t>
            </w:r>
          </w:p>
        </w:tc>
        <w:tc>
          <w:tcPr>
            <w:tcW w:type="dxa" w:w="2160"/>
            <w:shd w:fill="1A56DB"/>
          </w:tcPr>
          <w:p>
            <w:r/>
            <w:r>
              <w:rPr>
                <w:rFonts w:ascii="Calibri" w:hAnsi="Calibri"/>
                <w:b/>
                <w:color w:val="FFFFFF"/>
                <w:sz w:val="20"/>
              </w:rPr>
              <w:t>Maps To</w:t>
            </w:r>
          </w:p>
        </w:tc>
        <w:tc>
          <w:tcPr>
            <w:tcW w:type="dxa" w:w="4032"/>
            <w:shd w:fill="1A56DB"/>
          </w:tcPr>
          <w:p>
            <w:r/>
            <w:r>
              <w:rPr>
                <w:rFonts w:ascii="Calibri" w:hAnsi="Calibri"/>
                <w:b/>
                <w:color w:val="FFFFFF"/>
                <w:sz w:val="20"/>
              </w:rPr>
              <w:t>Output Columns</w:t>
            </w:r>
          </w:p>
        </w:tc>
      </w:tr>
      <w:tr>
        <w:tc>
          <w:tcPr>
            <w:tcW w:type="dxa" w:w="3168"/>
          </w:tcPr>
          <w:p>
            <w:r/>
            <w:r>
              <w:rPr>
                <w:rFonts w:ascii="Calibri" w:hAnsi="Calibri"/>
                <w:color w:val="333333"/>
                <w:sz w:val="18"/>
              </w:rPr>
              <w:t>finiq_vw_pl_entity</w:t>
            </w:r>
          </w:p>
        </w:tc>
        <w:tc>
          <w:tcPr>
            <w:tcW w:type="dxa" w:w="2160"/>
          </w:tcPr>
          <w:p>
            <w:r/>
            <w:r>
              <w:rPr>
                <w:rFonts w:ascii="Calibri" w:hAnsi="Calibri"/>
                <w:color w:val="333333"/>
                <w:sz w:val="18"/>
              </w:rPr>
              <w:t>PES P&amp;L sheet</w:t>
            </w:r>
          </w:p>
        </w:tc>
        <w:tc>
          <w:tcPr>
            <w:tcW w:type="dxa" w:w="4032"/>
          </w:tcPr>
          <w:p>
            <w:r/>
            <w:r>
              <w:rPr>
                <w:rFonts w:ascii="Calibri" w:hAnsi="Calibri"/>
                <w:color w:val="333333"/>
                <w:sz w:val="18"/>
              </w:rPr>
              <w:t>YTD_LY, YTD_CY, Periodic_LY, Periodic_CY by entity</w:t>
            </w:r>
          </w:p>
        </w:tc>
      </w:tr>
      <w:tr>
        <w:tc>
          <w:tcPr>
            <w:tcW w:type="dxa" w:w="3168"/>
            <w:shd w:fill="F2F6FC"/>
          </w:tcPr>
          <w:p>
            <w:r/>
            <w:r>
              <w:rPr>
                <w:rFonts w:ascii="Calibri" w:hAnsi="Calibri"/>
                <w:color w:val="333333"/>
                <w:sz w:val="18"/>
              </w:rPr>
              <w:t>finiq_vw_pl_brand_product</w:t>
            </w:r>
          </w:p>
        </w:tc>
        <w:tc>
          <w:tcPr>
            <w:tcW w:type="dxa" w:w="2160"/>
            <w:shd w:fill="F2F6FC"/>
          </w:tcPr>
          <w:p>
            <w:r/>
            <w:r>
              <w:rPr>
                <w:rFonts w:ascii="Calibri" w:hAnsi="Calibri"/>
                <w:color w:val="333333"/>
                <w:sz w:val="18"/>
              </w:rPr>
              <w:t>PES Product/Brand sheets</w:t>
            </w:r>
          </w:p>
        </w:tc>
        <w:tc>
          <w:tcPr>
            <w:tcW w:type="dxa" w:w="4032"/>
            <w:shd w:fill="F2F6FC"/>
          </w:tcPr>
          <w:p>
            <w:r/>
            <w:r>
              <w:rPr>
                <w:rFonts w:ascii="Calibri" w:hAnsi="Calibri"/>
                <w:color w:val="333333"/>
                <w:sz w:val="18"/>
              </w:rPr>
              <w:t>YTD_LY, YTD_CY, Periodic_LY, Periodic_CY by brand/product (3-way UNION ALL)</w:t>
            </w:r>
          </w:p>
        </w:tc>
      </w:tr>
      <w:tr>
        <w:tc>
          <w:tcPr>
            <w:tcW w:type="dxa" w:w="3168"/>
          </w:tcPr>
          <w:p>
            <w:r/>
            <w:r>
              <w:rPr>
                <w:rFonts w:ascii="Calibri" w:hAnsi="Calibri"/>
                <w:color w:val="333333"/>
                <w:sz w:val="18"/>
              </w:rPr>
              <w:t>finiq_vw_ncfo_entity</w:t>
            </w:r>
          </w:p>
        </w:tc>
        <w:tc>
          <w:tcPr>
            <w:tcW w:type="dxa" w:w="2160"/>
          </w:tcPr>
          <w:p>
            <w:r/>
            <w:r>
              <w:rPr>
                <w:rFonts w:ascii="Calibri" w:hAnsi="Calibri"/>
                <w:color w:val="333333"/>
                <w:sz w:val="18"/>
              </w:rPr>
              <w:t>PES NCFO sheet</w:t>
            </w:r>
          </w:p>
        </w:tc>
        <w:tc>
          <w:tcPr>
            <w:tcW w:type="dxa" w:w="4032"/>
          </w:tcPr>
          <w:p>
            <w:r/>
            <w:r>
              <w:rPr>
                <w:rFonts w:ascii="Calibri" w:hAnsi="Calibri"/>
                <w:color w:val="333333"/>
                <w:sz w:val="18"/>
              </w:rPr>
              <w:t>YTD_LY, YTD_CY, Periodic_LY, Periodic_CY by entity</w:t>
            </w:r>
          </w:p>
        </w:tc>
      </w:tr>
    </w:tbl>
    <w:p/>
    <w:p>
      <w:pPr>
        <w:spacing w:after="160"/>
      </w:pPr>
      <w:r>
        <w:rPr>
          <w:i/>
        </w:rPr>
        <w:t>Note: All synthetic data is generated with seed 42 for full reproducibility. Row counts are approximate and may vary slightly based on the data generation script version.</w:t>
      </w:r>
    </w:p>
    <w:p>
      <w:pPr>
        <w:spacing w:after="120"/>
      </w:pPr>
      <w:r>
        <w:rPr>
          <w:b/>
          <w:color w:val="999999"/>
          <w:sz w:val="22"/>
        </w:rPr>
        <w:t>— End of Document —</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