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w:hAnsi="Calibri"/>
          <w:b/>
          <w:color w:val="0A1F44"/>
          <w:sz w:val="72"/>
        </w:rPr>
        <w:t>Amira FinIQ</w:t>
      </w:r>
    </w:p>
    <w:p>
      <w:pPr>
        <w:jc w:val="center"/>
      </w:pPr>
      <w:r>
        <w:rPr>
          <w:rFonts w:ascii="Calibri" w:hAnsi="Calibri"/>
          <w:color w:val="1A56DB"/>
          <w:sz w:val="36"/>
        </w:rPr>
        <w:t>Unified Financial Analytics Hub</w:t>
      </w:r>
    </w:p>
    <w:p/>
    <w:p>
      <w:pPr>
        <w:jc w:val="center"/>
      </w:pPr>
      <w:r>
        <w:rPr>
          <w:rFonts w:ascii="Calibri" w:hAnsi="Calibri"/>
          <w:color w:val="333333"/>
          <w:sz w:val="32"/>
        </w:rPr>
        <w:t>Software Requirements Specification</w:t>
      </w:r>
    </w:p>
    <w:p/>
    <w:p/>
    <w:tbl>
      <w:tblPr>
        <w:tblW w:type="auto" w:w="0"/>
        <w:jc w:val="center"/>
        <w:tblLook w:firstColumn="1" w:firstRow="1" w:lastColumn="0" w:lastRow="0" w:noHBand="0" w:noVBand="1" w:val="04A0"/>
      </w:tblPr>
      <w:tblGrid>
        <w:gridCol w:w="4680"/>
        <w:gridCol w:w="4680"/>
      </w:tblGrid>
      <w:tr>
        <w:tc>
          <w:tcPr>
            <w:tcW w:type="dxa" w:w="4680"/>
          </w:tcPr>
          <w:p>
            <w:pPr>
              <w:jc w:val="center"/>
            </w:pPr>
            <w:r/>
            <w:r>
              <w:rPr>
                <w:rFonts w:ascii="Calibri" w:hAnsi="Calibri"/>
                <w:b/>
                <w:color w:val="333333"/>
                <w:sz w:val="20"/>
              </w:rPr>
              <w:t>Document Version</w:t>
            </w:r>
          </w:p>
        </w:tc>
        <w:tc>
          <w:tcPr>
            <w:tcW w:type="dxa" w:w="4680"/>
          </w:tcPr>
          <w:p>
            <w:pPr>
              <w:jc w:val="center"/>
            </w:pPr>
            <w:r/>
            <w:r>
              <w:rPr>
                <w:rFonts w:ascii="Calibri" w:hAnsi="Calibri"/>
                <w:color w:val="333333"/>
                <w:sz w:val="20"/>
              </w:rPr>
              <w:t>1.0</w:t>
            </w:r>
          </w:p>
        </w:tc>
      </w:tr>
      <w:tr>
        <w:tc>
          <w:tcPr>
            <w:tcW w:type="dxa" w:w="4680"/>
          </w:tcPr>
          <w:p>
            <w:pPr>
              <w:jc w:val="center"/>
            </w:pPr>
            <w:r/>
            <w:r>
              <w:rPr>
                <w:rFonts w:ascii="Calibri" w:hAnsi="Calibri"/>
                <w:b/>
                <w:color w:val="333333"/>
                <w:sz w:val="20"/>
              </w:rPr>
              <w:t>Date</w:t>
            </w:r>
          </w:p>
        </w:tc>
        <w:tc>
          <w:tcPr>
            <w:tcW w:type="dxa" w:w="4680"/>
          </w:tcPr>
          <w:p>
            <w:pPr>
              <w:jc w:val="center"/>
            </w:pPr>
            <w:r/>
            <w:r>
              <w:rPr>
                <w:rFonts w:ascii="Calibri" w:hAnsi="Calibri"/>
                <w:color w:val="333333"/>
                <w:sz w:val="20"/>
              </w:rPr>
              <w:t>March 25, 2026</w:t>
            </w:r>
          </w:p>
        </w:tc>
      </w:tr>
      <w:tr>
        <w:tc>
          <w:tcPr>
            <w:tcW w:type="dxa" w:w="4680"/>
          </w:tcPr>
          <w:p>
            <w:pPr>
              <w:jc w:val="center"/>
            </w:pPr>
            <w:r/>
            <w:r>
              <w:rPr>
                <w:rFonts w:ascii="Calibri" w:hAnsi="Calibri"/>
                <w:b/>
                <w:color w:val="333333"/>
                <w:sz w:val="20"/>
              </w:rPr>
              <w:t>Classification</w:t>
            </w:r>
          </w:p>
        </w:tc>
        <w:tc>
          <w:tcPr>
            <w:tcW w:type="dxa" w:w="4680"/>
          </w:tcPr>
          <w:p>
            <w:pPr>
              <w:jc w:val="center"/>
            </w:pPr>
            <w:r/>
            <w:r>
              <w:rPr>
                <w:rFonts w:ascii="Calibri" w:hAnsi="Calibri"/>
                <w:color w:val="333333"/>
                <w:sz w:val="20"/>
              </w:rPr>
              <w:t>Confidential</w:t>
            </w:r>
          </w:p>
        </w:tc>
      </w:tr>
      <w:tr>
        <w:tc>
          <w:tcPr>
            <w:tcW w:type="dxa" w:w="4680"/>
          </w:tcPr>
          <w:p>
            <w:pPr>
              <w:jc w:val="center"/>
            </w:pPr>
            <w:r/>
            <w:r>
              <w:rPr>
                <w:rFonts w:ascii="Calibri" w:hAnsi="Calibri"/>
                <w:b/>
                <w:color w:val="333333"/>
                <w:sz w:val="20"/>
              </w:rPr>
              <w:t>Prepared For</w:t>
            </w:r>
          </w:p>
        </w:tc>
        <w:tc>
          <w:tcPr>
            <w:tcW w:type="dxa" w:w="4680"/>
          </w:tcPr>
          <w:p>
            <w:pPr>
              <w:jc w:val="center"/>
            </w:pPr>
            <w:r/>
            <w:r>
              <w:rPr>
                <w:rFonts w:ascii="Calibri" w:hAnsi="Calibri"/>
                <w:color w:val="333333"/>
                <w:sz w:val="20"/>
              </w:rPr>
              <w:t>Mars, Incorporated</w:t>
            </w:r>
          </w:p>
        </w:tc>
      </w:tr>
      <w:tr>
        <w:tc>
          <w:tcPr>
            <w:tcW w:type="dxa" w:w="4680"/>
          </w:tcPr>
          <w:p>
            <w:pPr>
              <w:jc w:val="center"/>
            </w:pPr>
            <w:r/>
            <w:r>
              <w:rPr>
                <w:rFonts w:ascii="Calibri" w:hAnsi="Calibri"/>
                <w:b/>
                <w:color w:val="333333"/>
                <w:sz w:val="20"/>
              </w:rPr>
              <w:t>Prepared By</w:t>
            </w:r>
          </w:p>
        </w:tc>
        <w:tc>
          <w:tcPr>
            <w:tcW w:type="dxa" w:w="4680"/>
          </w:tcPr>
          <w:p>
            <w:pPr>
              <w:jc w:val="center"/>
            </w:pPr>
            <w:r/>
            <w:r>
              <w:rPr>
                <w:rFonts w:ascii="Calibri" w:hAnsi="Calibri"/>
                <w:color w:val="333333"/>
                <w:sz w:val="20"/>
              </w:rPr>
              <w:t>Amira Technologies</w:t>
            </w:r>
          </w:p>
        </w:tc>
      </w:tr>
    </w:tbl>
    <w:p>
      <w:r>
        <w:br w:type="page"/>
      </w:r>
    </w:p>
    <w:p>
      <w:pPr>
        <w:pStyle w:val="Heading1"/>
      </w:pPr>
      <w:r>
        <w:t>Table of Contents</w:t>
      </w:r>
    </w:p>
    <w:p>
      <w:pPr>
        <w:spacing w:after="120"/>
      </w:pPr>
      <w:r>
        <w:rPr>
          <w:i/>
          <w:color w:val="999999"/>
        </w:rPr>
        <w:t>[Table of Contents will auto-generate when opened in Word: References &gt; Update Table]</w:t>
      </w:r>
    </w:p>
    <w:p>
      <w:r>
        <w:br w:type="page"/>
      </w:r>
    </w:p>
    <w:p>
      <w:pPr>
        <w:pStyle w:val="Heading1"/>
      </w:pPr>
      <w:r>
        <w:t>1. Executive Summary</w:t>
      </w:r>
    </w:p>
    <w:p>
      <w:pPr>
        <w:spacing w:after="120"/>
      </w:pPr>
      <w:r>
        <w:t>Amira FinIQ is a unified financial analytics hub designed to replace Mars, Incorporated's current fragmented analytics landscape with a single, intelligent platform. Today, Mars operates two separate AI-powered tools: a Competitive Intelligence system for analyzing competitor earnings documents, and a Period End Summary system for generating internal financial performance narratives. These systems are siloed, inflexible, and require engineering effort for even minor changes to report templates or data sources.</w:t>
      </w:r>
    </w:p>
    <w:p>
      <w:pPr>
        <w:spacing w:after="120"/>
      </w:pPr>
      <w:r>
        <w:t>Amira FinIQ consolidates all financial data sources (internal P&amp;L, competitor filings, acquired research, commodity market data, and third-party analytics) into a unified data layer, then exposes that data through an intelligent query engine powered by large language models. Users can generate any report on the fly, from standard period-end summaries to ad-hoc competitive benchmarking, without waiting for engineering changes. The platform further integrates with Amira's existing Financial Forecasting and Marketing Analytics services, enabling the system to provide forward-looking recommendations alongside historical analysis.</w:t>
      </w:r>
    </w:p>
    <w:p>
      <w:pPr>
        <w:spacing w:after="120"/>
      </w:pPr>
      <w:r>
        <w:t>A key innovation is the Agent Job Board: an enterprise-scale task queue where analysts across Mars's global organization submit analytical queries, and specialized AI agents autonomously pick up, process, and deliver answers. This transforms the analytics function from a bottlenecked request-and-wait model into a scalable, always-on intelligence service.</w:t>
      </w:r>
    </w:p>
    <w:p>
      <w:pPr>
        <w:pStyle w:val="Heading2"/>
      </w:pPr>
      <w:r>
        <w:t>1.1 Key Value Propositions</w:t>
      </w:r>
    </w:p>
    <w:p>
      <w:pPr>
        <w:pStyle w:val="ListBullet"/>
        <w:spacing w:after="40"/>
      </w:pPr>
      <w:r>
        <w:t>Unified Platform: One hub replacing two siloed tools, with a single data layer and query interface</w:t>
      </w:r>
    </w:p>
    <w:p>
      <w:pPr>
        <w:pStyle w:val="ListBullet"/>
        <w:spacing w:after="40"/>
      </w:pPr>
      <w:r>
        <w:t>On-Demand Reporting: Any financial report generated in seconds from natural language queries, not weeks of engineering</w:t>
      </w:r>
    </w:p>
    <w:p>
      <w:pPr>
        <w:pStyle w:val="ListBullet"/>
        <w:spacing w:after="40"/>
      </w:pPr>
      <w:r>
        <w:t>Enterprise Agent Queue: 100+ users submit queries simultaneously; AI agents process them autonomously with SLAs and priority routing</w:t>
      </w:r>
    </w:p>
    <w:p>
      <w:pPr>
        <w:pStyle w:val="ListBullet"/>
        <w:spacing w:after="40"/>
      </w:pPr>
      <w:r>
        <w:t>Cross-Platform Intelligence: Recommendations enriched by Amira's Financial Forecasting and Marketing Analytics engines</w:t>
      </w:r>
    </w:p>
    <w:p>
      <w:pPr>
        <w:pStyle w:val="ListBullet"/>
        <w:spacing w:after="40"/>
      </w:pPr>
      <w:r>
        <w:t>Self-Service Configuration: Business users modify report templates, KPI definitions, and data sources without code changes</w:t>
      </w:r>
    </w:p>
    <w:p>
      <w:pPr>
        <w:pStyle w:val="ListBullet"/>
        <w:spacing w:after="40"/>
      </w:pPr>
      <w:r>
        <w:t>Comprehensive Data Coverage: Internal financials, competitor intelligence, commodity markets, acquired research, and third-party data in one place</w:t>
      </w:r>
    </w:p>
    <w:p>
      <w:r>
        <w:br w:type="page"/>
      </w:r>
    </w:p>
    <w:p>
      <w:pPr>
        <w:pStyle w:val="Heading1"/>
      </w:pPr>
      <w:r>
        <w:t>2. Scope &amp; Objectives</w:t>
      </w:r>
    </w:p>
    <w:p>
      <w:pPr>
        <w:pStyle w:val="Heading2"/>
      </w:pPr>
      <w:r>
        <w:t>2.1 In Scope</w:t>
      </w:r>
    </w:p>
    <w:p>
      <w:pPr>
        <w:pStyle w:val="ListBullet"/>
        <w:spacing w:after="40"/>
      </w:pPr>
      <w:r>
        <w:t>Internal financial data ingestion and processing (P&amp;L, Brand, Product, NCFO sheets)</w:t>
      </w:r>
    </w:p>
    <w:p>
      <w:pPr>
        <w:pStyle w:val="ListBullet"/>
        <w:spacing w:after="40"/>
      </w:pPr>
      <w:r>
        <w:t>External competitor document ingestion (earnings releases, presentations, transcripts)</w:t>
      </w:r>
    </w:p>
    <w:p>
      <w:pPr>
        <w:pStyle w:val="ListBullet"/>
        <w:spacing w:after="40"/>
      </w:pPr>
      <w:r>
        <w:t>Acquired research and third-party data integration</w:t>
      </w:r>
    </w:p>
    <w:p>
      <w:pPr>
        <w:pStyle w:val="ListBullet"/>
        <w:spacing w:after="40"/>
      </w:pPr>
      <w:r>
        <w:t>Natural language query interface for ad-hoc and structured reporting</w:t>
      </w:r>
    </w:p>
    <w:p>
      <w:pPr>
        <w:pStyle w:val="ListBullet"/>
        <w:spacing w:after="40"/>
      </w:pPr>
      <w:r>
        <w:t>Period End Summary generation (Summary, WWW, WNWW formats) with full configurability</w:t>
      </w:r>
    </w:p>
    <w:p>
      <w:pPr>
        <w:pStyle w:val="ListBullet"/>
        <w:spacing w:after="40"/>
      </w:pPr>
      <w:r>
        <w:t>Peer-to-peer competitive benchmarking with quantitative comparison tables</w:t>
      </w:r>
    </w:p>
    <w:p>
      <w:pPr>
        <w:pStyle w:val="ListBullet"/>
        <w:spacing w:after="40"/>
      </w:pPr>
      <w:r>
        <w:t>Enterprise job board with agent queue, priority routing, and SLA management</w:t>
      </w:r>
    </w:p>
    <w:p>
      <w:pPr>
        <w:pStyle w:val="ListBullet"/>
        <w:spacing w:after="40"/>
      </w:pPr>
      <w:r>
        <w:t>Integration APIs for Amira Financial Forecasting and Marketing Analytics platforms</w:t>
      </w:r>
    </w:p>
    <w:p>
      <w:pPr>
        <w:pStyle w:val="ListBullet"/>
        <w:spacing w:after="40"/>
      </w:pPr>
      <w:r>
        <w:t>Role-based access control (RBAC) aligned with Mars organizational hierarchy</w:t>
      </w:r>
    </w:p>
    <w:p>
      <w:pPr>
        <w:pStyle w:val="ListBullet"/>
        <w:spacing w:after="40"/>
      </w:pPr>
      <w:r>
        <w:t>Audit trail and data lineage for all generated reports</w:t>
      </w:r>
    </w:p>
    <w:p>
      <w:pPr>
        <w:pStyle w:val="ListBullet"/>
        <w:spacing w:after="40"/>
      </w:pPr>
      <w:r>
        <w:t>Caching and performance optimization for sub-second cached retrieval</w:t>
      </w:r>
    </w:p>
    <w:p>
      <w:pPr>
        <w:pStyle w:val="Heading2"/>
      </w:pPr>
      <w:r>
        <w:t>2.2 Out of Scope (Phase 1)</w:t>
      </w:r>
    </w:p>
    <w:p>
      <w:pPr>
        <w:pStyle w:val="ListBullet"/>
        <w:spacing w:after="40"/>
      </w:pPr>
      <w:r>
        <w:t>Direct SAP/ERP integration (data provided via preprocessed Excel exports)</w:t>
      </w:r>
    </w:p>
    <w:p>
      <w:pPr>
        <w:pStyle w:val="ListBullet"/>
        <w:spacing w:after="40"/>
      </w:pPr>
      <w:r>
        <w:t>Real-time streaming data (batch processing model)</w:t>
      </w:r>
    </w:p>
    <w:p>
      <w:pPr>
        <w:pStyle w:val="ListBullet"/>
        <w:spacing w:after="40"/>
      </w:pPr>
      <w:r>
        <w:t>Mobile native applications (responsive web application)</w:t>
      </w:r>
    </w:p>
    <w:p>
      <w:pPr>
        <w:pStyle w:val="ListBullet"/>
        <w:spacing w:after="40"/>
      </w:pPr>
      <w:r>
        <w:t>Multi-language report generation (English only in Phase 1)</w:t>
      </w:r>
    </w:p>
    <w:p>
      <w:pPr>
        <w:pStyle w:val="Heading2"/>
      </w:pPr>
      <w:r>
        <w:t>2.3 Success Metrics</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340"/>
        <w:gridCol w:w="2340"/>
        <w:gridCol w:w="2340"/>
        <w:gridCol w:w="2340"/>
      </w:tblGrid>
      <w:tr>
        <w:tc>
          <w:tcPr>
            <w:tcW w:type="dxa" w:w="2880"/>
            <w:shd w:fill="1A56DB"/>
          </w:tcPr>
          <w:p>
            <w:r/>
            <w:r>
              <w:rPr>
                <w:rFonts w:ascii="Calibri" w:hAnsi="Calibri"/>
                <w:b/>
                <w:color w:val="FFFFFF"/>
                <w:sz w:val="20"/>
              </w:rPr>
              <w:t>Metric</w:t>
            </w:r>
          </w:p>
        </w:tc>
        <w:tc>
          <w:tcPr>
            <w:tcW w:type="dxa" w:w="2160"/>
            <w:shd w:fill="1A56DB"/>
          </w:tcPr>
          <w:p>
            <w:r/>
            <w:r>
              <w:rPr>
                <w:rFonts w:ascii="Calibri" w:hAnsi="Calibri"/>
                <w:b/>
                <w:color w:val="FFFFFF"/>
                <w:sz w:val="20"/>
              </w:rPr>
              <w:t>Current State</w:t>
            </w:r>
          </w:p>
        </w:tc>
        <w:tc>
          <w:tcPr>
            <w:tcW w:type="dxa" w:w="2160"/>
            <w:shd w:fill="1A56DB"/>
          </w:tcPr>
          <w:p>
            <w:r/>
            <w:r>
              <w:rPr>
                <w:rFonts w:ascii="Calibri" w:hAnsi="Calibri"/>
                <w:b/>
                <w:color w:val="FFFFFF"/>
                <w:sz w:val="20"/>
              </w:rPr>
              <w:t>Target (6 months)</w:t>
            </w:r>
          </w:p>
        </w:tc>
        <w:tc>
          <w:tcPr>
            <w:tcW w:type="dxa" w:w="2160"/>
            <w:shd w:fill="1A56DB"/>
          </w:tcPr>
          <w:p>
            <w:r/>
            <w:r>
              <w:rPr>
                <w:rFonts w:ascii="Calibri" w:hAnsi="Calibri"/>
                <w:b/>
                <w:color w:val="FFFFFF"/>
                <w:sz w:val="20"/>
              </w:rPr>
              <w:t>Target (12 months)</w:t>
            </w:r>
          </w:p>
        </w:tc>
      </w:tr>
      <w:tr>
        <w:tc>
          <w:tcPr>
            <w:tcW w:type="dxa" w:w="2880"/>
          </w:tcPr>
          <w:p>
            <w:r/>
            <w:r>
              <w:rPr>
                <w:rFonts w:ascii="Calibri" w:hAnsi="Calibri"/>
                <w:color w:val="333333"/>
                <w:sz w:val="18"/>
              </w:rPr>
              <w:t>Time to generate Period End Summary</w:t>
            </w:r>
          </w:p>
        </w:tc>
        <w:tc>
          <w:tcPr>
            <w:tcW w:type="dxa" w:w="2160"/>
          </w:tcPr>
          <w:p>
            <w:r/>
            <w:r>
              <w:rPr>
                <w:rFonts w:ascii="Calibri" w:hAnsi="Calibri"/>
                <w:color w:val="333333"/>
                <w:sz w:val="18"/>
              </w:rPr>
              <w:t>10-15 seconds (first gen)</w:t>
            </w:r>
          </w:p>
        </w:tc>
        <w:tc>
          <w:tcPr>
            <w:tcW w:type="dxa" w:w="2160"/>
          </w:tcPr>
          <w:p>
            <w:r/>
            <w:r>
              <w:rPr>
                <w:rFonts w:ascii="Calibri" w:hAnsi="Calibri"/>
                <w:color w:val="333333"/>
                <w:sz w:val="18"/>
              </w:rPr>
              <w:t>&lt; 8 seconds</w:t>
            </w:r>
          </w:p>
        </w:tc>
        <w:tc>
          <w:tcPr>
            <w:tcW w:type="dxa" w:w="2160"/>
          </w:tcPr>
          <w:p>
            <w:r/>
            <w:r>
              <w:rPr>
                <w:rFonts w:ascii="Calibri" w:hAnsi="Calibri"/>
                <w:color w:val="333333"/>
                <w:sz w:val="18"/>
              </w:rPr>
              <w:t>&lt; 5 seconds</w:t>
            </w:r>
          </w:p>
        </w:tc>
      </w:tr>
      <w:tr>
        <w:tc>
          <w:tcPr>
            <w:tcW w:type="dxa" w:w="2880"/>
            <w:shd w:fill="F2F6FC"/>
          </w:tcPr>
          <w:p>
            <w:r/>
            <w:r>
              <w:rPr>
                <w:rFonts w:ascii="Calibri" w:hAnsi="Calibri"/>
                <w:color w:val="333333"/>
                <w:sz w:val="18"/>
              </w:rPr>
              <w:t>Time for ad-hoc competitive query</w:t>
            </w:r>
          </w:p>
        </w:tc>
        <w:tc>
          <w:tcPr>
            <w:tcW w:type="dxa" w:w="2160"/>
            <w:shd w:fill="F2F6FC"/>
          </w:tcPr>
          <w:p>
            <w:r/>
            <w:r>
              <w:rPr>
                <w:rFonts w:ascii="Calibri" w:hAnsi="Calibri"/>
                <w:color w:val="333333"/>
                <w:sz w:val="18"/>
              </w:rPr>
              <w:t>Manual (hours/days)</w:t>
            </w:r>
          </w:p>
        </w:tc>
        <w:tc>
          <w:tcPr>
            <w:tcW w:type="dxa" w:w="2160"/>
            <w:shd w:fill="F2F6FC"/>
          </w:tcPr>
          <w:p>
            <w:r/>
            <w:r>
              <w:rPr>
                <w:rFonts w:ascii="Calibri" w:hAnsi="Calibri"/>
                <w:color w:val="333333"/>
                <w:sz w:val="18"/>
              </w:rPr>
              <w:t>&lt; 30 seconds</w:t>
            </w:r>
          </w:p>
        </w:tc>
        <w:tc>
          <w:tcPr>
            <w:tcW w:type="dxa" w:w="2160"/>
            <w:shd w:fill="F2F6FC"/>
          </w:tcPr>
          <w:p>
            <w:r/>
            <w:r>
              <w:rPr>
                <w:rFonts w:ascii="Calibri" w:hAnsi="Calibri"/>
                <w:color w:val="333333"/>
                <w:sz w:val="18"/>
              </w:rPr>
              <w:t>&lt; 15 seconds</w:t>
            </w:r>
          </w:p>
        </w:tc>
      </w:tr>
      <w:tr>
        <w:tc>
          <w:tcPr>
            <w:tcW w:type="dxa" w:w="2880"/>
          </w:tcPr>
          <w:p>
            <w:r/>
            <w:r>
              <w:rPr>
                <w:rFonts w:ascii="Calibri" w:hAnsi="Calibri"/>
                <w:color w:val="333333"/>
                <w:sz w:val="18"/>
              </w:rPr>
              <w:t>Report template change turnaround</w:t>
            </w:r>
          </w:p>
        </w:tc>
        <w:tc>
          <w:tcPr>
            <w:tcW w:type="dxa" w:w="2160"/>
          </w:tcPr>
          <w:p>
            <w:r/>
            <w:r>
              <w:rPr>
                <w:rFonts w:ascii="Calibri" w:hAnsi="Calibri"/>
                <w:color w:val="333333"/>
                <w:sz w:val="18"/>
              </w:rPr>
              <w:t>Days/weeks (engineering)</w:t>
            </w:r>
          </w:p>
        </w:tc>
        <w:tc>
          <w:tcPr>
            <w:tcW w:type="dxa" w:w="2160"/>
          </w:tcPr>
          <w:p>
            <w:r/>
            <w:r>
              <w:rPr>
                <w:rFonts w:ascii="Calibri" w:hAnsi="Calibri"/>
                <w:color w:val="333333"/>
                <w:sz w:val="18"/>
              </w:rPr>
              <w:t>&lt; 1 hour (self-service)</w:t>
            </w:r>
          </w:p>
        </w:tc>
        <w:tc>
          <w:tcPr>
            <w:tcW w:type="dxa" w:w="2160"/>
          </w:tcPr>
          <w:p>
            <w:r/>
            <w:r>
              <w:rPr>
                <w:rFonts w:ascii="Calibri" w:hAnsi="Calibri"/>
                <w:color w:val="333333"/>
                <w:sz w:val="18"/>
              </w:rPr>
              <w:t>Minutes</w:t>
            </w:r>
          </w:p>
        </w:tc>
      </w:tr>
      <w:tr>
        <w:tc>
          <w:tcPr>
            <w:tcW w:type="dxa" w:w="2880"/>
            <w:shd w:fill="F2F6FC"/>
          </w:tcPr>
          <w:p>
            <w:r/>
            <w:r>
              <w:rPr>
                <w:rFonts w:ascii="Calibri" w:hAnsi="Calibri"/>
                <w:color w:val="333333"/>
                <w:sz w:val="18"/>
              </w:rPr>
              <w:t>Concurrent user capacity</w:t>
            </w:r>
          </w:p>
        </w:tc>
        <w:tc>
          <w:tcPr>
            <w:tcW w:type="dxa" w:w="2160"/>
            <w:shd w:fill="F2F6FC"/>
          </w:tcPr>
          <w:p>
            <w:r/>
            <w:r>
              <w:rPr>
                <w:rFonts w:ascii="Calibri" w:hAnsi="Calibri"/>
                <w:color w:val="333333"/>
                <w:sz w:val="18"/>
              </w:rPr>
              <w:t>Single-user tools</w:t>
            </w:r>
          </w:p>
        </w:tc>
        <w:tc>
          <w:tcPr>
            <w:tcW w:type="dxa" w:w="2160"/>
            <w:shd w:fill="F2F6FC"/>
          </w:tcPr>
          <w:p>
            <w:r/>
            <w:r>
              <w:rPr>
                <w:rFonts w:ascii="Calibri" w:hAnsi="Calibri"/>
                <w:color w:val="333333"/>
                <w:sz w:val="18"/>
              </w:rPr>
              <w:t>100+ users</w:t>
            </w:r>
          </w:p>
        </w:tc>
        <w:tc>
          <w:tcPr>
            <w:tcW w:type="dxa" w:w="2160"/>
            <w:shd w:fill="F2F6FC"/>
          </w:tcPr>
          <w:p>
            <w:r/>
            <w:r>
              <w:rPr>
                <w:rFonts w:ascii="Calibri" w:hAnsi="Calibri"/>
                <w:color w:val="333333"/>
                <w:sz w:val="18"/>
              </w:rPr>
              <w:t>500+ users</w:t>
            </w:r>
          </w:p>
        </w:tc>
      </w:tr>
      <w:tr>
        <w:tc>
          <w:tcPr>
            <w:tcW w:type="dxa" w:w="2880"/>
          </w:tcPr>
          <w:p>
            <w:r/>
            <w:r>
              <w:rPr>
                <w:rFonts w:ascii="Calibri" w:hAnsi="Calibri"/>
                <w:color w:val="333333"/>
                <w:sz w:val="18"/>
              </w:rPr>
              <w:t>Agent job queue throughput</w:t>
            </w:r>
          </w:p>
        </w:tc>
        <w:tc>
          <w:tcPr>
            <w:tcW w:type="dxa" w:w="2160"/>
          </w:tcPr>
          <w:p>
            <w:r/>
            <w:r>
              <w:rPr>
                <w:rFonts w:ascii="Calibri" w:hAnsi="Calibri"/>
                <w:color w:val="333333"/>
                <w:sz w:val="18"/>
              </w:rPr>
              <w:t>N/A</w:t>
            </w:r>
          </w:p>
        </w:tc>
        <w:tc>
          <w:tcPr>
            <w:tcW w:type="dxa" w:w="2160"/>
          </w:tcPr>
          <w:p>
            <w:r/>
            <w:r>
              <w:rPr>
                <w:rFonts w:ascii="Calibri" w:hAnsi="Calibri"/>
                <w:color w:val="333333"/>
                <w:sz w:val="18"/>
              </w:rPr>
              <w:t>50 jobs/hour</w:t>
            </w:r>
          </w:p>
        </w:tc>
        <w:tc>
          <w:tcPr>
            <w:tcW w:type="dxa" w:w="2160"/>
          </w:tcPr>
          <w:p>
            <w:r/>
            <w:r>
              <w:rPr>
                <w:rFonts w:ascii="Calibri" w:hAnsi="Calibri"/>
                <w:color w:val="333333"/>
                <w:sz w:val="18"/>
              </w:rPr>
              <w:t>200 jobs/hour</w:t>
            </w:r>
          </w:p>
        </w:tc>
      </w:tr>
      <w:tr>
        <w:tc>
          <w:tcPr>
            <w:tcW w:type="dxa" w:w="2880"/>
            <w:shd w:fill="F2F6FC"/>
          </w:tcPr>
          <w:p>
            <w:r/>
            <w:r>
              <w:rPr>
                <w:rFonts w:ascii="Calibri" w:hAnsi="Calibri"/>
                <w:color w:val="333333"/>
                <w:sz w:val="18"/>
              </w:rPr>
              <w:t>Data source coverage</w:t>
            </w:r>
          </w:p>
        </w:tc>
        <w:tc>
          <w:tcPr>
            <w:tcW w:type="dxa" w:w="2160"/>
            <w:shd w:fill="F2F6FC"/>
          </w:tcPr>
          <w:p>
            <w:r/>
            <w:r>
              <w:rPr>
                <w:rFonts w:ascii="Calibri" w:hAnsi="Calibri"/>
                <w:color w:val="333333"/>
                <w:sz w:val="18"/>
              </w:rPr>
              <w:t>2 (internal Excel + competitor PDFs)</w:t>
            </w:r>
          </w:p>
        </w:tc>
        <w:tc>
          <w:tcPr>
            <w:tcW w:type="dxa" w:w="2160"/>
            <w:shd w:fill="F2F6FC"/>
          </w:tcPr>
          <w:p>
            <w:r/>
            <w:r>
              <w:rPr>
                <w:rFonts w:ascii="Calibri" w:hAnsi="Calibri"/>
                <w:color w:val="333333"/>
                <w:sz w:val="18"/>
              </w:rPr>
              <w:t>5+ sources</w:t>
            </w:r>
          </w:p>
        </w:tc>
        <w:tc>
          <w:tcPr>
            <w:tcW w:type="dxa" w:w="2160"/>
            <w:shd w:fill="F2F6FC"/>
          </w:tcPr>
          <w:p>
            <w:r/>
            <w:r>
              <w:rPr>
                <w:rFonts w:ascii="Calibri" w:hAnsi="Calibri"/>
                <w:color w:val="333333"/>
                <w:sz w:val="18"/>
              </w:rPr>
              <w:t>10+ sources</w:t>
            </w:r>
          </w:p>
        </w:tc>
      </w:tr>
      <w:tr>
        <w:tc>
          <w:tcPr>
            <w:tcW w:type="dxa" w:w="2880"/>
          </w:tcPr>
          <w:p>
            <w:r/>
            <w:r>
              <w:rPr>
                <w:rFonts w:ascii="Calibri" w:hAnsi="Calibri"/>
                <w:color w:val="333333"/>
                <w:sz w:val="18"/>
              </w:rPr>
              <w:t>User satisfaction (NPS)</w:t>
            </w:r>
          </w:p>
        </w:tc>
        <w:tc>
          <w:tcPr>
            <w:tcW w:type="dxa" w:w="2160"/>
          </w:tcPr>
          <w:p>
            <w:r/>
            <w:r>
              <w:rPr>
                <w:rFonts w:ascii="Calibri" w:hAnsi="Calibri"/>
                <w:color w:val="333333"/>
                <w:sz w:val="18"/>
              </w:rPr>
              <w:t>Baseline TBD</w:t>
            </w:r>
          </w:p>
        </w:tc>
        <w:tc>
          <w:tcPr>
            <w:tcW w:type="dxa" w:w="2160"/>
          </w:tcPr>
          <w:p>
            <w:r/>
            <w:r>
              <w:rPr>
                <w:rFonts w:ascii="Calibri" w:hAnsi="Calibri"/>
                <w:color w:val="333333"/>
                <w:sz w:val="18"/>
              </w:rPr>
              <w:t>+20 points</w:t>
            </w:r>
          </w:p>
        </w:tc>
        <w:tc>
          <w:tcPr>
            <w:tcW w:type="dxa" w:w="2160"/>
          </w:tcPr>
          <w:p>
            <w:r/>
            <w:r>
              <w:rPr>
                <w:rFonts w:ascii="Calibri" w:hAnsi="Calibri"/>
                <w:color w:val="333333"/>
                <w:sz w:val="18"/>
              </w:rPr>
              <w:t>+40 points</w:t>
            </w:r>
          </w:p>
        </w:tc>
      </w:tr>
      <w:tr>
        <w:tc>
          <w:tcPr>
            <w:tcW w:type="dxa" w:w="2880"/>
            <w:shd w:fill="F2F6FC"/>
          </w:tcPr>
          <w:p>
            <w:r/>
            <w:r>
              <w:rPr>
                <w:rFonts w:ascii="Calibri" w:hAnsi="Calibri"/>
                <w:color w:val="333333"/>
                <w:sz w:val="18"/>
              </w:rPr>
              <w:t>Cached report retrieval</w:t>
            </w:r>
          </w:p>
        </w:tc>
        <w:tc>
          <w:tcPr>
            <w:tcW w:type="dxa" w:w="2160"/>
            <w:shd w:fill="F2F6FC"/>
          </w:tcPr>
          <w:p>
            <w:r/>
            <w:r>
              <w:rPr>
                <w:rFonts w:ascii="Calibri" w:hAnsi="Calibri"/>
                <w:color w:val="333333"/>
                <w:sz w:val="18"/>
              </w:rPr>
              <w:t>&lt; 1 second</w:t>
            </w:r>
          </w:p>
        </w:tc>
        <w:tc>
          <w:tcPr>
            <w:tcW w:type="dxa" w:w="2160"/>
            <w:shd w:fill="F2F6FC"/>
          </w:tcPr>
          <w:p>
            <w:r/>
            <w:r>
              <w:rPr>
                <w:rFonts w:ascii="Calibri" w:hAnsi="Calibri"/>
                <w:color w:val="333333"/>
                <w:sz w:val="18"/>
              </w:rPr>
              <w:t>&lt; 500ms</w:t>
            </w:r>
          </w:p>
        </w:tc>
        <w:tc>
          <w:tcPr>
            <w:tcW w:type="dxa" w:w="2160"/>
            <w:shd w:fill="F2F6FC"/>
          </w:tcPr>
          <w:p>
            <w:r/>
            <w:r>
              <w:rPr>
                <w:rFonts w:ascii="Calibri" w:hAnsi="Calibri"/>
                <w:color w:val="333333"/>
                <w:sz w:val="18"/>
              </w:rPr>
              <w:t>&lt; 200ms</w:t>
            </w:r>
          </w:p>
        </w:tc>
      </w:tr>
    </w:tbl>
    <w:p/>
    <w:p>
      <w:r>
        <w:br w:type="page"/>
      </w:r>
    </w:p>
    <w:p>
      <w:pPr>
        <w:pStyle w:val="Heading1"/>
      </w:pPr>
      <w:r>
        <w:t>3. Stakeholders &amp; Users</w:t>
      </w:r>
    </w:p>
    <w:p>
      <w:pPr>
        <w:pStyle w:val="Heading2"/>
      </w:pPr>
      <w:r>
        <w:t>3.1 Stakeholder Map</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20"/>
        <w:gridCol w:w="3120"/>
        <w:gridCol w:w="3120"/>
      </w:tblGrid>
      <w:tr>
        <w:tc>
          <w:tcPr>
            <w:tcW w:type="dxa" w:w="2160"/>
            <w:shd w:fill="1A56DB"/>
          </w:tcPr>
          <w:p>
            <w:r/>
            <w:r>
              <w:rPr>
                <w:rFonts w:ascii="Calibri" w:hAnsi="Calibri"/>
                <w:b/>
                <w:color w:val="FFFFFF"/>
                <w:sz w:val="20"/>
              </w:rPr>
              <w:t>Role</w:t>
            </w:r>
          </w:p>
        </w:tc>
        <w:tc>
          <w:tcPr>
            <w:tcW w:type="dxa" w:w="2880"/>
            <w:shd w:fill="1A56DB"/>
          </w:tcPr>
          <w:p>
            <w:r/>
            <w:r>
              <w:rPr>
                <w:rFonts w:ascii="Calibri" w:hAnsi="Calibri"/>
                <w:b/>
                <w:color w:val="FFFFFF"/>
                <w:sz w:val="20"/>
              </w:rPr>
              <w:t>Description</w:t>
            </w:r>
          </w:p>
        </w:tc>
        <w:tc>
          <w:tcPr>
            <w:tcW w:type="dxa" w:w="4320"/>
            <w:shd w:fill="1A56DB"/>
          </w:tcPr>
          <w:p>
            <w:r/>
            <w:r>
              <w:rPr>
                <w:rFonts w:ascii="Calibri" w:hAnsi="Calibri"/>
                <w:b/>
                <w:color w:val="FFFFFF"/>
                <w:sz w:val="20"/>
              </w:rPr>
              <w:t>Key Interests</w:t>
            </w:r>
          </w:p>
        </w:tc>
      </w:tr>
      <w:tr>
        <w:tc>
          <w:tcPr>
            <w:tcW w:type="dxa" w:w="2160"/>
          </w:tcPr>
          <w:p>
            <w:r/>
            <w:r>
              <w:rPr>
                <w:rFonts w:ascii="Calibri" w:hAnsi="Calibri"/>
                <w:color w:val="333333"/>
                <w:sz w:val="18"/>
              </w:rPr>
              <w:t>Executive Leadership</w:t>
            </w:r>
          </w:p>
        </w:tc>
        <w:tc>
          <w:tcPr>
            <w:tcW w:type="dxa" w:w="2880"/>
          </w:tcPr>
          <w:p>
            <w:r/>
            <w:r>
              <w:rPr>
                <w:rFonts w:ascii="Calibri" w:hAnsi="Calibri"/>
                <w:color w:val="333333"/>
                <w:sz w:val="18"/>
              </w:rPr>
              <w:t>C-suite, GBU Presidents</w:t>
            </w:r>
          </w:p>
        </w:tc>
        <w:tc>
          <w:tcPr>
            <w:tcW w:type="dxa" w:w="4320"/>
          </w:tcPr>
          <w:p>
            <w:r/>
            <w:r>
              <w:rPr>
                <w:rFonts w:ascii="Calibri" w:hAnsi="Calibri"/>
                <w:color w:val="333333"/>
                <w:sz w:val="18"/>
              </w:rPr>
              <w:t>Strategic insights, competitive positioning, board-ready reports</w:t>
            </w:r>
          </w:p>
        </w:tc>
      </w:tr>
      <w:tr>
        <w:tc>
          <w:tcPr>
            <w:tcW w:type="dxa" w:w="2160"/>
            <w:shd w:fill="F2F6FC"/>
          </w:tcPr>
          <w:p>
            <w:r/>
            <w:r>
              <w:rPr>
                <w:rFonts w:ascii="Calibri" w:hAnsi="Calibri"/>
                <w:color w:val="333333"/>
                <w:sz w:val="18"/>
              </w:rPr>
              <w:t>Finance Directors</w:t>
            </w:r>
          </w:p>
        </w:tc>
        <w:tc>
          <w:tcPr>
            <w:tcW w:type="dxa" w:w="2880"/>
            <w:shd w:fill="F2F6FC"/>
          </w:tcPr>
          <w:p>
            <w:r/>
            <w:r>
              <w:rPr>
                <w:rFonts w:ascii="Calibri" w:hAnsi="Calibri"/>
                <w:color w:val="333333"/>
                <w:sz w:val="18"/>
              </w:rPr>
              <w:t>Regional/divisional finance leads</w:t>
            </w:r>
          </w:p>
        </w:tc>
        <w:tc>
          <w:tcPr>
            <w:tcW w:type="dxa" w:w="4320"/>
            <w:shd w:fill="F2F6FC"/>
          </w:tcPr>
          <w:p>
            <w:r/>
            <w:r>
              <w:rPr>
                <w:rFonts w:ascii="Calibri" w:hAnsi="Calibri"/>
                <w:color w:val="333333"/>
                <w:sz w:val="18"/>
              </w:rPr>
              <w:t>Period-end summaries, KPI tracking, variance analysis</w:t>
            </w:r>
          </w:p>
        </w:tc>
      </w:tr>
      <w:tr>
        <w:tc>
          <w:tcPr>
            <w:tcW w:type="dxa" w:w="2160"/>
          </w:tcPr>
          <w:p>
            <w:r/>
            <w:r>
              <w:rPr>
                <w:rFonts w:ascii="Calibri" w:hAnsi="Calibri"/>
                <w:color w:val="333333"/>
                <w:sz w:val="18"/>
              </w:rPr>
              <w:t>Strategy &amp; Analytics</w:t>
            </w:r>
          </w:p>
        </w:tc>
        <w:tc>
          <w:tcPr>
            <w:tcW w:type="dxa" w:w="2880"/>
          </w:tcPr>
          <w:p>
            <w:r/>
            <w:r>
              <w:rPr>
                <w:rFonts w:ascii="Calibri" w:hAnsi="Calibri"/>
                <w:color w:val="333333"/>
                <w:sz w:val="18"/>
              </w:rPr>
              <w:t>Competitive intelligence analysts</w:t>
            </w:r>
          </w:p>
        </w:tc>
        <w:tc>
          <w:tcPr>
            <w:tcW w:type="dxa" w:w="4320"/>
          </w:tcPr>
          <w:p>
            <w:r/>
            <w:r>
              <w:rPr>
                <w:rFonts w:ascii="Calibri" w:hAnsi="Calibri"/>
                <w:color w:val="333333"/>
                <w:sz w:val="18"/>
              </w:rPr>
              <w:t>Competitor benchmarking, market trends, peer comparisons</w:t>
            </w:r>
          </w:p>
        </w:tc>
      </w:tr>
      <w:tr>
        <w:tc>
          <w:tcPr>
            <w:tcW w:type="dxa" w:w="2160"/>
            <w:shd w:fill="F2F6FC"/>
          </w:tcPr>
          <w:p>
            <w:r/>
            <w:r>
              <w:rPr>
                <w:rFonts w:ascii="Calibri" w:hAnsi="Calibri"/>
                <w:color w:val="333333"/>
                <w:sz w:val="18"/>
              </w:rPr>
              <w:t>Brand &amp; Marketing</w:t>
            </w:r>
          </w:p>
        </w:tc>
        <w:tc>
          <w:tcPr>
            <w:tcW w:type="dxa" w:w="2880"/>
            <w:shd w:fill="F2F6FC"/>
          </w:tcPr>
          <w:p>
            <w:r/>
            <w:r>
              <w:rPr>
                <w:rFonts w:ascii="Calibri" w:hAnsi="Calibri"/>
                <w:color w:val="333333"/>
                <w:sz w:val="18"/>
              </w:rPr>
              <w:t>Brand managers, marketing leads</w:t>
            </w:r>
          </w:p>
        </w:tc>
        <w:tc>
          <w:tcPr>
            <w:tcW w:type="dxa" w:w="4320"/>
            <w:shd w:fill="F2F6FC"/>
          </w:tcPr>
          <w:p>
            <w:r/>
            <w:r>
              <w:rPr>
                <w:rFonts w:ascii="Calibri" w:hAnsi="Calibri"/>
                <w:color w:val="333333"/>
                <w:sz w:val="18"/>
              </w:rPr>
              <w:t>Brand performance, marketing ROI, consumer insights</w:t>
            </w:r>
          </w:p>
        </w:tc>
      </w:tr>
      <w:tr>
        <w:tc>
          <w:tcPr>
            <w:tcW w:type="dxa" w:w="2160"/>
          </w:tcPr>
          <w:p>
            <w:r/>
            <w:r>
              <w:rPr>
                <w:rFonts w:ascii="Calibri" w:hAnsi="Calibri"/>
                <w:color w:val="333333"/>
                <w:sz w:val="18"/>
              </w:rPr>
              <w:t>IT / Digital</w:t>
            </w:r>
          </w:p>
        </w:tc>
        <w:tc>
          <w:tcPr>
            <w:tcW w:type="dxa" w:w="2880"/>
          </w:tcPr>
          <w:p>
            <w:r/>
            <w:r>
              <w:rPr>
                <w:rFonts w:ascii="Calibri" w:hAnsi="Calibri"/>
                <w:color w:val="333333"/>
                <w:sz w:val="18"/>
              </w:rPr>
              <w:t>Platform engineering, data ops</w:t>
            </w:r>
          </w:p>
        </w:tc>
        <w:tc>
          <w:tcPr>
            <w:tcW w:type="dxa" w:w="4320"/>
          </w:tcPr>
          <w:p>
            <w:r/>
            <w:r>
              <w:rPr>
                <w:rFonts w:ascii="Calibri" w:hAnsi="Calibri"/>
                <w:color w:val="333333"/>
                <w:sz w:val="18"/>
              </w:rPr>
              <w:t>Architecture, security, integration, scalability</w:t>
            </w:r>
          </w:p>
        </w:tc>
      </w:tr>
      <w:tr>
        <w:tc>
          <w:tcPr>
            <w:tcW w:type="dxa" w:w="2160"/>
            <w:shd w:fill="F2F6FC"/>
          </w:tcPr>
          <w:p>
            <w:r/>
            <w:r>
              <w:rPr>
                <w:rFonts w:ascii="Calibri" w:hAnsi="Calibri"/>
                <w:color w:val="333333"/>
                <w:sz w:val="18"/>
              </w:rPr>
              <w:t>Data Science</w:t>
            </w:r>
          </w:p>
        </w:tc>
        <w:tc>
          <w:tcPr>
            <w:tcW w:type="dxa" w:w="2880"/>
            <w:shd w:fill="F2F6FC"/>
          </w:tcPr>
          <w:p>
            <w:r/>
            <w:r>
              <w:rPr>
                <w:rFonts w:ascii="Calibri" w:hAnsi="Calibri"/>
                <w:color w:val="333333"/>
                <w:sz w:val="18"/>
              </w:rPr>
              <w:t>Forecasting and modeling teams</w:t>
            </w:r>
          </w:p>
        </w:tc>
        <w:tc>
          <w:tcPr>
            <w:tcW w:type="dxa" w:w="4320"/>
            <w:shd w:fill="F2F6FC"/>
          </w:tcPr>
          <w:p>
            <w:r/>
            <w:r>
              <w:rPr>
                <w:rFonts w:ascii="Calibri" w:hAnsi="Calibri"/>
                <w:color w:val="333333"/>
                <w:sz w:val="18"/>
              </w:rPr>
              <w:t>Data quality, model integration, feature requests</w:t>
            </w:r>
          </w:p>
        </w:tc>
      </w:tr>
    </w:tbl>
    <w:p/>
    <w:p>
      <w:pPr>
        <w:pStyle w:val="Heading2"/>
      </w:pPr>
      <w:r>
        <w:t>3.2 User Personas</w:t>
      </w:r>
    </w:p>
    <w:p>
      <w:pPr>
        <w:spacing w:after="120"/>
      </w:pPr>
      <w:r>
        <w:rPr>
          <w:b/>
        </w:rPr>
        <w:t>Persona 1: The Finance Director (Primary User)</w:t>
      </w:r>
    </w:p>
    <w:p>
      <w:pPr>
        <w:pStyle w:val="ListBullet"/>
        <w:spacing w:after="40"/>
      </w:pPr>
      <w:r>
        <w:t>Needs: Generate period-end summaries for their GBU, compare performance across divisions, drill into KPI drivers</w:t>
      </w:r>
    </w:p>
    <w:p>
      <w:pPr>
        <w:pStyle w:val="ListBullet"/>
        <w:spacing w:after="40"/>
      </w:pPr>
      <w:r>
        <w:t>Pain today: Waits for reports to be generated, cannot customize output format, no cross-referencing with forecasts</w:t>
      </w:r>
    </w:p>
    <w:p>
      <w:pPr>
        <w:pStyle w:val="ListBullet"/>
        <w:spacing w:after="40"/>
      </w:pPr>
      <w:r>
        <w:t>With FinIQ: Self-service report generation, configurable KPIs, integrated forecast comparisons</w:t>
      </w:r>
    </w:p>
    <w:p>
      <w:pPr>
        <w:spacing w:after="120"/>
      </w:pPr>
      <w:r>
        <w:rPr>
          <w:b/>
        </w:rPr>
        <w:t>Persona 2: The Strategy Analyst (Power User)</w:t>
      </w:r>
    </w:p>
    <w:p>
      <w:pPr>
        <w:pStyle w:val="ListBullet"/>
        <w:spacing w:after="40"/>
      </w:pPr>
      <w:r>
        <w:t>Needs: Deep competitive analysis, cross-competitor benchmarking, ad-hoc queries across all data sources</w:t>
      </w:r>
    </w:p>
    <w:p>
      <w:pPr>
        <w:pStyle w:val="ListBullet"/>
        <w:spacing w:after="40"/>
      </w:pPr>
      <w:r>
        <w:t>Pain today: Manually downloads competitor PDFs, uses separate CI tool, no connection to internal data</w:t>
      </w:r>
    </w:p>
    <w:p>
      <w:pPr>
        <w:pStyle w:val="ListBullet"/>
        <w:spacing w:after="40"/>
      </w:pPr>
      <w:r>
        <w:t>With FinIQ: Unified query across internal + external data, automated competitor monitoring, job queue for complex analyses</w:t>
      </w:r>
    </w:p>
    <w:p>
      <w:pPr>
        <w:spacing w:after="120"/>
      </w:pPr>
      <w:r>
        <w:rPr>
          <w:b/>
        </w:rPr>
        <w:t>Persona 3: The Executive (Consumer)</w:t>
      </w:r>
    </w:p>
    <w:p>
      <w:pPr>
        <w:pStyle w:val="ListBullet"/>
        <w:spacing w:after="40"/>
      </w:pPr>
      <w:r>
        <w:t>Needs: Board-ready summaries, key takeaways, trend indicators, strategic recommendations</w:t>
      </w:r>
    </w:p>
    <w:p>
      <w:pPr>
        <w:pStyle w:val="ListBullet"/>
        <w:spacing w:after="40"/>
      </w:pPr>
      <w:r>
        <w:t>Pain today: Receives static reports, cannot ask follow-up questions, no forward-looking insights</w:t>
      </w:r>
    </w:p>
    <w:p>
      <w:pPr>
        <w:pStyle w:val="ListBullet"/>
        <w:spacing w:after="40"/>
      </w:pPr>
      <w:r>
        <w:t>With FinIQ: Interactive Q&amp;A, forecast-enriched summaries, one-click export to presentation format</w:t>
      </w:r>
    </w:p>
    <w:p>
      <w:r>
        <w:br w:type="page"/>
      </w:r>
    </w:p>
    <w:p>
      <w:pPr>
        <w:pStyle w:val="Heading1"/>
      </w:pPr>
      <w:r>
        <w:t>4. Current State Analysis</w:t>
      </w:r>
    </w:p>
    <w:p>
      <w:pPr>
        <w:pStyle w:val="Heading2"/>
      </w:pPr>
      <w:r>
        <w:t>4.1 Existing Systems</w:t>
      </w:r>
    </w:p>
    <w:p>
      <w:pPr>
        <w:spacing w:after="120"/>
      </w:pPr>
      <w:r>
        <w:rPr>
          <w:b/>
        </w:rPr>
        <w:t>System 1: Period End Summary (PES)</w:t>
      </w:r>
    </w:p>
    <w:p>
      <w:pPr>
        <w:pStyle w:val="ListBullet"/>
        <w:spacing w:after="40"/>
      </w:pPr>
      <w:r>
        <w:t>Function: Transforms raw financial Excel data into AI-generated executive performance summaries</w:t>
      </w:r>
    </w:p>
    <w:p>
      <w:pPr>
        <w:pStyle w:val="ListBullet"/>
        <w:spacing w:after="40"/>
      </w:pPr>
      <w:r>
        <w:t>Input: Preprocessed Excel workbooks (P&amp;L, Product, Brand, NCFO sheets) from Azure Blob Storage</w:t>
      </w:r>
    </w:p>
    <w:p>
      <w:pPr>
        <w:pStyle w:val="ListBullet"/>
        <w:spacing w:after="40"/>
      </w:pPr>
      <w:r>
        <w:t>Processing: 6 parallel GPT-4.1 pipelines (one per KPI: Organic Growth, MAC Shape, A&amp;CP Shape, CE Shape, Overhead Shape, NCFO)</w:t>
      </w:r>
    </w:p>
    <w:p>
      <w:pPr>
        <w:pStyle w:val="ListBullet"/>
        <w:spacing w:after="40"/>
      </w:pPr>
      <w:r>
        <w:t>Output: Markdown narratives with trend taglines, sub-unit rankings, and HTML KPI tables</w:t>
      </w:r>
    </w:p>
    <w:p>
      <w:pPr>
        <w:pStyle w:val="ListBullet"/>
        <w:spacing w:after="40"/>
      </w:pPr>
      <w:r>
        <w:t>Performance: 10-15 seconds first generation, &lt; 1 second cached retrieval</w:t>
      </w:r>
    </w:p>
    <w:p>
      <w:pPr>
        <w:pStyle w:val="ListBullet"/>
        <w:spacing w:after="40"/>
      </w:pPr>
      <w:r>
        <w:t>Formats: Summary (balanced), What's Working Well (positive), What's Not Working Well (negative)</w:t>
      </w:r>
    </w:p>
    <w:p>
      <w:pPr>
        <w:spacing w:after="120"/>
      </w:pPr>
      <w:r>
        <w:rPr>
          <w:b/>
        </w:rPr>
        <w:t>System 2: Competitive Intelligence (CI)</w:t>
      </w:r>
    </w:p>
    <w:p>
      <w:pPr>
        <w:pStyle w:val="ListBullet"/>
        <w:spacing w:after="40"/>
      </w:pPr>
      <w:r>
        <w:t>Function: Ingests competitor earnings documents and generates structured competitive analysis</w:t>
      </w:r>
    </w:p>
    <w:p>
      <w:pPr>
        <w:pStyle w:val="ListBullet"/>
        <w:spacing w:after="40"/>
      </w:pPr>
      <w:r>
        <w:t>Input: PDF documents (press releases, earnings presentations, prepared remarks)</w:t>
      </w:r>
    </w:p>
    <w:p>
      <w:pPr>
        <w:pStyle w:val="ListBullet"/>
        <w:spacing w:after="40"/>
      </w:pPr>
      <w:r>
        <w:t>Pipeline: Upload &gt; Parse/Extract metadata &gt; Chunk/Embed to Azure AI Search &gt; Generate themed summaries &gt; Peer-to-peer benchmarking</w:t>
      </w:r>
    </w:p>
    <w:p>
      <w:pPr>
        <w:pStyle w:val="ListBullet"/>
        <w:spacing w:after="40"/>
      </w:pPr>
      <w:r>
        <w:t>Output: Themed summaries (Organic Growth, Margins, Projections, Consumer, Products, etc.), P2P quantitative tables, Q&amp;A chat</w:t>
      </w:r>
    </w:p>
    <w:p>
      <w:pPr>
        <w:pStyle w:val="ListBullet"/>
        <w:spacing w:after="40"/>
      </w:pPr>
      <w:r>
        <w:t>Infrastructure: Azure Blob Storage, Azure Document Intelligence, Azure OpenAI, Azure AI Search, Cosmos DB</w:t>
      </w:r>
    </w:p>
    <w:p>
      <w:pPr>
        <w:pStyle w:val="Heading2"/>
      </w:pPr>
      <w:r>
        <w:t>4.2 Gap Analysis</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20"/>
        <w:gridCol w:w="3120"/>
        <w:gridCol w:w="3120"/>
      </w:tblGrid>
      <w:tr>
        <w:tc>
          <w:tcPr>
            <w:tcW w:type="dxa" w:w="2592"/>
            <w:shd w:fill="1A56DB"/>
          </w:tcPr>
          <w:p>
            <w:r/>
            <w:r>
              <w:rPr>
                <w:rFonts w:ascii="Calibri" w:hAnsi="Calibri"/>
                <w:b/>
                <w:color w:val="FFFFFF"/>
                <w:sz w:val="20"/>
              </w:rPr>
              <w:t>Gap</w:t>
            </w:r>
          </w:p>
        </w:tc>
        <w:tc>
          <w:tcPr>
            <w:tcW w:type="dxa" w:w="3168"/>
            <w:shd w:fill="1A56DB"/>
          </w:tcPr>
          <w:p>
            <w:r/>
            <w:r>
              <w:rPr>
                <w:rFonts w:ascii="Calibri" w:hAnsi="Calibri"/>
                <w:b/>
                <w:color w:val="FFFFFF"/>
                <w:sz w:val="20"/>
              </w:rPr>
              <w:t>Impact</w:t>
            </w:r>
          </w:p>
        </w:tc>
        <w:tc>
          <w:tcPr>
            <w:tcW w:type="dxa" w:w="3600"/>
            <w:shd w:fill="1A56DB"/>
          </w:tcPr>
          <w:p>
            <w:r/>
            <w:r>
              <w:rPr>
                <w:rFonts w:ascii="Calibri" w:hAnsi="Calibri"/>
                <w:b/>
                <w:color w:val="FFFFFF"/>
                <w:sz w:val="20"/>
              </w:rPr>
              <w:t>FinIQ Resolution</w:t>
            </w:r>
          </w:p>
        </w:tc>
      </w:tr>
      <w:tr>
        <w:tc>
          <w:tcPr>
            <w:tcW w:type="dxa" w:w="2592"/>
          </w:tcPr>
          <w:p>
            <w:r/>
            <w:r>
              <w:rPr>
                <w:rFonts w:ascii="Calibri" w:hAnsi="Calibri"/>
                <w:color w:val="333333"/>
                <w:sz w:val="18"/>
              </w:rPr>
              <w:t>Siloed systems</w:t>
            </w:r>
          </w:p>
        </w:tc>
        <w:tc>
          <w:tcPr>
            <w:tcW w:type="dxa" w:w="3168"/>
          </w:tcPr>
          <w:p>
            <w:r/>
            <w:r>
              <w:rPr>
                <w:rFonts w:ascii="Calibri" w:hAnsi="Calibri"/>
                <w:color w:val="333333"/>
                <w:sz w:val="18"/>
              </w:rPr>
              <w:t>Users switch between PES and CI tools; no cross-referencing</w:t>
            </w:r>
          </w:p>
        </w:tc>
        <w:tc>
          <w:tcPr>
            <w:tcW w:type="dxa" w:w="3600"/>
          </w:tcPr>
          <w:p>
            <w:r/>
            <w:r>
              <w:rPr>
                <w:rFonts w:ascii="Calibri" w:hAnsi="Calibri"/>
                <w:color w:val="333333"/>
                <w:sz w:val="18"/>
              </w:rPr>
              <w:t>Unified platform with single query interface</w:t>
            </w:r>
          </w:p>
        </w:tc>
      </w:tr>
      <w:tr>
        <w:tc>
          <w:tcPr>
            <w:tcW w:type="dxa" w:w="2592"/>
            <w:shd w:fill="F2F6FC"/>
          </w:tcPr>
          <w:p>
            <w:r/>
            <w:r>
              <w:rPr>
                <w:rFonts w:ascii="Calibri" w:hAnsi="Calibri"/>
                <w:color w:val="333333"/>
                <w:sz w:val="18"/>
              </w:rPr>
              <w:t>No ad-hoc queries on internal data</w:t>
            </w:r>
          </w:p>
        </w:tc>
        <w:tc>
          <w:tcPr>
            <w:tcW w:type="dxa" w:w="3168"/>
            <w:shd w:fill="F2F6FC"/>
          </w:tcPr>
          <w:p>
            <w:r/>
            <w:r>
              <w:rPr>
                <w:rFonts w:ascii="Calibri" w:hAnsi="Calibri"/>
                <w:color w:val="333333"/>
                <w:sz w:val="18"/>
              </w:rPr>
              <w:t>PES only generates predefined 6-KPI summaries</w:t>
            </w:r>
          </w:p>
        </w:tc>
        <w:tc>
          <w:tcPr>
            <w:tcW w:type="dxa" w:w="3600"/>
            <w:shd w:fill="F2F6FC"/>
          </w:tcPr>
          <w:p>
            <w:r/>
            <w:r>
              <w:rPr>
                <w:rFonts w:ascii="Calibri" w:hAnsi="Calibri"/>
                <w:color w:val="333333"/>
                <w:sz w:val="18"/>
              </w:rPr>
              <w:t>Natural language queries across all data</w:t>
            </w:r>
          </w:p>
        </w:tc>
      </w:tr>
      <w:tr>
        <w:tc>
          <w:tcPr>
            <w:tcW w:type="dxa" w:w="2592"/>
          </w:tcPr>
          <w:p>
            <w:r/>
            <w:r>
              <w:rPr>
                <w:rFonts w:ascii="Calibri" w:hAnsi="Calibri"/>
                <w:color w:val="333333"/>
                <w:sz w:val="18"/>
              </w:rPr>
              <w:t>Template changes require engineering</w:t>
            </w:r>
          </w:p>
        </w:tc>
        <w:tc>
          <w:tcPr>
            <w:tcW w:type="dxa" w:w="3168"/>
          </w:tcPr>
          <w:p>
            <w:r/>
            <w:r>
              <w:rPr>
                <w:rFonts w:ascii="Calibri" w:hAnsi="Calibri"/>
                <w:color w:val="333333"/>
                <w:sz w:val="18"/>
              </w:rPr>
              <w:t>Business users cannot modify report structure</w:t>
            </w:r>
          </w:p>
        </w:tc>
        <w:tc>
          <w:tcPr>
            <w:tcW w:type="dxa" w:w="3600"/>
          </w:tcPr>
          <w:p>
            <w:r/>
            <w:r>
              <w:rPr>
                <w:rFonts w:ascii="Calibri" w:hAnsi="Calibri"/>
                <w:color w:val="333333"/>
                <w:sz w:val="18"/>
              </w:rPr>
              <w:t>Self-service template builder</w:t>
            </w:r>
          </w:p>
        </w:tc>
      </w:tr>
      <w:tr>
        <w:tc>
          <w:tcPr>
            <w:tcW w:type="dxa" w:w="2592"/>
            <w:shd w:fill="F2F6FC"/>
          </w:tcPr>
          <w:p>
            <w:r/>
            <w:r>
              <w:rPr>
                <w:rFonts w:ascii="Calibri" w:hAnsi="Calibri"/>
                <w:color w:val="333333"/>
                <w:sz w:val="18"/>
              </w:rPr>
              <w:t>No forecast integration</w:t>
            </w:r>
          </w:p>
        </w:tc>
        <w:tc>
          <w:tcPr>
            <w:tcW w:type="dxa" w:w="3168"/>
            <w:shd w:fill="F2F6FC"/>
          </w:tcPr>
          <w:p>
            <w:r/>
            <w:r>
              <w:rPr>
                <w:rFonts w:ascii="Calibri" w:hAnsi="Calibri"/>
                <w:color w:val="333333"/>
                <w:sz w:val="18"/>
              </w:rPr>
              <w:t>Reports are backward-looking only</w:t>
            </w:r>
          </w:p>
        </w:tc>
        <w:tc>
          <w:tcPr>
            <w:tcW w:type="dxa" w:w="3600"/>
            <w:shd w:fill="F2F6FC"/>
          </w:tcPr>
          <w:p>
            <w:r/>
            <w:r>
              <w:rPr>
                <w:rFonts w:ascii="Calibri" w:hAnsi="Calibri"/>
                <w:color w:val="333333"/>
                <w:sz w:val="18"/>
              </w:rPr>
              <w:t>Amira Forecasting API integration</w:t>
            </w:r>
          </w:p>
        </w:tc>
      </w:tr>
      <w:tr>
        <w:tc>
          <w:tcPr>
            <w:tcW w:type="dxa" w:w="2592"/>
          </w:tcPr>
          <w:p>
            <w:r/>
            <w:r>
              <w:rPr>
                <w:rFonts w:ascii="Calibri" w:hAnsi="Calibri"/>
                <w:color w:val="333333"/>
                <w:sz w:val="18"/>
              </w:rPr>
              <w:t>No marketing analytics link</w:t>
            </w:r>
          </w:p>
        </w:tc>
        <w:tc>
          <w:tcPr>
            <w:tcW w:type="dxa" w:w="3168"/>
          </w:tcPr>
          <w:p>
            <w:r/>
            <w:r>
              <w:rPr>
                <w:rFonts w:ascii="Calibri" w:hAnsi="Calibri"/>
                <w:color w:val="333333"/>
                <w:sz w:val="18"/>
              </w:rPr>
              <w:t>Cannot correlate financial performance with marketing spend</w:t>
            </w:r>
          </w:p>
        </w:tc>
        <w:tc>
          <w:tcPr>
            <w:tcW w:type="dxa" w:w="3600"/>
          </w:tcPr>
          <w:p>
            <w:r/>
            <w:r>
              <w:rPr>
                <w:rFonts w:ascii="Calibri" w:hAnsi="Calibri"/>
                <w:color w:val="333333"/>
                <w:sz w:val="18"/>
              </w:rPr>
              <w:t>Amira Marketing Analytics integration</w:t>
            </w:r>
          </w:p>
        </w:tc>
      </w:tr>
      <w:tr>
        <w:tc>
          <w:tcPr>
            <w:tcW w:type="dxa" w:w="2592"/>
            <w:shd w:fill="F2F6FC"/>
          </w:tcPr>
          <w:p>
            <w:r/>
            <w:r>
              <w:rPr>
                <w:rFonts w:ascii="Calibri" w:hAnsi="Calibri"/>
                <w:color w:val="333333"/>
                <w:sz w:val="18"/>
              </w:rPr>
              <w:t>Single-user architecture</w:t>
            </w:r>
          </w:p>
        </w:tc>
        <w:tc>
          <w:tcPr>
            <w:tcW w:type="dxa" w:w="3168"/>
            <w:shd w:fill="F2F6FC"/>
          </w:tcPr>
          <w:p>
            <w:r/>
            <w:r>
              <w:rPr>
                <w:rFonts w:ascii="Calibri" w:hAnsi="Calibri"/>
                <w:color w:val="333333"/>
                <w:sz w:val="18"/>
              </w:rPr>
              <w:t>No queue or prioritization for multiple users</w:t>
            </w:r>
          </w:p>
        </w:tc>
        <w:tc>
          <w:tcPr>
            <w:tcW w:type="dxa" w:w="3600"/>
            <w:shd w:fill="F2F6FC"/>
          </w:tcPr>
          <w:p>
            <w:r/>
            <w:r>
              <w:rPr>
                <w:rFonts w:ascii="Calibri" w:hAnsi="Calibri"/>
                <w:color w:val="333333"/>
                <w:sz w:val="18"/>
              </w:rPr>
              <w:t>Enterprise job board with agent queue</w:t>
            </w:r>
          </w:p>
        </w:tc>
      </w:tr>
      <w:tr>
        <w:tc>
          <w:tcPr>
            <w:tcW w:type="dxa" w:w="2592"/>
          </w:tcPr>
          <w:p>
            <w:r/>
            <w:r>
              <w:rPr>
                <w:rFonts w:ascii="Calibri" w:hAnsi="Calibri"/>
                <w:color w:val="333333"/>
                <w:sz w:val="18"/>
              </w:rPr>
              <w:t>Limited data sources</w:t>
            </w:r>
          </w:p>
        </w:tc>
        <w:tc>
          <w:tcPr>
            <w:tcW w:type="dxa" w:w="3168"/>
          </w:tcPr>
          <w:p>
            <w:r/>
            <w:r>
              <w:rPr>
                <w:rFonts w:ascii="Calibri" w:hAnsi="Calibri"/>
                <w:color w:val="333333"/>
                <w:sz w:val="18"/>
              </w:rPr>
              <w:t>Only internal Excel + competitor PDFs</w:t>
            </w:r>
          </w:p>
        </w:tc>
        <w:tc>
          <w:tcPr>
            <w:tcW w:type="dxa" w:w="3600"/>
          </w:tcPr>
          <w:p>
            <w:r/>
            <w:r>
              <w:rPr>
                <w:rFonts w:ascii="Calibri" w:hAnsi="Calibri"/>
                <w:color w:val="333333"/>
                <w:sz w:val="18"/>
              </w:rPr>
              <w:t>Extensible connector framework</w:t>
            </w:r>
          </w:p>
        </w:tc>
      </w:tr>
      <w:tr>
        <w:tc>
          <w:tcPr>
            <w:tcW w:type="dxa" w:w="2592"/>
            <w:shd w:fill="F2F6FC"/>
          </w:tcPr>
          <w:p>
            <w:r/>
            <w:r>
              <w:rPr>
                <w:rFonts w:ascii="Calibri" w:hAnsi="Calibri"/>
                <w:color w:val="333333"/>
                <w:sz w:val="18"/>
              </w:rPr>
              <w:t>No data lineage</w:t>
            </w:r>
          </w:p>
        </w:tc>
        <w:tc>
          <w:tcPr>
            <w:tcW w:type="dxa" w:w="3168"/>
            <w:shd w:fill="F2F6FC"/>
          </w:tcPr>
          <w:p>
            <w:r/>
            <w:r>
              <w:rPr>
                <w:rFonts w:ascii="Calibri" w:hAnsi="Calibri"/>
                <w:color w:val="333333"/>
                <w:sz w:val="18"/>
              </w:rPr>
              <w:t>Cannot trace generated insights back to source</w:t>
            </w:r>
          </w:p>
        </w:tc>
        <w:tc>
          <w:tcPr>
            <w:tcW w:type="dxa" w:w="3600"/>
            <w:shd w:fill="F2F6FC"/>
          </w:tcPr>
          <w:p>
            <w:r/>
            <w:r>
              <w:rPr>
                <w:rFonts w:ascii="Calibri" w:hAnsi="Calibri"/>
                <w:color w:val="333333"/>
                <w:sz w:val="18"/>
              </w:rPr>
              <w:t>Full audit trail with source references</w:t>
            </w:r>
          </w:p>
        </w:tc>
      </w:tr>
    </w:tbl>
    <w:p/>
    <w:p>
      <w:r>
        <w:br w:type="page"/>
      </w:r>
    </w:p>
    <w:p>
      <w:pPr>
        <w:pStyle w:val="Heading1"/>
      </w:pPr>
      <w:r>
        <w:t>5. Functional Requirements</w:t>
      </w:r>
    </w:p>
    <w:p>
      <w:pPr>
        <w:pStyle w:val="Heading2"/>
      </w:pPr>
      <w:r>
        <w:t>5.1 FR1: Unified Data Ingestion Engine</w:t>
      </w:r>
    </w:p>
    <w:p>
      <w:pPr>
        <w:spacing w:after="120"/>
      </w:pPr>
      <w:r>
        <w:t>The ingestion engine is the foundation of Amira FinIQ. It normalizes data from all sources into a unified data layer that the analytics engine queries against.</w:t>
      </w:r>
    </w:p>
    <w:p>
      <w:pPr>
        <w:spacing w:after="80"/>
      </w:pPr>
      <w:r>
        <w:rPr>
          <w:b/>
          <w:color w:val="1A56DB"/>
          <w:sz w:val="22"/>
        </w:rPr>
        <w:t>FR1.1: Internal Financial Data Ingestion</w:t>
      </w:r>
    </w:p>
    <w:p>
      <w:pPr>
        <w:spacing w:after="40"/>
      </w:pPr>
      <w:r>
        <w:t>The system shall ingest preprocessed Excel workbooks containing P&amp;L, Product, Brand, and NCFO sheets from Azure Blob Storage. Column renaming, KPI mapping, unit filtering (150+ predefined organizational units), and derived metric calculations shall be applied automatically. The system shall support the existing naming convention: preprocessed_output_{Period}_{YearShort}.xlsx.</w:t>
      </w:r>
    </w:p>
    <w:p>
      <w:pPr>
        <w:spacing w:after="200"/>
      </w:pPr>
      <w:r>
        <w:rPr>
          <w:i/>
          <w:color w:val="666666"/>
          <w:sz w:val="18"/>
        </w:rPr>
        <w:t>Priority: High  |  Category: Functional</w:t>
      </w:r>
    </w:p>
    <w:p>
      <w:pPr>
        <w:spacing w:after="80"/>
      </w:pPr>
      <w:r>
        <w:rPr>
          <w:b/>
          <w:color w:val="1A56DB"/>
          <w:sz w:val="22"/>
        </w:rPr>
        <w:t>FR1.2: Competitor Document Ingestion</w:t>
      </w:r>
    </w:p>
    <w:p>
      <w:pPr>
        <w:spacing w:after="40"/>
      </w:pPr>
      <w:r>
        <w:t>The system shall ingest PDF documents (earnings releases, presentations, transcripts) via upload or automated scraping. Documents shall be parsed using Azure Document Intelligence, chunked, embedded, and indexed in a vector search store. Metadata extraction (company, quarter, document type) shall be automatic.</w:t>
      </w:r>
    </w:p>
    <w:p>
      <w:pPr>
        <w:spacing w:after="200"/>
      </w:pPr>
      <w:r>
        <w:rPr>
          <w:i/>
          <w:color w:val="666666"/>
          <w:sz w:val="18"/>
        </w:rPr>
        <w:t>Priority: High  |  Category: Functional</w:t>
      </w:r>
    </w:p>
    <w:p>
      <w:pPr>
        <w:spacing w:after="80"/>
      </w:pPr>
      <w:r>
        <w:rPr>
          <w:b/>
          <w:color w:val="1A56DB"/>
          <w:sz w:val="22"/>
        </w:rPr>
        <w:t>FR1.3: Third-Party Data Connectors</w:t>
      </w:r>
    </w:p>
    <w:p>
      <w:pPr>
        <w:spacing w:after="40"/>
      </w:pPr>
      <w:r>
        <w:t>The system shall provide a connector framework for integrating third-party data sources including commodity price feeds, acquired research databases, and market data providers. Each connector shall normalize data into the unified schema with source lineage metadata.</w:t>
      </w:r>
    </w:p>
    <w:p>
      <w:pPr>
        <w:spacing w:after="200"/>
      </w:pPr>
      <w:r>
        <w:rPr>
          <w:i/>
          <w:color w:val="666666"/>
          <w:sz w:val="18"/>
        </w:rPr>
        <w:t>Priority: High  |  Category: Functional</w:t>
      </w:r>
    </w:p>
    <w:p>
      <w:pPr>
        <w:spacing w:after="80"/>
      </w:pPr>
      <w:r>
        <w:rPr>
          <w:b/>
          <w:color w:val="1A56DB"/>
          <w:sz w:val="22"/>
        </w:rPr>
        <w:t>FR1.4: Data Catalog &amp; Lineage</w:t>
      </w:r>
    </w:p>
    <w:p>
      <w:pPr>
        <w:spacing w:after="40"/>
      </w:pPr>
      <w:r>
        <w:t>All ingested data shall be cataloged with metadata (source, ingestion timestamp, schema version, quality score). Every derived metric and generated insight shall maintain a provenance chain back to its source data.</w:t>
      </w:r>
    </w:p>
    <w:p>
      <w:pPr>
        <w:spacing w:after="200"/>
      </w:pPr>
      <w:r>
        <w:rPr>
          <w:i/>
          <w:color w:val="666666"/>
          <w:sz w:val="18"/>
        </w:rPr>
        <w:t>Priority: High  |  Category: Functional</w:t>
      </w:r>
    </w:p>
    <w:p>
      <w:pPr>
        <w:spacing w:after="80"/>
      </w:pPr>
      <w:r>
        <w:rPr>
          <w:b/>
          <w:color w:val="1A56DB"/>
          <w:sz w:val="22"/>
        </w:rPr>
        <w:t>FR1.5: Incremental &amp; Scheduled Ingestion</w:t>
      </w:r>
    </w:p>
    <w:p>
      <w:pPr>
        <w:spacing w:after="40"/>
      </w:pPr>
      <w:r>
        <w:t>The system shall support both manual uploads and scheduled ingestion jobs. Incremental ingestion shall detect changes and update only affected records. Ingestion status and errors shall be visible in the admin dashboard.</w:t>
      </w:r>
    </w:p>
    <w:p>
      <w:pPr>
        <w:spacing w:after="200"/>
      </w:pPr>
      <w:r>
        <w:rPr>
          <w:i/>
          <w:color w:val="666666"/>
          <w:sz w:val="18"/>
        </w:rPr>
        <w:t>Priority: High  |  Category: Functional</w:t>
      </w:r>
    </w:p>
    <w:p>
      <w:pPr>
        <w:pStyle w:val="Heading2"/>
      </w:pPr>
      <w:r>
        <w:t>5.2 FR2: Financial Analytics &amp; Reporting Engine</w:t>
      </w:r>
    </w:p>
    <w:p>
      <w:pPr>
        <w:spacing w:after="120"/>
      </w:pPr>
      <w:r>
        <w:t>The analytics engine generates structured financial reports from the unified data layer. It replaces the current PES system with a more flexible, configurable architecture.</w:t>
      </w:r>
    </w:p>
    <w:p>
      <w:pPr>
        <w:spacing w:after="80"/>
      </w:pPr>
      <w:r>
        <w:rPr>
          <w:b/>
          <w:color w:val="1A56DB"/>
          <w:sz w:val="22"/>
        </w:rPr>
        <w:t>FR2.1: Period End Summary Generation</w:t>
      </w:r>
    </w:p>
    <w:p>
      <w:pPr>
        <w:spacing w:after="40"/>
      </w:pPr>
      <w:r>
        <w:t>The system shall generate executive performance summaries for any organizational unit, time period, and output format. Six KPI narratives (Organic Growth, MAC Shape, A&amp;CP Shape, CE Shape, Controllable Overhead Shape, NCFO) shall be generated in parallel, with trend analysis taglines injected from multi-period historical data. Output formats: Summary, What's Working Well, What's Not Working Well.</w:t>
      </w:r>
    </w:p>
    <w:p>
      <w:pPr>
        <w:spacing w:after="200"/>
      </w:pPr>
      <w:r>
        <w:rPr>
          <w:i/>
          <w:color w:val="666666"/>
          <w:sz w:val="18"/>
        </w:rPr>
        <w:t>Priority: High  |  Category: Functional</w:t>
      </w:r>
    </w:p>
    <w:p>
      <w:pPr>
        <w:spacing w:after="80"/>
      </w:pPr>
      <w:r>
        <w:rPr>
          <w:b/>
          <w:color w:val="1A56DB"/>
          <w:sz w:val="22"/>
        </w:rPr>
        <w:t>FR2.2: Configurable KPI Framework</w:t>
      </w:r>
    </w:p>
    <w:p>
      <w:pPr>
        <w:spacing w:after="40"/>
      </w:pPr>
      <w:r>
        <w:t>Business users shall be able to define, modify, and add KPIs without code changes. Each KPI definition shall include: formula, data sources, display name, narrative prompt template, and threshold parameters for trend analysis. KPI changes shall take effect on the next report generation.</w:t>
      </w:r>
    </w:p>
    <w:p>
      <w:pPr>
        <w:spacing w:after="200"/>
      </w:pPr>
      <w:r>
        <w:rPr>
          <w:i/>
          <w:color w:val="666666"/>
          <w:sz w:val="18"/>
        </w:rPr>
        <w:t>Priority: High  |  Category: Functional</w:t>
      </w:r>
    </w:p>
    <w:p>
      <w:pPr>
        <w:spacing w:after="80"/>
      </w:pPr>
      <w:r>
        <w:rPr>
          <w:b/>
          <w:color w:val="1A56DB"/>
          <w:sz w:val="22"/>
        </w:rPr>
        <w:t>FR2.3: Sub-Unit Ranking &amp; Driver Analysis</w:t>
      </w:r>
    </w:p>
    <w:p>
      <w:pPr>
        <w:spacing w:after="40"/>
      </w:pPr>
      <w:r>
        <w:t>For each KPI, the system shall automatically identify and rank sub-units (child business units) by performance for both Periodic and YTD timeframes. Driver analysis shall explain what is driving each sub-unit's performance, with explicit rank labels (RANK 1, TOP 3, BOTTOM 3).</w:t>
      </w:r>
    </w:p>
    <w:p>
      <w:pPr>
        <w:spacing w:after="200"/>
      </w:pPr>
      <w:r>
        <w:rPr>
          <w:i/>
          <w:color w:val="666666"/>
          <w:sz w:val="18"/>
        </w:rPr>
        <w:t>Priority: High  |  Category: Functional</w:t>
      </w:r>
    </w:p>
    <w:p>
      <w:pPr>
        <w:spacing w:after="80"/>
      </w:pPr>
      <w:r>
        <w:rPr>
          <w:b/>
          <w:color w:val="1A56DB"/>
          <w:sz w:val="22"/>
        </w:rPr>
        <w:t>FR2.4: Interactive KPI Tables</w:t>
      </w:r>
    </w:p>
    <w:p>
      <w:pPr>
        <w:spacing w:after="40"/>
      </w:pPr>
      <w:r>
        <w:t>Every generated summary shall include interactive HTML KPI tables with the underlying data, enabling users to cross-reference AI-generated narratives with source numbers. Tables shall support sorting, filtering, and drill-down.</w:t>
      </w:r>
    </w:p>
    <w:p>
      <w:pPr>
        <w:spacing w:after="200"/>
      </w:pPr>
      <w:r>
        <w:rPr>
          <w:i/>
          <w:color w:val="666666"/>
          <w:sz w:val="18"/>
        </w:rPr>
        <w:t>Priority: High  |  Category: Functional</w:t>
      </w:r>
    </w:p>
    <w:p>
      <w:pPr>
        <w:spacing w:after="80"/>
      </w:pPr>
      <w:r>
        <w:rPr>
          <w:b/>
          <w:color w:val="1A56DB"/>
          <w:sz w:val="22"/>
        </w:rPr>
        <w:t>FR2.5: Custom Report Builder</w:t>
      </w:r>
    </w:p>
    <w:p>
      <w:pPr>
        <w:spacing w:after="40"/>
      </w:pPr>
      <w:r>
        <w:t>Users shall be able to compose custom reports by selecting KPIs, organizational units, time periods, comparison bases (vs LY, vs Budget, vs Forecast), and output sections. Reports shall be saveable as templates for reuse.</w:t>
      </w:r>
    </w:p>
    <w:p>
      <w:pPr>
        <w:spacing w:after="200"/>
      </w:pPr>
      <w:r>
        <w:rPr>
          <w:i/>
          <w:color w:val="666666"/>
          <w:sz w:val="18"/>
        </w:rPr>
        <w:t>Priority: High  |  Category: Functional</w:t>
      </w:r>
    </w:p>
    <w:p>
      <w:pPr>
        <w:spacing w:after="80"/>
      </w:pPr>
      <w:r>
        <w:rPr>
          <w:b/>
          <w:color w:val="1A56DB"/>
          <w:sz w:val="22"/>
        </w:rPr>
        <w:t>FR2.6: Export Capabilities</w:t>
      </w:r>
    </w:p>
    <w:p>
      <w:pPr>
        <w:spacing w:after="40"/>
      </w:pPr>
      <w:r>
        <w:t>Reports shall be exportable to PDF, Word (.docx), PowerPoint (.pptx), Excel (.xlsx), and email. PowerPoint exports shall use Mars-branded templates with charts and tables pre-formatted for board presentation.</w:t>
      </w:r>
    </w:p>
    <w:p>
      <w:pPr>
        <w:spacing w:after="200"/>
      </w:pPr>
      <w:r>
        <w:rPr>
          <w:i/>
          <w:color w:val="666666"/>
          <w:sz w:val="18"/>
        </w:rPr>
        <w:t>Priority: High  |  Category: Functional</w:t>
      </w:r>
    </w:p>
    <w:p>
      <w:pPr>
        <w:pStyle w:val="Heading2"/>
      </w:pPr>
      <w:r>
        <w:t>5.3 FR3: Competitive Intelligence Module</w:t>
      </w:r>
    </w:p>
    <w:p>
      <w:pPr>
        <w:spacing w:after="120"/>
      </w:pPr>
      <w:r>
        <w:t>The CI module evolves the current standalone Competitive Intelligence tool into an integrated component of the analytics hub, with cross-referencing to internal data.</w:t>
      </w:r>
    </w:p>
    <w:p>
      <w:pPr>
        <w:spacing w:after="80"/>
      </w:pPr>
      <w:r>
        <w:rPr>
          <w:b/>
          <w:color w:val="1A56DB"/>
          <w:sz w:val="22"/>
        </w:rPr>
        <w:t>FR3.1: Themed Competitor Summaries</w:t>
      </w:r>
    </w:p>
    <w:p>
      <w:pPr>
        <w:spacing w:after="40"/>
      </w:pPr>
      <w:r>
        <w:t>The system shall generate structured summaries of competitor earnings organized by themes: Organic Growth, Margins, Projections, Consumer Trends, Product Launches, and Miscellaneous. Each bullet shall include source references (clickable links to source document sections).</w:t>
      </w:r>
    </w:p>
    <w:p>
      <w:pPr>
        <w:spacing w:after="200"/>
      </w:pPr>
      <w:r>
        <w:rPr>
          <w:i/>
          <w:color w:val="666666"/>
          <w:sz w:val="18"/>
        </w:rPr>
        <w:t>Priority: High  |  Category: Functional</w:t>
      </w:r>
    </w:p>
    <w:p>
      <w:pPr>
        <w:spacing w:after="80"/>
      </w:pPr>
      <w:r>
        <w:rPr>
          <w:b/>
          <w:color w:val="1A56DB"/>
          <w:sz w:val="22"/>
        </w:rPr>
        <w:t>FR3.2: Peer-to-Peer Benchmarking</w:t>
      </w:r>
    </w:p>
    <w:p>
      <w:pPr>
        <w:spacing w:after="40"/>
      </w:pPr>
      <w:r>
        <w:t>The system shall generate quantitative P2P comparison tables across predefined competitor peer groups (e.g., Petcare segment: Mars, Nestle PetCare, Colgate-Palmolive, Freshpet, IDEXX, J.M. Smucker). Metrics shall include OG%, Price, Volume, Mix, Adj. Core Operating Profit %, with both Quarterly and YTD views. Narrative analysis shall identify leaders, laggards, and drivers.</w:t>
      </w:r>
    </w:p>
    <w:p>
      <w:pPr>
        <w:spacing w:after="200"/>
      </w:pPr>
      <w:r>
        <w:rPr>
          <w:i/>
          <w:color w:val="666666"/>
          <w:sz w:val="18"/>
        </w:rPr>
        <w:t>Priority: High  |  Category: Functional</w:t>
      </w:r>
    </w:p>
    <w:p>
      <w:pPr>
        <w:spacing w:after="80"/>
      </w:pPr>
      <w:r>
        <w:rPr>
          <w:b/>
          <w:color w:val="1A56DB"/>
          <w:sz w:val="22"/>
        </w:rPr>
        <w:t>FR3.3: Internal-External Cross-Reference</w:t>
      </w:r>
    </w:p>
    <w:p>
      <w:pPr>
        <w:spacing w:after="40"/>
      </w:pPr>
      <w:r>
        <w:t>The system shall enable queries that combine internal Mars data with competitor data. Example: 'Compare our Petcare organic growth vs Nestle PetCare and Freshpet for Q2 2024, and show our forecast for Q3.' This requires joining the unified data layer across internal and external sources.</w:t>
      </w:r>
    </w:p>
    <w:p>
      <w:pPr>
        <w:spacing w:after="200"/>
      </w:pPr>
      <w:r>
        <w:rPr>
          <w:i/>
          <w:color w:val="666666"/>
          <w:sz w:val="18"/>
        </w:rPr>
        <w:t>Priority: Critical  |  Category: Functional</w:t>
      </w:r>
    </w:p>
    <w:p>
      <w:pPr>
        <w:spacing w:after="80"/>
      </w:pPr>
      <w:r>
        <w:rPr>
          <w:b/>
          <w:color w:val="1A56DB"/>
          <w:sz w:val="22"/>
        </w:rPr>
        <w:t>FR3.4: Competitor Monitoring &amp; Alerts</w:t>
      </w:r>
    </w:p>
    <w:p>
      <w:pPr>
        <w:spacing w:after="40"/>
      </w:pPr>
      <w:r>
        <w:t>The system shall support automated monitoring of competitor document sources. When new earnings documents are detected, the system shall automatically ingest, process, and notify relevant users. Users shall configure alert rules based on competitor, metric thresholds, or keywords.</w:t>
      </w:r>
    </w:p>
    <w:p>
      <w:pPr>
        <w:spacing w:after="200"/>
      </w:pPr>
      <w:r>
        <w:rPr>
          <w:i/>
          <w:color w:val="666666"/>
          <w:sz w:val="18"/>
        </w:rPr>
        <w:t>Priority: High  |  Category: Functional</w:t>
      </w:r>
    </w:p>
    <w:p>
      <w:pPr>
        <w:pStyle w:val="Heading2"/>
      </w:pPr>
      <w:r>
        <w:t>5.4 FR4: Natural Language Query Interface</w:t>
      </w:r>
    </w:p>
    <w:p>
      <w:pPr>
        <w:spacing w:after="120"/>
      </w:pPr>
      <w:r>
        <w:t>The query interface is the primary user interaction layer. Users ask questions in natural language and receive structured, sourced answers.</w:t>
      </w:r>
    </w:p>
    <w:p>
      <w:pPr>
        <w:spacing w:after="80"/>
      </w:pPr>
      <w:r>
        <w:rPr>
          <w:b/>
          <w:color w:val="1A56DB"/>
          <w:sz w:val="22"/>
        </w:rPr>
        <w:t>FR4.1: Conversational Query Engine</w:t>
      </w:r>
    </w:p>
    <w:p>
      <w:pPr>
        <w:spacing w:after="40"/>
      </w:pPr>
      <w:r>
        <w:t>The system shall accept natural language queries and return structured answers with supporting data tables and source references. Examples: 'What was Nestle's organic growth in Q2 2024?', 'Show me our Petcare MAC Shape vs last year by division', 'Which competitor had the highest margin improvement this quarter?'</w:t>
      </w:r>
    </w:p>
    <w:p>
      <w:pPr>
        <w:spacing w:after="200"/>
      </w:pPr>
      <w:r>
        <w:rPr>
          <w:i/>
          <w:color w:val="666666"/>
          <w:sz w:val="18"/>
        </w:rPr>
        <w:t>Priority: High  |  Category: Functional</w:t>
      </w:r>
    </w:p>
    <w:p>
      <w:pPr>
        <w:spacing w:after="80"/>
      </w:pPr>
      <w:r>
        <w:rPr>
          <w:b/>
          <w:color w:val="1A56DB"/>
          <w:sz w:val="22"/>
        </w:rPr>
        <w:t>FR4.2: Multi-Turn Conversations</w:t>
      </w:r>
    </w:p>
    <w:p>
      <w:pPr>
        <w:spacing w:after="40"/>
      </w:pPr>
      <w:r>
        <w:t>The system shall maintain conversation context across multiple turns, allowing follow-up questions ('Break that down by region', 'What about YTD?', 'Compare that with our forecast'). Conversation history shall be persisted per user session.</w:t>
      </w:r>
    </w:p>
    <w:p>
      <w:pPr>
        <w:spacing w:after="200"/>
      </w:pPr>
      <w:r>
        <w:rPr>
          <w:i/>
          <w:color w:val="666666"/>
          <w:sz w:val="18"/>
        </w:rPr>
        <w:t>Priority: High  |  Category: Functional</w:t>
      </w:r>
    </w:p>
    <w:p>
      <w:pPr>
        <w:spacing w:after="80"/>
      </w:pPr>
      <w:r>
        <w:rPr>
          <w:b/>
          <w:color w:val="1A56DB"/>
          <w:sz w:val="22"/>
        </w:rPr>
        <w:t>FR4.3: Query Intent Classification</w:t>
      </w:r>
    </w:p>
    <w:p>
      <w:pPr>
        <w:spacing w:after="40"/>
      </w:pPr>
      <w:r>
        <w:t>The system shall classify queries into types: factual lookup, comparison, trend analysis, recommendation, report generation, or job submission. Each type shall route to the appropriate processing pipeline (direct answer, analytics engine, forecasting API, or agent queue).</w:t>
      </w:r>
    </w:p>
    <w:p>
      <w:pPr>
        <w:spacing w:after="200"/>
      </w:pPr>
      <w:r>
        <w:rPr>
          <w:i/>
          <w:color w:val="666666"/>
          <w:sz w:val="18"/>
        </w:rPr>
        <w:t>Priority: High  |  Category: Functional</w:t>
      </w:r>
    </w:p>
    <w:p>
      <w:pPr>
        <w:spacing w:after="80"/>
      </w:pPr>
      <w:r>
        <w:rPr>
          <w:b/>
          <w:color w:val="1A56DB"/>
          <w:sz w:val="22"/>
        </w:rPr>
        <w:t>FR4.4: Source Attribution</w:t>
      </w:r>
    </w:p>
    <w:p>
      <w:pPr>
        <w:spacing w:after="40"/>
      </w:pPr>
      <w:r>
        <w:t>Every answer shall include source attribution: document name, section, page number (for PDFs), or cell reference (for Excel data). Users shall be able to click through to the source material.</w:t>
      </w:r>
    </w:p>
    <w:p>
      <w:pPr>
        <w:spacing w:after="200"/>
      </w:pPr>
      <w:r>
        <w:rPr>
          <w:i/>
          <w:color w:val="666666"/>
          <w:sz w:val="18"/>
        </w:rPr>
        <w:t>Priority: High  |  Category: Functional</w:t>
      </w:r>
    </w:p>
    <w:p>
      <w:pPr>
        <w:pStyle w:val="Heading2"/>
      </w:pPr>
      <w:r>
        <w:t>5.5 FR5: Enterprise Job Board &amp; Agent Queue</w:t>
      </w:r>
    </w:p>
    <w:p>
      <w:pPr>
        <w:spacing w:after="120"/>
      </w:pPr>
      <w:r>
        <w:t>The job board is a critical differentiator. It transforms Amira FinIQ from a single-user query tool into an enterprise-scale analytics service that can handle hundreds of concurrent requests.</w:t>
      </w:r>
    </w:p>
    <w:p>
      <w:pPr>
        <w:spacing w:after="80"/>
      </w:pPr>
      <w:r>
        <w:rPr>
          <w:b/>
          <w:color w:val="1A56DB"/>
          <w:sz w:val="22"/>
        </w:rPr>
        <w:t>FR5.1: Job Submission</w:t>
      </w:r>
    </w:p>
    <w:p>
      <w:pPr>
        <w:spacing w:after="40"/>
      </w:pPr>
      <w:r>
        <w:t>Users shall submit analytical jobs via: (a) the query interface (complex queries auto-routed to queue), (b) a dedicated job submission form with fields for query, priority, deadline, recipients, and output format, (c) email integration (forward a question to finiq@mars.com), (d) API for programmatic submission.</w:t>
      </w:r>
    </w:p>
    <w:p>
      <w:pPr>
        <w:spacing w:after="200"/>
      </w:pPr>
      <w:r>
        <w:rPr>
          <w:i/>
          <w:color w:val="666666"/>
          <w:sz w:val="18"/>
        </w:rPr>
        <w:t>Priority: Critical  |  Category: Functional</w:t>
      </w:r>
    </w:p>
    <w:p>
      <w:pPr>
        <w:spacing w:after="80"/>
      </w:pPr>
      <w:r>
        <w:rPr>
          <w:b/>
          <w:color w:val="1A56DB"/>
          <w:sz w:val="22"/>
        </w:rPr>
        <w:t>FR5.2: Agent Pool &amp; Specialization</w:t>
      </w:r>
    </w:p>
    <w:p>
      <w:pPr>
        <w:spacing w:after="40"/>
      </w:pPr>
      <w:r>
        <w:t>The system shall maintain a pool of specialized AI agents, each optimized for specific query types: Period End Summary Agent, Competitive Analysis Agent, Forecasting Agent, Marketing Analytics Agent, Ad-Hoc Query Agent, and Data Quality Agent. Agents shall be horizontally scalable based on queue depth.</w:t>
      </w:r>
    </w:p>
    <w:p>
      <w:pPr>
        <w:spacing w:after="200"/>
      </w:pPr>
      <w:r>
        <w:rPr>
          <w:i/>
          <w:color w:val="666666"/>
          <w:sz w:val="18"/>
        </w:rPr>
        <w:t>Priority: High  |  Category: Functional</w:t>
      </w:r>
    </w:p>
    <w:p>
      <w:pPr>
        <w:spacing w:after="80"/>
      </w:pPr>
      <w:r>
        <w:rPr>
          <w:b/>
          <w:color w:val="1A56DB"/>
          <w:sz w:val="22"/>
        </w:rPr>
        <w:t>FR5.3: Priority Routing &amp; SLA Management</w:t>
      </w:r>
    </w:p>
    <w:p>
      <w:pPr>
        <w:spacing w:after="40"/>
      </w:pPr>
      <w:r>
        <w:t>Jobs shall be assigned priority levels (Critical, High, Medium, Low) with corresponding SLA targets. Critical jobs: &lt; 2 minutes. High: &lt; 10 minutes. Medium: &lt; 30 minutes. Low: &lt; 2 hours. The system shall monitor SLA compliance and escalate breaches to administrators.</w:t>
      </w:r>
    </w:p>
    <w:p>
      <w:pPr>
        <w:spacing w:after="200"/>
      </w:pPr>
      <w:r>
        <w:rPr>
          <w:i/>
          <w:color w:val="666666"/>
          <w:sz w:val="18"/>
        </w:rPr>
        <w:t>Priority: High  |  Category: Functional</w:t>
      </w:r>
    </w:p>
    <w:p>
      <w:pPr>
        <w:spacing w:after="80"/>
      </w:pPr>
      <w:r>
        <w:rPr>
          <w:b/>
          <w:color w:val="1A56DB"/>
          <w:sz w:val="22"/>
        </w:rPr>
        <w:t>FR5.4: Job Lifecycle Management</w:t>
      </w:r>
    </w:p>
    <w:p>
      <w:pPr>
        <w:spacing w:after="40"/>
      </w:pPr>
      <w:r>
        <w:t>Each job shall have a visible lifecycle: Submitted &gt; Queued &gt; Assigned (to agent) &gt; Processing &gt; Review &gt; Completed/Failed. Users shall see real-time status updates. Failed jobs shall include error details and retry options.</w:t>
      </w:r>
    </w:p>
    <w:p>
      <w:pPr>
        <w:spacing w:after="200"/>
      </w:pPr>
      <w:r>
        <w:rPr>
          <w:i/>
          <w:color w:val="666666"/>
          <w:sz w:val="18"/>
        </w:rPr>
        <w:t>Priority: High  |  Category: Functional</w:t>
      </w:r>
    </w:p>
    <w:p>
      <w:pPr>
        <w:spacing w:after="80"/>
      </w:pPr>
      <w:r>
        <w:rPr>
          <w:b/>
          <w:color w:val="1A56DB"/>
          <w:sz w:val="22"/>
        </w:rPr>
        <w:t>FR5.5: Job Dashboard</w:t>
      </w:r>
    </w:p>
    <w:p>
      <w:pPr>
        <w:spacing w:after="40"/>
      </w:pPr>
      <w:r>
        <w:t>An enterprise dashboard shall show: active jobs by status, agent utilization, SLA compliance rates, average processing times by query type, top requestors, and historical trends. Filterable by department, priority, agent type, and date range.</w:t>
      </w:r>
    </w:p>
    <w:p>
      <w:pPr>
        <w:spacing w:after="200"/>
      </w:pPr>
      <w:r>
        <w:rPr>
          <w:i/>
          <w:color w:val="666666"/>
          <w:sz w:val="18"/>
        </w:rPr>
        <w:t>Priority: High  |  Category: Functional</w:t>
      </w:r>
    </w:p>
    <w:p>
      <w:pPr>
        <w:spacing w:after="80"/>
      </w:pPr>
      <w:r>
        <w:rPr>
          <w:b/>
          <w:color w:val="1A56DB"/>
          <w:sz w:val="22"/>
        </w:rPr>
        <w:t>FR5.6: Scheduled &amp; Recurring Jobs</w:t>
      </w:r>
    </w:p>
    <w:p>
      <w:pPr>
        <w:spacing w:after="40"/>
      </w:pPr>
      <w:r>
        <w:t>Users shall schedule recurring jobs (e.g., 'Generate Petcare Period End Summary on the 5th of every month' or 'Run competitive benchmarking weekly for all peer groups'). The scheduler shall support cron-like expressions with timezone awareness.</w:t>
      </w:r>
    </w:p>
    <w:p>
      <w:pPr>
        <w:spacing w:after="200"/>
      </w:pPr>
      <w:r>
        <w:rPr>
          <w:i/>
          <w:color w:val="666666"/>
          <w:sz w:val="18"/>
        </w:rPr>
        <w:t>Priority: High  |  Category: Functional</w:t>
      </w:r>
    </w:p>
    <w:p>
      <w:pPr>
        <w:spacing w:after="80"/>
      </w:pPr>
      <w:r>
        <w:rPr>
          <w:b/>
          <w:color w:val="1A56DB"/>
          <w:sz w:val="22"/>
        </w:rPr>
        <w:t>FR5.7: Collaborative Review &amp; Approval</w:t>
      </w:r>
    </w:p>
    <w:p>
      <w:pPr>
        <w:spacing w:after="40"/>
      </w:pPr>
      <w:r>
        <w:t>Jobs producing sensitive or high-visibility reports shall support a review workflow: the AI agent generates a draft, a designated reviewer approves/edits, and the final version is distributed. Review assignments shall be configurable per report type and organizational unit.</w:t>
      </w:r>
    </w:p>
    <w:p>
      <w:pPr>
        <w:spacing w:after="200"/>
      </w:pPr>
      <w:r>
        <w:rPr>
          <w:i/>
          <w:color w:val="666666"/>
          <w:sz w:val="18"/>
        </w:rPr>
        <w:t>Priority: High  |  Category: Functional</w:t>
      </w:r>
    </w:p>
    <w:p>
      <w:pPr>
        <w:pStyle w:val="Heading2"/>
      </w:pPr>
      <w:r>
        <w:t>5.6 FR6: Integration Layer</w:t>
      </w:r>
    </w:p>
    <w:p>
      <w:pPr>
        <w:spacing w:after="120"/>
      </w:pPr>
      <w:r>
        <w:t>Amira FinIQ integrates with Amira's existing platform services to provide forward-looking recommendations alongside historical analysis.</w:t>
      </w:r>
    </w:p>
    <w:p>
      <w:pPr>
        <w:spacing w:after="80"/>
      </w:pPr>
      <w:r>
        <w:rPr>
          <w:b/>
          <w:color w:val="1A56DB"/>
          <w:sz w:val="22"/>
        </w:rPr>
        <w:t>FR6.1: Amira Financial Forecasting Integration</w:t>
      </w:r>
    </w:p>
    <w:p>
      <w:pPr>
        <w:spacing w:after="40"/>
      </w:pPr>
      <w:r>
        <w:t>The system shall call the Amira Financial Forecasting API to enrich reports with forward-looking projections. When a user queries historical performance, the system shall optionally append forecast data: 'Your Q2 Organic Growth was 6.3%. Based on current trends, our forecast model projects 5.8% for Q3, with downside risk from cocoa input costs.' Forecasts shall be clearly labeled as projections with confidence intervals.</w:t>
      </w:r>
    </w:p>
    <w:p>
      <w:pPr>
        <w:spacing w:after="200"/>
      </w:pPr>
      <w:r>
        <w:rPr>
          <w:i/>
          <w:color w:val="666666"/>
          <w:sz w:val="18"/>
        </w:rPr>
        <w:t>Priority: Critical  |  Category: Functional</w:t>
      </w:r>
    </w:p>
    <w:p>
      <w:pPr>
        <w:spacing w:after="80"/>
      </w:pPr>
      <w:r>
        <w:rPr>
          <w:b/>
          <w:color w:val="1A56DB"/>
          <w:sz w:val="22"/>
        </w:rPr>
        <w:t>FR6.2: Amira Marketing Analytics Integration</w:t>
      </w:r>
    </w:p>
    <w:p>
      <w:pPr>
        <w:spacing w:after="40"/>
      </w:pPr>
      <w:r>
        <w:t>The system shall call the Amira Marketing Analytics API to correlate financial performance with marketing spend and effectiveness. Example: 'Royal Canin posted 11.3% OG in Q2. Marketing analytics shows a 15% increase in digital ad spend with a 2.3x ROAS, suggesting the growth is partially marketing-driven.' Marketing data shall be available as a dimension in custom reports.</w:t>
      </w:r>
    </w:p>
    <w:p>
      <w:pPr>
        <w:spacing w:after="200"/>
      </w:pPr>
      <w:r>
        <w:rPr>
          <w:i/>
          <w:color w:val="666666"/>
          <w:sz w:val="18"/>
        </w:rPr>
        <w:t>Priority: Critical  |  Category: Functional</w:t>
      </w:r>
    </w:p>
    <w:p>
      <w:pPr>
        <w:spacing w:after="80"/>
      </w:pPr>
      <w:r>
        <w:rPr>
          <w:b/>
          <w:color w:val="1A56DB"/>
          <w:sz w:val="22"/>
        </w:rPr>
        <w:t>FR6.3: Unified Recommendation Engine</w:t>
      </w:r>
    </w:p>
    <w:p>
      <w:pPr>
        <w:spacing w:after="40"/>
      </w:pPr>
      <w:r>
        <w:t>When both forecasting and marketing data are available, the system shall generate actionable recommendations: 'Based on forecasted cocoa price increases of 12% in Q3 and your current marketing ROI on Confectionery brands, consider shifting 5% of Confectionery marketing budget to Petcare, which shows stronger pricing power.' Recommendations shall be flagged as AI-generated suggestions.</w:t>
      </w:r>
    </w:p>
    <w:p>
      <w:pPr>
        <w:spacing w:after="200"/>
      </w:pPr>
      <w:r>
        <w:rPr>
          <w:i/>
          <w:color w:val="666666"/>
          <w:sz w:val="18"/>
        </w:rPr>
        <w:t>Priority: High  |  Category: Functional</w:t>
      </w:r>
    </w:p>
    <w:p>
      <w:pPr>
        <w:spacing w:after="80"/>
      </w:pPr>
      <w:r>
        <w:rPr>
          <w:b/>
          <w:color w:val="1A56DB"/>
          <w:sz w:val="22"/>
        </w:rPr>
        <w:t>FR6.4: External API Gateway</w:t>
      </w:r>
    </w:p>
    <w:p>
      <w:pPr>
        <w:spacing w:after="40"/>
      </w:pPr>
      <w:r>
        <w:t>The system shall expose a RESTful API gateway for third-party integrations. Endpoints shall include: report generation, job submission, query execution, data catalog browsing, and webhook registration for event notifications.</w:t>
      </w:r>
    </w:p>
    <w:p>
      <w:pPr>
        <w:spacing w:after="200"/>
      </w:pPr>
      <w:r>
        <w:rPr>
          <w:i/>
          <w:color w:val="666666"/>
          <w:sz w:val="18"/>
        </w:rPr>
        <w:t>Priority: High  |  Category: Functional</w:t>
      </w:r>
    </w:p>
    <w:p>
      <w:pPr>
        <w:pStyle w:val="Heading2"/>
      </w:pPr>
      <w:r>
        <w:t>5.7 FR7: Administration &amp; Configuration</w:t>
      </w:r>
    </w:p>
    <w:p>
      <w:pPr>
        <w:spacing w:after="80"/>
      </w:pPr>
      <w:r>
        <w:rPr>
          <w:b/>
          <w:color w:val="1A56DB"/>
          <w:sz w:val="22"/>
        </w:rPr>
        <w:t>FR7.1: Template Management</w:t>
      </w:r>
    </w:p>
    <w:p>
      <w:pPr>
        <w:spacing w:after="40"/>
      </w:pPr>
      <w:r>
        <w:t>Administrators shall manage report templates through a visual editor. Templates define: sections, KPI selection, narrative tone, data filters, and output format. Templates shall be versionable with rollback capability.</w:t>
      </w:r>
    </w:p>
    <w:p>
      <w:pPr>
        <w:spacing w:after="200"/>
      </w:pPr>
      <w:r>
        <w:rPr>
          <w:i/>
          <w:color w:val="666666"/>
          <w:sz w:val="18"/>
        </w:rPr>
        <w:t>Priority: High  |  Category: Functional</w:t>
      </w:r>
    </w:p>
    <w:p>
      <w:pPr>
        <w:spacing w:after="80"/>
      </w:pPr>
      <w:r>
        <w:rPr>
          <w:b/>
          <w:color w:val="1A56DB"/>
          <w:sz w:val="22"/>
        </w:rPr>
        <w:t>FR7.2: Organizational Hierarchy Management</w:t>
      </w:r>
    </w:p>
    <w:p>
      <w:pPr>
        <w:spacing w:after="40"/>
      </w:pPr>
      <w:r>
        <w:t>The system shall maintain Mars's organizational hierarchy (Mars Inc &gt; GBUs &gt; Divisions &gt; Regions &gt; Sub-units) with the ability to add, modify, or reorganize units. Hierarchy changes shall automatically propagate to report generation and access control.</w:t>
      </w:r>
    </w:p>
    <w:p>
      <w:pPr>
        <w:spacing w:after="200"/>
      </w:pPr>
      <w:r>
        <w:rPr>
          <w:i/>
          <w:color w:val="666666"/>
          <w:sz w:val="18"/>
        </w:rPr>
        <w:t>Priority: High  |  Category: Functional</w:t>
      </w:r>
    </w:p>
    <w:p>
      <w:pPr>
        <w:spacing w:after="80"/>
      </w:pPr>
      <w:r>
        <w:rPr>
          <w:b/>
          <w:color w:val="1A56DB"/>
          <w:sz w:val="22"/>
        </w:rPr>
        <w:t>FR7.3: Peer Group Configuration</w:t>
      </w:r>
    </w:p>
    <w:p>
      <w:pPr>
        <w:spacing w:after="40"/>
      </w:pPr>
      <w:r>
        <w:t>Administrators shall define and modify competitor peer groups for benchmarking. Each peer group specifies: segment name, included companies, relevant metrics, and data source mappings.</w:t>
      </w:r>
    </w:p>
    <w:p>
      <w:pPr>
        <w:spacing w:after="200"/>
      </w:pPr>
      <w:r>
        <w:rPr>
          <w:i/>
          <w:color w:val="666666"/>
          <w:sz w:val="18"/>
        </w:rPr>
        <w:t>Priority: High  |  Category: Functional</w:t>
      </w:r>
    </w:p>
    <w:p>
      <w:pPr>
        <w:spacing w:after="80"/>
      </w:pPr>
      <w:r>
        <w:rPr>
          <w:b/>
          <w:color w:val="1A56DB"/>
          <w:sz w:val="22"/>
        </w:rPr>
        <w:t>FR7.4: Prompt Management</w:t>
      </w:r>
    </w:p>
    <w:p>
      <w:pPr>
        <w:spacing w:after="40"/>
      </w:pPr>
      <w:r>
        <w:t>LLM prompts shall be managed as configurable assets, not hardcoded. Each prompt shall have: system message, dynamic sections (output format selection), user message template, and injected data variables. Prompt changes shall take effect immediately without deployment.</w:t>
      </w:r>
    </w:p>
    <w:p>
      <w:pPr>
        <w:spacing w:after="200"/>
      </w:pPr>
      <w:r>
        <w:rPr>
          <w:i/>
          <w:color w:val="666666"/>
          <w:sz w:val="18"/>
        </w:rPr>
        <w:t>Priority: High  |  Category: Functional</w:t>
      </w:r>
    </w:p>
    <w:p>
      <w:pPr>
        <w:spacing w:after="80"/>
      </w:pPr>
      <w:r>
        <w:rPr>
          <w:b/>
          <w:color w:val="1A56DB"/>
          <w:sz w:val="22"/>
        </w:rPr>
        <w:t>FR7.5: User &amp; Access Management</w:t>
      </w:r>
    </w:p>
    <w:p>
      <w:pPr>
        <w:spacing w:after="40"/>
      </w:pPr>
      <w:r>
        <w:t>RBAC aligned with Mars organizational hierarchy. Roles: Admin, Analyst, Viewer, API Consumer. Data access scoped by organizational unit (a Petcare analyst cannot access Snacking financials unless explicitly granted). SSO integration with Mars identity provider.</w:t>
      </w:r>
    </w:p>
    <w:p>
      <w:pPr>
        <w:spacing w:after="200"/>
      </w:pPr>
      <w:r>
        <w:rPr>
          <w:i/>
          <w:color w:val="666666"/>
          <w:sz w:val="18"/>
        </w:rPr>
        <w:t>Priority: High  |  Category: Functional</w:t>
      </w:r>
    </w:p>
    <w:p>
      <w:r>
        <w:br w:type="page"/>
      </w:r>
    </w:p>
    <w:p>
      <w:pPr>
        <w:pStyle w:val="Heading1"/>
      </w:pPr>
      <w:r>
        <w:t>6. Non-Functional Requirements</w:t>
      </w:r>
    </w:p>
    <w:p>
      <w:pPr>
        <w:pStyle w:val="Heading2"/>
      </w:pPr>
      <w:r>
        <w:t>6.1 Performance</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680"/>
        <w:gridCol w:w="4680"/>
      </w:tblGrid>
      <w:tr>
        <w:tc>
          <w:tcPr>
            <w:tcW w:type="dxa" w:w="4608"/>
            <w:shd w:fill="1A56DB"/>
          </w:tcPr>
          <w:p>
            <w:r/>
            <w:r>
              <w:rPr>
                <w:rFonts w:ascii="Calibri" w:hAnsi="Calibri"/>
                <w:b/>
                <w:color w:val="FFFFFF"/>
                <w:sz w:val="20"/>
              </w:rPr>
              <w:t>Scenario</w:t>
            </w:r>
          </w:p>
        </w:tc>
        <w:tc>
          <w:tcPr>
            <w:tcW w:type="dxa" w:w="4752"/>
            <w:shd w:fill="1A56DB"/>
          </w:tcPr>
          <w:p>
            <w:r/>
            <w:r>
              <w:rPr>
                <w:rFonts w:ascii="Calibri" w:hAnsi="Calibri"/>
                <w:b/>
                <w:color w:val="FFFFFF"/>
                <w:sz w:val="20"/>
              </w:rPr>
              <w:t>Requirement</w:t>
            </w:r>
          </w:p>
        </w:tc>
      </w:tr>
      <w:tr>
        <w:tc>
          <w:tcPr>
            <w:tcW w:type="dxa" w:w="4608"/>
          </w:tcPr>
          <w:p>
            <w:r/>
            <w:r>
              <w:rPr>
                <w:rFonts w:ascii="Calibri" w:hAnsi="Calibri"/>
                <w:color w:val="333333"/>
                <w:sz w:val="18"/>
              </w:rPr>
              <w:t>Period End Summary (first generation)</w:t>
            </w:r>
          </w:p>
        </w:tc>
        <w:tc>
          <w:tcPr>
            <w:tcW w:type="dxa" w:w="4752"/>
          </w:tcPr>
          <w:p>
            <w:r/>
            <w:r>
              <w:rPr>
                <w:rFonts w:ascii="Calibri" w:hAnsi="Calibri"/>
                <w:color w:val="333333"/>
                <w:sz w:val="18"/>
              </w:rPr>
              <w:t>&lt; 15 seconds for 6 parallel KPI narratives + trend analysis</w:t>
            </w:r>
          </w:p>
        </w:tc>
      </w:tr>
      <w:tr>
        <w:tc>
          <w:tcPr>
            <w:tcW w:type="dxa" w:w="4608"/>
            <w:shd w:fill="F2F6FC"/>
          </w:tcPr>
          <w:p>
            <w:r/>
            <w:r>
              <w:rPr>
                <w:rFonts w:ascii="Calibri" w:hAnsi="Calibri"/>
                <w:color w:val="333333"/>
                <w:sz w:val="18"/>
              </w:rPr>
              <w:t>Period End Summary (cached)</w:t>
            </w:r>
          </w:p>
        </w:tc>
        <w:tc>
          <w:tcPr>
            <w:tcW w:type="dxa" w:w="4752"/>
            <w:shd w:fill="F2F6FC"/>
          </w:tcPr>
          <w:p>
            <w:r/>
            <w:r>
              <w:rPr>
                <w:rFonts w:ascii="Calibri" w:hAnsi="Calibri"/>
                <w:color w:val="333333"/>
                <w:sz w:val="18"/>
              </w:rPr>
              <w:t>&lt; 1 second retrieval from cache</w:t>
            </w:r>
          </w:p>
        </w:tc>
      </w:tr>
      <w:tr>
        <w:tc>
          <w:tcPr>
            <w:tcW w:type="dxa" w:w="4608"/>
          </w:tcPr>
          <w:p>
            <w:r/>
            <w:r>
              <w:rPr>
                <w:rFonts w:ascii="Calibri" w:hAnsi="Calibri"/>
                <w:color w:val="333333"/>
                <w:sz w:val="18"/>
              </w:rPr>
              <w:t>Single KPI regeneration</w:t>
            </w:r>
          </w:p>
        </w:tc>
        <w:tc>
          <w:tcPr>
            <w:tcW w:type="dxa" w:w="4752"/>
          </w:tcPr>
          <w:p>
            <w:r/>
            <w:r>
              <w:rPr>
                <w:rFonts w:ascii="Calibri" w:hAnsi="Calibri"/>
                <w:color w:val="333333"/>
                <w:sz w:val="18"/>
              </w:rPr>
              <w:t>&lt; 8 seconds</w:t>
            </w:r>
          </w:p>
        </w:tc>
      </w:tr>
      <w:tr>
        <w:tc>
          <w:tcPr>
            <w:tcW w:type="dxa" w:w="4608"/>
            <w:shd w:fill="F2F6FC"/>
          </w:tcPr>
          <w:p>
            <w:r/>
            <w:r>
              <w:rPr>
                <w:rFonts w:ascii="Calibri" w:hAnsi="Calibri"/>
                <w:color w:val="333333"/>
                <w:sz w:val="18"/>
              </w:rPr>
              <w:t>Ad-hoc natural language query</w:t>
            </w:r>
          </w:p>
        </w:tc>
        <w:tc>
          <w:tcPr>
            <w:tcW w:type="dxa" w:w="4752"/>
            <w:shd w:fill="F2F6FC"/>
          </w:tcPr>
          <w:p>
            <w:r/>
            <w:r>
              <w:rPr>
                <w:rFonts w:ascii="Calibri" w:hAnsi="Calibri"/>
                <w:color w:val="333333"/>
                <w:sz w:val="18"/>
              </w:rPr>
              <w:t>&lt; 10 seconds for simple queries, &lt; 30 seconds for complex multi-source queries</w:t>
            </w:r>
          </w:p>
        </w:tc>
      </w:tr>
      <w:tr>
        <w:tc>
          <w:tcPr>
            <w:tcW w:type="dxa" w:w="4608"/>
          </w:tcPr>
          <w:p>
            <w:r/>
            <w:r>
              <w:rPr>
                <w:rFonts w:ascii="Calibri" w:hAnsi="Calibri"/>
                <w:color w:val="333333"/>
                <w:sz w:val="18"/>
              </w:rPr>
              <w:t>Competitive intelligence document ingestion</w:t>
            </w:r>
          </w:p>
        </w:tc>
        <w:tc>
          <w:tcPr>
            <w:tcW w:type="dxa" w:w="4752"/>
          </w:tcPr>
          <w:p>
            <w:r/>
            <w:r>
              <w:rPr>
                <w:rFonts w:ascii="Calibri" w:hAnsi="Calibri"/>
                <w:color w:val="333333"/>
                <w:sz w:val="18"/>
              </w:rPr>
              <w:t>&lt; 5 minutes per document (parse, chunk, embed, index)</w:t>
            </w:r>
          </w:p>
        </w:tc>
      </w:tr>
      <w:tr>
        <w:tc>
          <w:tcPr>
            <w:tcW w:type="dxa" w:w="4608"/>
            <w:shd w:fill="F2F6FC"/>
          </w:tcPr>
          <w:p>
            <w:r/>
            <w:r>
              <w:rPr>
                <w:rFonts w:ascii="Calibri" w:hAnsi="Calibri"/>
                <w:color w:val="333333"/>
                <w:sz w:val="18"/>
              </w:rPr>
              <w:t>Job queue throughput</w:t>
            </w:r>
          </w:p>
        </w:tc>
        <w:tc>
          <w:tcPr>
            <w:tcW w:type="dxa" w:w="4752"/>
            <w:shd w:fill="F2F6FC"/>
          </w:tcPr>
          <w:p>
            <w:r/>
            <w:r>
              <w:rPr>
                <w:rFonts w:ascii="Calibri" w:hAnsi="Calibri"/>
                <w:color w:val="333333"/>
                <w:sz w:val="18"/>
              </w:rPr>
              <w:t>50+ concurrent jobs processing simultaneously</w:t>
            </w:r>
          </w:p>
        </w:tc>
      </w:tr>
      <w:tr>
        <w:tc>
          <w:tcPr>
            <w:tcW w:type="dxa" w:w="4608"/>
          </w:tcPr>
          <w:p>
            <w:r/>
            <w:r>
              <w:rPr>
                <w:rFonts w:ascii="Calibri" w:hAnsi="Calibri"/>
                <w:color w:val="333333"/>
                <w:sz w:val="18"/>
              </w:rPr>
              <w:t>Dashboard page load</w:t>
            </w:r>
          </w:p>
        </w:tc>
        <w:tc>
          <w:tcPr>
            <w:tcW w:type="dxa" w:w="4752"/>
          </w:tcPr>
          <w:p>
            <w:r/>
            <w:r>
              <w:rPr>
                <w:rFonts w:ascii="Calibri" w:hAnsi="Calibri"/>
                <w:color w:val="333333"/>
                <w:sz w:val="18"/>
              </w:rPr>
              <w:t>&lt; 2 seconds initial load, &lt; 500ms subsequent navigation</w:t>
            </w:r>
          </w:p>
        </w:tc>
      </w:tr>
      <w:tr>
        <w:tc>
          <w:tcPr>
            <w:tcW w:type="dxa" w:w="4608"/>
            <w:shd w:fill="F2F6FC"/>
          </w:tcPr>
          <w:p>
            <w:r/>
            <w:r>
              <w:rPr>
                <w:rFonts w:ascii="Calibri" w:hAnsi="Calibri"/>
                <w:color w:val="333333"/>
                <w:sz w:val="18"/>
              </w:rPr>
              <w:t>API response time (p95)</w:t>
            </w:r>
          </w:p>
        </w:tc>
        <w:tc>
          <w:tcPr>
            <w:tcW w:type="dxa" w:w="4752"/>
            <w:shd w:fill="F2F6FC"/>
          </w:tcPr>
          <w:p>
            <w:r/>
            <w:r>
              <w:rPr>
                <w:rFonts w:ascii="Calibri" w:hAnsi="Calibri"/>
                <w:color w:val="333333"/>
                <w:sz w:val="18"/>
              </w:rPr>
              <w:t>&lt; 3 seconds for report generation endpoints</w:t>
            </w:r>
          </w:p>
        </w:tc>
      </w:tr>
    </w:tbl>
    <w:p/>
    <w:p>
      <w:pPr>
        <w:pStyle w:val="Heading2"/>
      </w:pPr>
      <w:r>
        <w:t>6.2 Scalability</w:t>
      </w:r>
    </w:p>
    <w:p>
      <w:pPr>
        <w:pStyle w:val="ListBullet"/>
        <w:spacing w:after="40"/>
      </w:pPr>
      <w:r>
        <w:t>Support 100+ concurrent users in Phase 1, scaling to 500+ in Phase 2</w:t>
      </w:r>
    </w:p>
    <w:p>
      <w:pPr>
        <w:pStyle w:val="ListBullet"/>
        <w:spacing w:after="40"/>
      </w:pPr>
      <w:r>
        <w:t>Horizontally scalable agent pool: auto-scale based on queue depth (min 5, max 50 agents)</w:t>
      </w:r>
    </w:p>
    <w:p>
      <w:pPr>
        <w:pStyle w:val="ListBullet"/>
        <w:spacing w:after="40"/>
      </w:pPr>
      <w:r>
        <w:t>Data layer shall handle 10TB+ of financial data across all sources</w:t>
      </w:r>
    </w:p>
    <w:p>
      <w:pPr>
        <w:pStyle w:val="ListBullet"/>
        <w:spacing w:after="40"/>
      </w:pPr>
      <w:r>
        <w:t>Vector search index shall support 1M+ document chunks with &lt; 100ms retrieval</w:t>
      </w:r>
    </w:p>
    <w:p>
      <w:pPr>
        <w:pStyle w:val="Heading2"/>
      </w:pPr>
      <w:r>
        <w:t>6.3 Availability &amp; Reliability</w:t>
      </w:r>
    </w:p>
    <w:p>
      <w:pPr>
        <w:pStyle w:val="ListBullet"/>
        <w:spacing w:after="40"/>
      </w:pPr>
      <w:r>
        <w:t>99.9% uptime SLA during business hours (06:00-22:00 local time, all Mars regions)</w:t>
      </w:r>
    </w:p>
    <w:p>
      <w:pPr>
        <w:pStyle w:val="ListBullet"/>
        <w:spacing w:after="40"/>
      </w:pPr>
      <w:r>
        <w:t>Graceful degradation: if LLM service is unavailable, serve cached reports and queue new requests</w:t>
      </w:r>
    </w:p>
    <w:p>
      <w:pPr>
        <w:pStyle w:val="ListBullet"/>
        <w:spacing w:after="40"/>
      </w:pPr>
      <w:r>
        <w:t>Automated failover for all stateful components (database, cache, search index)</w:t>
      </w:r>
    </w:p>
    <w:p>
      <w:pPr>
        <w:pStyle w:val="ListBullet"/>
        <w:spacing w:after="40"/>
      </w:pPr>
      <w:r>
        <w:t>Maximum Recovery Point Objective (RPO): 1 hour. Maximum Recovery Time Objective (RTO): 4 hours</w:t>
      </w:r>
    </w:p>
    <w:p>
      <w:pPr>
        <w:pStyle w:val="Heading2"/>
      </w:pPr>
      <w:r>
        <w:t>6.4 Security</w:t>
      </w:r>
    </w:p>
    <w:p>
      <w:pPr>
        <w:pStyle w:val="ListBullet"/>
        <w:spacing w:after="40"/>
      </w:pPr>
      <w:r>
        <w:t>All data encrypted at rest (AES-256) and in transit (TLS 1.3)</w:t>
      </w:r>
    </w:p>
    <w:p>
      <w:pPr>
        <w:pStyle w:val="ListBullet"/>
        <w:spacing w:after="40"/>
      </w:pPr>
      <w:r>
        <w:t>SSO integration with Mars identity provider (Azure AD / Entra ID)</w:t>
      </w:r>
    </w:p>
    <w:p>
      <w:pPr>
        <w:pStyle w:val="ListBullet"/>
        <w:spacing w:after="40"/>
      </w:pPr>
      <w:r>
        <w:t>Row-level security: users see only data for their authorized organizational units</w:t>
      </w:r>
    </w:p>
    <w:p>
      <w:pPr>
        <w:pStyle w:val="ListBullet"/>
        <w:spacing w:after="40"/>
      </w:pPr>
      <w:r>
        <w:t>API authentication via OAuth 2.0 with JWT tokens; API keys for service-to-service</w:t>
      </w:r>
    </w:p>
    <w:p>
      <w:pPr>
        <w:pStyle w:val="ListBullet"/>
        <w:spacing w:after="40"/>
      </w:pPr>
      <w:r>
        <w:t>All LLM interactions logged and auditable; no Mars data used for model training</w:t>
      </w:r>
    </w:p>
    <w:p>
      <w:pPr>
        <w:pStyle w:val="ListBullet"/>
        <w:spacing w:after="40"/>
      </w:pPr>
      <w:r>
        <w:t>Sensitive financial data never leaves Mars's Azure tenant (private endpoints)</w:t>
      </w:r>
    </w:p>
    <w:p>
      <w:pPr>
        <w:pStyle w:val="ListBullet"/>
        <w:spacing w:after="40"/>
      </w:pPr>
      <w:r>
        <w:t>SOC 2 Type II compliance for the Amira platform</w:t>
      </w:r>
    </w:p>
    <w:p>
      <w:pPr>
        <w:pStyle w:val="Heading2"/>
      </w:pPr>
      <w:r>
        <w:t>6.5 Compliance &amp; Data Governance</w:t>
      </w:r>
    </w:p>
    <w:p>
      <w:pPr>
        <w:pStyle w:val="ListBullet"/>
        <w:spacing w:after="40"/>
      </w:pPr>
      <w:r>
        <w:t>GDPR compliance for any personal data processed (employee names in reports)</w:t>
      </w:r>
    </w:p>
    <w:p>
      <w:pPr>
        <w:pStyle w:val="ListBullet"/>
        <w:spacing w:after="40"/>
      </w:pPr>
      <w:r>
        <w:t>Data retention policies configurable per data source (default: 7 years for financial data)</w:t>
      </w:r>
    </w:p>
    <w:p>
      <w:pPr>
        <w:pStyle w:val="ListBullet"/>
        <w:spacing w:after="40"/>
      </w:pPr>
      <w:r>
        <w:t>Audit log for all data access, report generation, and administrative actions</w:t>
      </w:r>
    </w:p>
    <w:p>
      <w:pPr>
        <w:pStyle w:val="ListBullet"/>
        <w:spacing w:after="40"/>
      </w:pPr>
      <w:r>
        <w:t>Data classification labels (Public, Internal, Confidential, Restricted) enforced across all outputs</w:t>
      </w:r>
    </w:p>
    <w:p>
      <w:r>
        <w:br w:type="page"/>
      </w:r>
    </w:p>
    <w:p>
      <w:pPr>
        <w:pStyle w:val="Heading1"/>
      </w:pPr>
      <w:r>
        <w:t>7. System Architecture</w:t>
      </w:r>
    </w:p>
    <w:p>
      <w:pPr>
        <w:pStyle w:val="Heading2"/>
      </w:pPr>
      <w:r>
        <w:t>7.1 High-Level Architecture</w:t>
      </w:r>
    </w:p>
    <w:p>
      <w:pPr>
        <w:spacing w:after="120"/>
      </w:pPr>
      <w:r>
        <w:t>Amira FinIQ follows a layered microservices architecture deployed on Microsoft Azure, aligning with Mars's existing cloud infrastructure. The architecture consists of five layers:</w:t>
      </w:r>
    </w:p>
    <w:p>
      <w:pPr>
        <w:spacing w:after="120"/>
      </w:pPr>
      <w:r>
        <w:rPr>
          <w:b/>
        </w:rPr>
        <w:t>Layer 1: Presentation Layer</w:t>
      </w:r>
    </w:p>
    <w:p>
      <w:pPr>
        <w:pStyle w:val="ListBullet"/>
        <w:spacing w:after="40"/>
      </w:pPr>
      <w:r>
        <w:t>React-based single-page application (SPA) with responsive design</w:t>
      </w:r>
    </w:p>
    <w:p>
      <w:pPr>
        <w:pStyle w:val="ListBullet"/>
        <w:spacing w:after="40"/>
      </w:pPr>
      <w:r>
        <w:t>Real-time updates via Server-Sent Events (SSE) for report generation progress</w:t>
      </w:r>
    </w:p>
    <w:p>
      <w:pPr>
        <w:pStyle w:val="ListBullet"/>
        <w:spacing w:after="40"/>
      </w:pPr>
      <w:r>
        <w:t>Interactive dashboards built with a modern charting library</w:t>
      </w:r>
    </w:p>
    <w:p>
      <w:pPr>
        <w:pStyle w:val="ListBullet"/>
        <w:spacing w:after="40"/>
      </w:pPr>
      <w:r>
        <w:t>Embeddable widgets for integration into existing Mars portals</w:t>
      </w:r>
    </w:p>
    <w:p>
      <w:pPr>
        <w:spacing w:after="120"/>
      </w:pPr>
      <w:r>
        <w:rPr>
          <w:b/>
        </w:rPr>
        <w:t>Layer 2: API Gateway &amp; Orchestration</w:t>
      </w:r>
    </w:p>
    <w:p>
      <w:pPr>
        <w:pStyle w:val="ListBullet"/>
        <w:spacing w:after="40"/>
      </w:pPr>
      <w:r>
        <w:t>Azure API Management as the unified entry point</w:t>
      </w:r>
    </w:p>
    <w:p>
      <w:pPr>
        <w:pStyle w:val="ListBullet"/>
        <w:spacing w:after="40"/>
      </w:pPr>
      <w:r>
        <w:t>LangGraph-based orchestration engine for multi-step analytical workflows</w:t>
      </w:r>
    </w:p>
    <w:p>
      <w:pPr>
        <w:pStyle w:val="ListBullet"/>
        <w:spacing w:after="40"/>
      </w:pPr>
      <w:r>
        <w:t>Request routing: simple queries go direct, complex queries route to agent queue</w:t>
      </w:r>
    </w:p>
    <w:p>
      <w:pPr>
        <w:pStyle w:val="ListBullet"/>
        <w:spacing w:after="40"/>
      </w:pPr>
      <w:r>
        <w:t>Rate limiting, authentication, and request logging</w:t>
      </w:r>
    </w:p>
    <w:p>
      <w:pPr>
        <w:spacing w:after="120"/>
      </w:pPr>
      <w:r>
        <w:rPr>
          <w:b/>
        </w:rPr>
        <w:t>Layer 3: Intelligence Layer</w:t>
      </w:r>
    </w:p>
    <w:p>
      <w:pPr>
        <w:pStyle w:val="ListBullet"/>
        <w:spacing w:after="40"/>
      </w:pPr>
      <w:r>
        <w:t>LLM Service: Azure OpenAI GPT-4.1 (or latest) for narrative generation</w:t>
      </w:r>
    </w:p>
    <w:p>
      <w:pPr>
        <w:pStyle w:val="ListBullet"/>
        <w:spacing w:after="40"/>
      </w:pPr>
      <w:r>
        <w:t>Embedding Service: Azure OpenAI text-embedding-3-large for document chunking</w:t>
      </w:r>
    </w:p>
    <w:p>
      <w:pPr>
        <w:pStyle w:val="ListBullet"/>
        <w:spacing w:after="40"/>
      </w:pPr>
      <w:r>
        <w:t>Agent Runtime: Specialized agents (PES, CI, Forecast, Marketing, Ad-Hoc, DQ)</w:t>
      </w:r>
    </w:p>
    <w:p>
      <w:pPr>
        <w:pStyle w:val="ListBullet"/>
        <w:spacing w:after="40"/>
      </w:pPr>
      <w:r>
        <w:t>Prompt Registry: Versioned prompt templates stored in Azure Cosmos DB</w:t>
      </w:r>
    </w:p>
    <w:p>
      <w:pPr>
        <w:pStyle w:val="ListBullet"/>
        <w:spacing w:after="40"/>
      </w:pPr>
      <w:r>
        <w:t>RAG Pipeline: Vector search (Azure AI Search) + reranking for document Q&amp;A</w:t>
      </w:r>
    </w:p>
    <w:p>
      <w:pPr>
        <w:spacing w:after="120"/>
      </w:pPr>
      <w:r>
        <w:rPr>
          <w:b/>
        </w:rPr>
        <w:t>Layer 4: Data Layer</w:t>
      </w:r>
    </w:p>
    <w:p>
      <w:pPr>
        <w:pStyle w:val="ListBullet"/>
        <w:spacing w:after="40"/>
      </w:pPr>
      <w:r>
        <w:t>Unified Data Store: Azure SQL Database for structured financial data (P&amp;L, KPIs)</w:t>
      </w:r>
    </w:p>
    <w:p>
      <w:pPr>
        <w:pStyle w:val="ListBullet"/>
        <w:spacing w:after="40"/>
      </w:pPr>
      <w:r>
        <w:t>Document Store: Azure Blob Storage (raw documents) + Azure AI Search (indexed chunks)</w:t>
      </w:r>
    </w:p>
    <w:p>
      <w:pPr>
        <w:pStyle w:val="ListBullet"/>
        <w:spacing w:after="40"/>
      </w:pPr>
      <w:r>
        <w:t>Cache Layer: Azure Redis Cache for generated reports and KPI summaries (JSON)</w:t>
      </w:r>
    </w:p>
    <w:p>
      <w:pPr>
        <w:pStyle w:val="ListBullet"/>
        <w:spacing w:after="40"/>
      </w:pPr>
      <w:r>
        <w:t>Metadata Catalog: Azure Cosmos DB for data lineage, audit logs, and configuration</w:t>
      </w:r>
    </w:p>
    <w:p>
      <w:pPr>
        <w:spacing w:after="120"/>
      </w:pPr>
      <w:r>
        <w:rPr>
          <w:b/>
        </w:rPr>
        <w:t>Layer 5: Integration Layer</w:t>
      </w:r>
    </w:p>
    <w:p>
      <w:pPr>
        <w:pStyle w:val="ListBullet"/>
        <w:spacing w:after="40"/>
      </w:pPr>
      <w:r>
        <w:t>Amira Forecasting Connector: REST API client with response caching</w:t>
      </w:r>
    </w:p>
    <w:p>
      <w:pPr>
        <w:pStyle w:val="ListBullet"/>
        <w:spacing w:after="40"/>
      </w:pPr>
      <w:r>
        <w:t>Amira Marketing Analytics Connector: REST API client with metric mapping</w:t>
      </w:r>
    </w:p>
    <w:p>
      <w:pPr>
        <w:pStyle w:val="ListBullet"/>
        <w:spacing w:after="40"/>
      </w:pPr>
      <w:r>
        <w:t>Notification Service: Azure Logic Apps for email, Teams, and webhook notifications</w:t>
      </w:r>
    </w:p>
    <w:p>
      <w:pPr>
        <w:pStyle w:val="ListBullet"/>
        <w:spacing w:after="40"/>
      </w:pPr>
      <w:r>
        <w:t>Export Service: Document generation (PDF, DOCX, PPTX, XLSX) via headless renderer</w:t>
      </w:r>
    </w:p>
    <w:p>
      <w:pPr>
        <w:pStyle w:val="Heading2"/>
      </w:pPr>
      <w:r>
        <w:t>7.2 Architecture Diagram (Textual)</w:t>
      </w:r>
    </w:p>
    <w:p>
      <w:pPr>
        <w:spacing w:after="120"/>
      </w:pPr>
      <w:r>
        <w:t>The following describes the component topology. A visual diagram will be provided in the design phase.</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20"/>
        <w:gridCol w:w="3120"/>
        <w:gridCol w:w="3120"/>
      </w:tblGrid>
      <w:tr>
        <w:tc>
          <w:tcPr>
            <w:tcW w:type="dxa" w:w="2592"/>
            <w:shd w:fill="1A56DB"/>
          </w:tcPr>
          <w:p>
            <w:r/>
            <w:r>
              <w:rPr>
                <w:rFonts w:ascii="Calibri" w:hAnsi="Calibri"/>
                <w:b/>
                <w:color w:val="FFFFFF"/>
                <w:sz w:val="20"/>
              </w:rPr>
              <w:t>Component</w:t>
            </w:r>
          </w:p>
        </w:tc>
        <w:tc>
          <w:tcPr>
            <w:tcW w:type="dxa" w:w="2880"/>
            <w:shd w:fill="1A56DB"/>
          </w:tcPr>
          <w:p>
            <w:r/>
            <w:r>
              <w:rPr>
                <w:rFonts w:ascii="Calibri" w:hAnsi="Calibri"/>
                <w:b/>
                <w:color w:val="FFFFFF"/>
                <w:sz w:val="20"/>
              </w:rPr>
              <w:t>Technology</w:t>
            </w:r>
          </w:p>
        </w:tc>
        <w:tc>
          <w:tcPr>
            <w:tcW w:type="dxa" w:w="3888"/>
            <w:shd w:fill="1A56DB"/>
          </w:tcPr>
          <w:p>
            <w:r/>
            <w:r>
              <w:rPr>
                <w:rFonts w:ascii="Calibri" w:hAnsi="Calibri"/>
                <w:b/>
                <w:color w:val="FFFFFF"/>
                <w:sz w:val="20"/>
              </w:rPr>
              <w:t>Purpose</w:t>
            </w:r>
          </w:p>
        </w:tc>
      </w:tr>
      <w:tr>
        <w:tc>
          <w:tcPr>
            <w:tcW w:type="dxa" w:w="2592"/>
          </w:tcPr>
          <w:p>
            <w:r/>
            <w:r>
              <w:rPr>
                <w:rFonts w:ascii="Calibri" w:hAnsi="Calibri"/>
                <w:color w:val="333333"/>
                <w:sz w:val="18"/>
              </w:rPr>
              <w:t>Web Application</w:t>
            </w:r>
          </w:p>
        </w:tc>
        <w:tc>
          <w:tcPr>
            <w:tcW w:type="dxa" w:w="2880"/>
          </w:tcPr>
          <w:p>
            <w:r/>
            <w:r>
              <w:rPr>
                <w:rFonts w:ascii="Calibri" w:hAnsi="Calibri"/>
                <w:color w:val="333333"/>
                <w:sz w:val="18"/>
              </w:rPr>
              <w:t>React + TypeScript</w:t>
            </w:r>
          </w:p>
        </w:tc>
        <w:tc>
          <w:tcPr>
            <w:tcW w:type="dxa" w:w="3888"/>
          </w:tcPr>
          <w:p>
            <w:r/>
            <w:r>
              <w:rPr>
                <w:rFonts w:ascii="Calibri" w:hAnsi="Calibri"/>
                <w:color w:val="333333"/>
                <w:sz w:val="18"/>
              </w:rPr>
              <w:t>User interface, dashboards, query chat</w:t>
            </w:r>
          </w:p>
        </w:tc>
      </w:tr>
      <w:tr>
        <w:tc>
          <w:tcPr>
            <w:tcW w:type="dxa" w:w="2592"/>
            <w:shd w:fill="F2F6FC"/>
          </w:tcPr>
          <w:p>
            <w:r/>
            <w:r>
              <w:rPr>
                <w:rFonts w:ascii="Calibri" w:hAnsi="Calibri"/>
                <w:color w:val="333333"/>
                <w:sz w:val="18"/>
              </w:rPr>
              <w:t>API Gateway</w:t>
            </w:r>
          </w:p>
        </w:tc>
        <w:tc>
          <w:tcPr>
            <w:tcW w:type="dxa" w:w="2880"/>
            <w:shd w:fill="F2F6FC"/>
          </w:tcPr>
          <w:p>
            <w:r/>
            <w:r>
              <w:rPr>
                <w:rFonts w:ascii="Calibri" w:hAnsi="Calibri"/>
                <w:color w:val="333333"/>
                <w:sz w:val="18"/>
              </w:rPr>
              <w:t>Azure API Management</w:t>
            </w:r>
          </w:p>
        </w:tc>
        <w:tc>
          <w:tcPr>
            <w:tcW w:type="dxa" w:w="3888"/>
            <w:shd w:fill="F2F6FC"/>
          </w:tcPr>
          <w:p>
            <w:r/>
            <w:r>
              <w:rPr>
                <w:rFonts w:ascii="Calibri" w:hAnsi="Calibri"/>
                <w:color w:val="333333"/>
                <w:sz w:val="18"/>
              </w:rPr>
              <w:t>Routing, auth, rate limiting, logging</w:t>
            </w:r>
          </w:p>
        </w:tc>
      </w:tr>
      <w:tr>
        <w:tc>
          <w:tcPr>
            <w:tcW w:type="dxa" w:w="2592"/>
          </w:tcPr>
          <w:p>
            <w:r/>
            <w:r>
              <w:rPr>
                <w:rFonts w:ascii="Calibri" w:hAnsi="Calibri"/>
                <w:color w:val="333333"/>
                <w:sz w:val="18"/>
              </w:rPr>
              <w:t>Orchestration Engine</w:t>
            </w:r>
          </w:p>
        </w:tc>
        <w:tc>
          <w:tcPr>
            <w:tcW w:type="dxa" w:w="2880"/>
          </w:tcPr>
          <w:p>
            <w:r/>
            <w:r>
              <w:rPr>
                <w:rFonts w:ascii="Calibri" w:hAnsi="Calibri"/>
                <w:color w:val="333333"/>
                <w:sz w:val="18"/>
              </w:rPr>
              <w:t>Python + LangGraph</w:t>
            </w:r>
          </w:p>
        </w:tc>
        <w:tc>
          <w:tcPr>
            <w:tcW w:type="dxa" w:w="3888"/>
          </w:tcPr>
          <w:p>
            <w:r/>
            <w:r>
              <w:rPr>
                <w:rFonts w:ascii="Calibri" w:hAnsi="Calibri"/>
                <w:color w:val="333333"/>
                <w:sz w:val="18"/>
              </w:rPr>
              <w:t>Multi-step workflow coordination</w:t>
            </w:r>
          </w:p>
        </w:tc>
      </w:tr>
      <w:tr>
        <w:tc>
          <w:tcPr>
            <w:tcW w:type="dxa" w:w="2592"/>
            <w:shd w:fill="F2F6FC"/>
          </w:tcPr>
          <w:p>
            <w:r/>
            <w:r>
              <w:rPr>
                <w:rFonts w:ascii="Calibri" w:hAnsi="Calibri"/>
                <w:color w:val="333333"/>
                <w:sz w:val="18"/>
              </w:rPr>
              <w:t>Agent Runtime</w:t>
            </w:r>
          </w:p>
        </w:tc>
        <w:tc>
          <w:tcPr>
            <w:tcW w:type="dxa" w:w="2880"/>
            <w:shd w:fill="F2F6FC"/>
          </w:tcPr>
          <w:p>
            <w:r/>
            <w:r>
              <w:rPr>
                <w:rFonts w:ascii="Calibri" w:hAnsi="Calibri"/>
                <w:color w:val="333333"/>
                <w:sz w:val="18"/>
              </w:rPr>
              <w:t>Python + LangChain</w:t>
            </w:r>
          </w:p>
        </w:tc>
        <w:tc>
          <w:tcPr>
            <w:tcW w:type="dxa" w:w="3888"/>
            <w:shd w:fill="F2F6FC"/>
          </w:tcPr>
          <w:p>
            <w:r/>
            <w:r>
              <w:rPr>
                <w:rFonts w:ascii="Calibri" w:hAnsi="Calibri"/>
                <w:color w:val="333333"/>
                <w:sz w:val="18"/>
              </w:rPr>
              <w:t>Specialized AI agents for each query type</w:t>
            </w:r>
          </w:p>
        </w:tc>
      </w:tr>
      <w:tr>
        <w:tc>
          <w:tcPr>
            <w:tcW w:type="dxa" w:w="2592"/>
          </w:tcPr>
          <w:p>
            <w:r/>
            <w:r>
              <w:rPr>
                <w:rFonts w:ascii="Calibri" w:hAnsi="Calibri"/>
                <w:color w:val="333333"/>
                <w:sz w:val="18"/>
              </w:rPr>
              <w:t>LLM Service</w:t>
            </w:r>
          </w:p>
        </w:tc>
        <w:tc>
          <w:tcPr>
            <w:tcW w:type="dxa" w:w="2880"/>
          </w:tcPr>
          <w:p>
            <w:r/>
            <w:r>
              <w:rPr>
                <w:rFonts w:ascii="Calibri" w:hAnsi="Calibri"/>
                <w:color w:val="333333"/>
                <w:sz w:val="18"/>
              </w:rPr>
              <w:t>Azure OpenAI GPT-4.1</w:t>
            </w:r>
          </w:p>
        </w:tc>
        <w:tc>
          <w:tcPr>
            <w:tcW w:type="dxa" w:w="3888"/>
          </w:tcPr>
          <w:p>
            <w:r/>
            <w:r>
              <w:rPr>
                <w:rFonts w:ascii="Calibri" w:hAnsi="Calibri"/>
                <w:color w:val="333333"/>
                <w:sz w:val="18"/>
              </w:rPr>
              <w:t>Narrative generation, summarization, Q&amp;A</w:t>
            </w:r>
          </w:p>
        </w:tc>
      </w:tr>
      <w:tr>
        <w:tc>
          <w:tcPr>
            <w:tcW w:type="dxa" w:w="2592"/>
            <w:shd w:fill="F2F6FC"/>
          </w:tcPr>
          <w:p>
            <w:r/>
            <w:r>
              <w:rPr>
                <w:rFonts w:ascii="Calibri" w:hAnsi="Calibri"/>
                <w:color w:val="333333"/>
                <w:sz w:val="18"/>
              </w:rPr>
              <w:t>Embedding Service</w:t>
            </w:r>
          </w:p>
        </w:tc>
        <w:tc>
          <w:tcPr>
            <w:tcW w:type="dxa" w:w="2880"/>
            <w:shd w:fill="F2F6FC"/>
          </w:tcPr>
          <w:p>
            <w:r/>
            <w:r>
              <w:rPr>
                <w:rFonts w:ascii="Calibri" w:hAnsi="Calibri"/>
                <w:color w:val="333333"/>
                <w:sz w:val="18"/>
              </w:rPr>
              <w:t>Azure OpenAI Embeddings</w:t>
            </w:r>
          </w:p>
        </w:tc>
        <w:tc>
          <w:tcPr>
            <w:tcW w:type="dxa" w:w="3888"/>
            <w:shd w:fill="F2F6FC"/>
          </w:tcPr>
          <w:p>
            <w:r/>
            <w:r>
              <w:rPr>
                <w:rFonts w:ascii="Calibri" w:hAnsi="Calibri"/>
                <w:color w:val="333333"/>
                <w:sz w:val="18"/>
              </w:rPr>
              <w:t>Document chunking and vector encoding</w:t>
            </w:r>
          </w:p>
        </w:tc>
      </w:tr>
      <w:tr>
        <w:tc>
          <w:tcPr>
            <w:tcW w:type="dxa" w:w="2592"/>
          </w:tcPr>
          <w:p>
            <w:r/>
            <w:r>
              <w:rPr>
                <w:rFonts w:ascii="Calibri" w:hAnsi="Calibri"/>
                <w:color w:val="333333"/>
                <w:sz w:val="18"/>
              </w:rPr>
              <w:t>Vector Search</w:t>
            </w:r>
          </w:p>
        </w:tc>
        <w:tc>
          <w:tcPr>
            <w:tcW w:type="dxa" w:w="2880"/>
          </w:tcPr>
          <w:p>
            <w:r/>
            <w:r>
              <w:rPr>
                <w:rFonts w:ascii="Calibri" w:hAnsi="Calibri"/>
                <w:color w:val="333333"/>
                <w:sz w:val="18"/>
              </w:rPr>
              <w:t>Azure AI Search</w:t>
            </w:r>
          </w:p>
        </w:tc>
        <w:tc>
          <w:tcPr>
            <w:tcW w:type="dxa" w:w="3888"/>
          </w:tcPr>
          <w:p>
            <w:r/>
            <w:r>
              <w:rPr>
                <w:rFonts w:ascii="Calibri" w:hAnsi="Calibri"/>
                <w:color w:val="333333"/>
                <w:sz w:val="18"/>
              </w:rPr>
              <w:t>Semantic document retrieval (RAG)</w:t>
            </w:r>
          </w:p>
        </w:tc>
      </w:tr>
      <w:tr>
        <w:tc>
          <w:tcPr>
            <w:tcW w:type="dxa" w:w="2592"/>
            <w:shd w:fill="F2F6FC"/>
          </w:tcPr>
          <w:p>
            <w:r/>
            <w:r>
              <w:rPr>
                <w:rFonts w:ascii="Calibri" w:hAnsi="Calibri"/>
                <w:color w:val="333333"/>
                <w:sz w:val="18"/>
              </w:rPr>
              <w:t>Structured Data</w:t>
            </w:r>
          </w:p>
        </w:tc>
        <w:tc>
          <w:tcPr>
            <w:tcW w:type="dxa" w:w="2880"/>
            <w:shd w:fill="F2F6FC"/>
          </w:tcPr>
          <w:p>
            <w:r/>
            <w:r>
              <w:rPr>
                <w:rFonts w:ascii="Calibri" w:hAnsi="Calibri"/>
                <w:color w:val="333333"/>
                <w:sz w:val="18"/>
              </w:rPr>
              <w:t>Azure SQL Database</w:t>
            </w:r>
          </w:p>
        </w:tc>
        <w:tc>
          <w:tcPr>
            <w:tcW w:type="dxa" w:w="3888"/>
            <w:shd w:fill="F2F6FC"/>
          </w:tcPr>
          <w:p>
            <w:r/>
            <w:r>
              <w:rPr>
                <w:rFonts w:ascii="Calibri" w:hAnsi="Calibri"/>
                <w:color w:val="333333"/>
                <w:sz w:val="18"/>
              </w:rPr>
              <w:t>Financial data, KPIs, organizational hierarchy</w:t>
            </w:r>
          </w:p>
        </w:tc>
      </w:tr>
      <w:tr>
        <w:tc>
          <w:tcPr>
            <w:tcW w:type="dxa" w:w="2592"/>
          </w:tcPr>
          <w:p>
            <w:r/>
            <w:r>
              <w:rPr>
                <w:rFonts w:ascii="Calibri" w:hAnsi="Calibri"/>
                <w:color w:val="333333"/>
                <w:sz w:val="18"/>
              </w:rPr>
              <w:t>Document Store</w:t>
            </w:r>
          </w:p>
        </w:tc>
        <w:tc>
          <w:tcPr>
            <w:tcW w:type="dxa" w:w="2880"/>
          </w:tcPr>
          <w:p>
            <w:r/>
            <w:r>
              <w:rPr>
                <w:rFonts w:ascii="Calibri" w:hAnsi="Calibri"/>
                <w:color w:val="333333"/>
                <w:sz w:val="18"/>
              </w:rPr>
              <w:t>Azure Blob Storage</w:t>
            </w:r>
          </w:p>
        </w:tc>
        <w:tc>
          <w:tcPr>
            <w:tcW w:type="dxa" w:w="3888"/>
          </w:tcPr>
          <w:p>
            <w:r/>
            <w:r>
              <w:rPr>
                <w:rFonts w:ascii="Calibri" w:hAnsi="Calibri"/>
                <w:color w:val="333333"/>
                <w:sz w:val="18"/>
              </w:rPr>
              <w:t>Raw PDFs, Excel files, generated reports</w:t>
            </w:r>
          </w:p>
        </w:tc>
      </w:tr>
      <w:tr>
        <w:tc>
          <w:tcPr>
            <w:tcW w:type="dxa" w:w="2592"/>
            <w:shd w:fill="F2F6FC"/>
          </w:tcPr>
          <w:p>
            <w:r/>
            <w:r>
              <w:rPr>
                <w:rFonts w:ascii="Calibri" w:hAnsi="Calibri"/>
                <w:color w:val="333333"/>
                <w:sz w:val="18"/>
              </w:rPr>
              <w:t>Cache</w:t>
            </w:r>
          </w:p>
        </w:tc>
        <w:tc>
          <w:tcPr>
            <w:tcW w:type="dxa" w:w="2880"/>
            <w:shd w:fill="F2F6FC"/>
          </w:tcPr>
          <w:p>
            <w:r/>
            <w:r>
              <w:rPr>
                <w:rFonts w:ascii="Calibri" w:hAnsi="Calibri"/>
                <w:color w:val="333333"/>
                <w:sz w:val="18"/>
              </w:rPr>
              <w:t>Azure Redis Cache</w:t>
            </w:r>
          </w:p>
        </w:tc>
        <w:tc>
          <w:tcPr>
            <w:tcW w:type="dxa" w:w="3888"/>
            <w:shd w:fill="F2F6FC"/>
          </w:tcPr>
          <w:p>
            <w:r/>
            <w:r>
              <w:rPr>
                <w:rFonts w:ascii="Calibri" w:hAnsi="Calibri"/>
                <w:color w:val="333333"/>
                <w:sz w:val="18"/>
              </w:rPr>
              <w:t>Generated report caching (&lt; 1s retrieval)</w:t>
            </w:r>
          </w:p>
        </w:tc>
      </w:tr>
      <w:tr>
        <w:tc>
          <w:tcPr>
            <w:tcW w:type="dxa" w:w="2592"/>
          </w:tcPr>
          <w:p>
            <w:r/>
            <w:r>
              <w:rPr>
                <w:rFonts w:ascii="Calibri" w:hAnsi="Calibri"/>
                <w:color w:val="333333"/>
                <w:sz w:val="18"/>
              </w:rPr>
              <w:t>Config &amp; Metadata</w:t>
            </w:r>
          </w:p>
        </w:tc>
        <w:tc>
          <w:tcPr>
            <w:tcW w:type="dxa" w:w="2880"/>
          </w:tcPr>
          <w:p>
            <w:r/>
            <w:r>
              <w:rPr>
                <w:rFonts w:ascii="Calibri" w:hAnsi="Calibri"/>
                <w:color w:val="333333"/>
                <w:sz w:val="18"/>
              </w:rPr>
              <w:t>Azure Cosmos DB</w:t>
            </w:r>
          </w:p>
        </w:tc>
        <w:tc>
          <w:tcPr>
            <w:tcW w:type="dxa" w:w="3888"/>
          </w:tcPr>
          <w:p>
            <w:r/>
            <w:r>
              <w:rPr>
                <w:rFonts w:ascii="Calibri" w:hAnsi="Calibri"/>
                <w:color w:val="333333"/>
                <w:sz w:val="18"/>
              </w:rPr>
              <w:t>Prompts, templates, audit logs, lineage</w:t>
            </w:r>
          </w:p>
        </w:tc>
      </w:tr>
      <w:tr>
        <w:tc>
          <w:tcPr>
            <w:tcW w:type="dxa" w:w="2592"/>
            <w:shd w:fill="F2F6FC"/>
          </w:tcPr>
          <w:p>
            <w:r/>
            <w:r>
              <w:rPr>
                <w:rFonts w:ascii="Calibri" w:hAnsi="Calibri"/>
                <w:color w:val="333333"/>
                <w:sz w:val="18"/>
              </w:rPr>
              <w:t>Job Queue</w:t>
            </w:r>
          </w:p>
        </w:tc>
        <w:tc>
          <w:tcPr>
            <w:tcW w:type="dxa" w:w="2880"/>
            <w:shd w:fill="F2F6FC"/>
          </w:tcPr>
          <w:p>
            <w:r/>
            <w:r>
              <w:rPr>
                <w:rFonts w:ascii="Calibri" w:hAnsi="Calibri"/>
                <w:color w:val="333333"/>
                <w:sz w:val="18"/>
              </w:rPr>
              <w:t>Azure Service Bus</w:t>
            </w:r>
          </w:p>
        </w:tc>
        <w:tc>
          <w:tcPr>
            <w:tcW w:type="dxa" w:w="3888"/>
            <w:shd w:fill="F2F6FC"/>
          </w:tcPr>
          <w:p>
            <w:r/>
            <w:r>
              <w:rPr>
                <w:rFonts w:ascii="Calibri" w:hAnsi="Calibri"/>
                <w:color w:val="333333"/>
                <w:sz w:val="18"/>
              </w:rPr>
              <w:t>Enterprise job board message broker</w:t>
            </w:r>
          </w:p>
        </w:tc>
      </w:tr>
      <w:tr>
        <w:tc>
          <w:tcPr>
            <w:tcW w:type="dxa" w:w="2592"/>
          </w:tcPr>
          <w:p>
            <w:r/>
            <w:r>
              <w:rPr>
                <w:rFonts w:ascii="Calibri" w:hAnsi="Calibri"/>
                <w:color w:val="333333"/>
                <w:sz w:val="18"/>
              </w:rPr>
              <w:t>Notifications</w:t>
            </w:r>
          </w:p>
        </w:tc>
        <w:tc>
          <w:tcPr>
            <w:tcW w:type="dxa" w:w="2880"/>
          </w:tcPr>
          <w:p>
            <w:r/>
            <w:r>
              <w:rPr>
                <w:rFonts w:ascii="Calibri" w:hAnsi="Calibri"/>
                <w:color w:val="333333"/>
                <w:sz w:val="18"/>
              </w:rPr>
              <w:t>Azure Logic Apps</w:t>
            </w:r>
          </w:p>
        </w:tc>
        <w:tc>
          <w:tcPr>
            <w:tcW w:type="dxa" w:w="3888"/>
          </w:tcPr>
          <w:p>
            <w:r/>
            <w:r>
              <w:rPr>
                <w:rFonts w:ascii="Calibri" w:hAnsi="Calibri"/>
                <w:color w:val="333333"/>
                <w:sz w:val="18"/>
              </w:rPr>
              <w:t>Email, Teams, webhook delivery</w:t>
            </w:r>
          </w:p>
        </w:tc>
      </w:tr>
      <w:tr>
        <w:tc>
          <w:tcPr>
            <w:tcW w:type="dxa" w:w="2592"/>
            <w:shd w:fill="F2F6FC"/>
          </w:tcPr>
          <w:p>
            <w:r/>
            <w:r>
              <w:rPr>
                <w:rFonts w:ascii="Calibri" w:hAnsi="Calibri"/>
                <w:color w:val="333333"/>
                <w:sz w:val="18"/>
              </w:rPr>
              <w:t>Identity</w:t>
            </w:r>
          </w:p>
        </w:tc>
        <w:tc>
          <w:tcPr>
            <w:tcW w:type="dxa" w:w="2880"/>
            <w:shd w:fill="F2F6FC"/>
          </w:tcPr>
          <w:p>
            <w:r/>
            <w:r>
              <w:rPr>
                <w:rFonts w:ascii="Calibri" w:hAnsi="Calibri"/>
                <w:color w:val="333333"/>
                <w:sz w:val="18"/>
              </w:rPr>
              <w:t>Azure Entra ID (AD)</w:t>
            </w:r>
          </w:p>
        </w:tc>
        <w:tc>
          <w:tcPr>
            <w:tcW w:type="dxa" w:w="3888"/>
            <w:shd w:fill="F2F6FC"/>
          </w:tcPr>
          <w:p>
            <w:r/>
            <w:r>
              <w:rPr>
                <w:rFonts w:ascii="Calibri" w:hAnsi="Calibri"/>
                <w:color w:val="333333"/>
                <w:sz w:val="18"/>
              </w:rPr>
              <w:t>SSO, RBAC, token management</w:t>
            </w:r>
          </w:p>
        </w:tc>
      </w:tr>
      <w:tr>
        <w:tc>
          <w:tcPr>
            <w:tcW w:type="dxa" w:w="2592"/>
          </w:tcPr>
          <w:p>
            <w:r/>
            <w:r>
              <w:rPr>
                <w:rFonts w:ascii="Calibri" w:hAnsi="Calibri"/>
                <w:color w:val="333333"/>
                <w:sz w:val="18"/>
              </w:rPr>
              <w:t>Monitoring</w:t>
            </w:r>
          </w:p>
        </w:tc>
        <w:tc>
          <w:tcPr>
            <w:tcW w:type="dxa" w:w="2880"/>
          </w:tcPr>
          <w:p>
            <w:r/>
            <w:r>
              <w:rPr>
                <w:rFonts w:ascii="Calibri" w:hAnsi="Calibri"/>
                <w:color w:val="333333"/>
                <w:sz w:val="18"/>
              </w:rPr>
              <w:t>Azure Monitor + App Insights</w:t>
            </w:r>
          </w:p>
        </w:tc>
        <w:tc>
          <w:tcPr>
            <w:tcW w:type="dxa" w:w="3888"/>
          </w:tcPr>
          <w:p>
            <w:r/>
            <w:r>
              <w:rPr>
                <w:rFonts w:ascii="Calibri" w:hAnsi="Calibri"/>
                <w:color w:val="333333"/>
                <w:sz w:val="18"/>
              </w:rPr>
              <w:t>Performance, errors, usage analytics</w:t>
            </w:r>
          </w:p>
        </w:tc>
      </w:tr>
      <w:tr>
        <w:tc>
          <w:tcPr>
            <w:tcW w:type="dxa" w:w="2592"/>
            <w:shd w:fill="F2F6FC"/>
          </w:tcPr>
          <w:p>
            <w:r/>
            <w:r>
              <w:rPr>
                <w:rFonts w:ascii="Calibri" w:hAnsi="Calibri"/>
                <w:color w:val="333333"/>
                <w:sz w:val="18"/>
              </w:rPr>
              <w:t>Forecasting API</w:t>
            </w:r>
          </w:p>
        </w:tc>
        <w:tc>
          <w:tcPr>
            <w:tcW w:type="dxa" w:w="2880"/>
            <w:shd w:fill="F2F6FC"/>
          </w:tcPr>
          <w:p>
            <w:r/>
            <w:r>
              <w:rPr>
                <w:rFonts w:ascii="Calibri" w:hAnsi="Calibri"/>
                <w:color w:val="333333"/>
                <w:sz w:val="18"/>
              </w:rPr>
              <w:t>Amira Platform (external)</w:t>
            </w:r>
          </w:p>
        </w:tc>
        <w:tc>
          <w:tcPr>
            <w:tcW w:type="dxa" w:w="3888"/>
            <w:shd w:fill="F2F6FC"/>
          </w:tcPr>
          <w:p>
            <w:r/>
            <w:r>
              <w:rPr>
                <w:rFonts w:ascii="Calibri" w:hAnsi="Calibri"/>
                <w:color w:val="333333"/>
                <w:sz w:val="18"/>
              </w:rPr>
              <w:t>Forward-looking projections</w:t>
            </w:r>
          </w:p>
        </w:tc>
      </w:tr>
      <w:tr>
        <w:tc>
          <w:tcPr>
            <w:tcW w:type="dxa" w:w="2592"/>
          </w:tcPr>
          <w:p>
            <w:r/>
            <w:r>
              <w:rPr>
                <w:rFonts w:ascii="Calibri" w:hAnsi="Calibri"/>
                <w:color w:val="333333"/>
                <w:sz w:val="18"/>
              </w:rPr>
              <w:t>Marketing API</w:t>
            </w:r>
          </w:p>
        </w:tc>
        <w:tc>
          <w:tcPr>
            <w:tcW w:type="dxa" w:w="2880"/>
          </w:tcPr>
          <w:p>
            <w:r/>
            <w:r>
              <w:rPr>
                <w:rFonts w:ascii="Calibri" w:hAnsi="Calibri"/>
                <w:color w:val="333333"/>
                <w:sz w:val="18"/>
              </w:rPr>
              <w:t>Amira Platform (external)</w:t>
            </w:r>
          </w:p>
        </w:tc>
        <w:tc>
          <w:tcPr>
            <w:tcW w:type="dxa" w:w="3888"/>
          </w:tcPr>
          <w:p>
            <w:r/>
            <w:r>
              <w:rPr>
                <w:rFonts w:ascii="Calibri" w:hAnsi="Calibri"/>
                <w:color w:val="333333"/>
                <w:sz w:val="18"/>
              </w:rPr>
              <w:t>Marketing spend and ROI data</w:t>
            </w:r>
          </w:p>
        </w:tc>
      </w:tr>
    </w:tbl>
    <w:p/>
    <w:p>
      <w:pPr>
        <w:pStyle w:val="Heading2"/>
      </w:pPr>
      <w:r>
        <w:t>7.3 Data Flow</w:t>
      </w:r>
    </w:p>
    <w:p>
      <w:pPr>
        <w:spacing w:after="120"/>
      </w:pPr>
      <w:r>
        <w:rPr>
          <w:b/>
        </w:rPr>
        <w:t>Flow 1: Period End Summary Generation</w:t>
      </w:r>
    </w:p>
    <w:p>
      <w:pPr>
        <w:pStyle w:val="ListNumber"/>
        <w:spacing w:after="40"/>
      </w:pPr>
      <w:r>
        <w:t>User selects organizational unit, period, year, and output format</w:t>
      </w:r>
    </w:p>
    <w:p>
      <w:pPr>
        <w:pStyle w:val="ListNumber"/>
        <w:spacing w:after="40"/>
      </w:pPr>
      <w:r>
        <w:t>System checks Redis cache for existing summary</w:t>
      </w:r>
    </w:p>
    <w:p>
      <w:pPr>
        <w:pStyle w:val="ListNumber"/>
        <w:spacing w:after="40"/>
      </w:pPr>
      <w:r>
        <w:t>If cache miss: retrieves Excel file from Blob Storage, loads into pandas DataFrames</w:t>
      </w:r>
    </w:p>
    <w:p>
      <w:pPr>
        <w:pStyle w:val="ListNumber"/>
        <w:spacing w:after="40"/>
      </w:pPr>
      <w:r>
        <w:t>Data preprocessing: column renaming, KPI mapping, unit filtering, derived metric calculations</w:t>
      </w:r>
    </w:p>
    <w:p>
      <w:pPr>
        <w:pStyle w:val="ListNumber"/>
        <w:spacing w:after="40"/>
      </w:pPr>
      <w:r>
        <w:t>Data converted to structured Markdown tables</w:t>
      </w:r>
    </w:p>
    <w:p>
      <w:pPr>
        <w:pStyle w:val="ListNumber"/>
        <w:spacing w:after="40"/>
      </w:pPr>
      <w:r>
        <w:t>Six parallel LLM calls (one per KPI) via LangGraph, each with tailored prompt</w:t>
      </w:r>
    </w:p>
    <w:p>
      <w:pPr>
        <w:pStyle w:val="ListNumber"/>
        <w:spacing w:after="40"/>
      </w:pPr>
      <w:r>
        <w:t>Trend analysis: multi-period data loaded, trend taglines generated</w:t>
      </w:r>
    </w:p>
    <w:p>
      <w:pPr>
        <w:pStyle w:val="ListNumber"/>
        <w:spacing w:after="40"/>
      </w:pPr>
      <w:r>
        <w:t>Six KPI narratives + trend taglines combined into unified Executive Summary</w:t>
      </w:r>
    </w:p>
    <w:p>
      <w:pPr>
        <w:pStyle w:val="ListNumber"/>
        <w:spacing w:after="40"/>
      </w:pPr>
      <w:r>
        <w:t>HTML KPI tables appended for data verification</w:t>
      </w:r>
    </w:p>
    <w:p>
      <w:pPr>
        <w:pStyle w:val="ListNumber"/>
        <w:spacing w:after="40"/>
      </w:pPr>
      <w:r>
        <w:t>Result cached in Redis (JSON) and streamed to frontend via SSE</w:t>
      </w:r>
    </w:p>
    <w:p>
      <w:pPr>
        <w:spacing w:after="120"/>
      </w:pPr>
      <w:r>
        <w:rPr>
          <w:b/>
        </w:rPr>
        <w:t>Flow 2: Ad-Hoc Query with Forecast Enrichment</w:t>
      </w:r>
    </w:p>
    <w:p>
      <w:pPr>
        <w:pStyle w:val="ListNumber"/>
        <w:spacing w:after="40"/>
      </w:pPr>
      <w:r>
        <w:t>User submits natural language query via chat interface</w:t>
      </w:r>
    </w:p>
    <w:p>
      <w:pPr>
        <w:pStyle w:val="ListNumber"/>
        <w:spacing w:after="40"/>
      </w:pPr>
      <w:r>
        <w:t>Query intent classifier determines type: factual, comparison, trend, recommendation</w:t>
      </w:r>
    </w:p>
    <w:p>
      <w:pPr>
        <w:pStyle w:val="ListNumber"/>
        <w:spacing w:after="40"/>
      </w:pPr>
      <w:r>
        <w:t>For factual/comparison: relevant data retrieved from SQL (internal) and/or AI Search (external)</w:t>
      </w:r>
    </w:p>
    <w:p>
      <w:pPr>
        <w:pStyle w:val="ListNumber"/>
        <w:spacing w:after="40"/>
      </w:pPr>
      <w:r>
        <w:t>LLM generates structured answer with source references</w:t>
      </w:r>
    </w:p>
    <w:p>
      <w:pPr>
        <w:pStyle w:val="ListNumber"/>
        <w:spacing w:after="40"/>
      </w:pPr>
      <w:r>
        <w:t>If forecast enrichment enabled: Amira Forecasting API called with relevant parameters</w:t>
      </w:r>
    </w:p>
    <w:p>
      <w:pPr>
        <w:pStyle w:val="ListNumber"/>
        <w:spacing w:after="40"/>
      </w:pPr>
      <w:r>
        <w:t>If marketing data relevant: Amira Marketing Analytics API called</w:t>
      </w:r>
    </w:p>
    <w:p>
      <w:pPr>
        <w:pStyle w:val="ListNumber"/>
        <w:spacing w:after="40"/>
      </w:pPr>
      <w:r>
        <w:t>Combined response with historical data + forecast + marketing insights returned</w:t>
      </w:r>
    </w:p>
    <w:p>
      <w:pPr>
        <w:pStyle w:val="ListNumber"/>
        <w:spacing w:after="40"/>
      </w:pPr>
      <w:r>
        <w:t>Sources, confidence levels, and data freshness indicators displayed</w:t>
      </w:r>
    </w:p>
    <w:p>
      <w:pPr>
        <w:spacing w:after="120"/>
      </w:pPr>
      <w:r>
        <w:rPr>
          <w:b/>
        </w:rPr>
        <w:t>Flow 3: Agent Job Processing</w:t>
      </w:r>
    </w:p>
    <w:p>
      <w:pPr>
        <w:pStyle w:val="ListNumber"/>
        <w:spacing w:after="40"/>
      </w:pPr>
      <w:r>
        <w:t>User submits job via UI, email, or API with priority and deadline</w:t>
      </w:r>
    </w:p>
    <w:p>
      <w:pPr>
        <w:pStyle w:val="ListNumber"/>
        <w:spacing w:after="40"/>
      </w:pPr>
      <w:r>
        <w:t>Job enters Azure Service Bus queue with metadata (type, priority, SLA target)</w:t>
      </w:r>
    </w:p>
    <w:p>
      <w:pPr>
        <w:pStyle w:val="ListNumber"/>
        <w:spacing w:after="40"/>
      </w:pPr>
      <w:r>
        <w:t>Scheduler assigns job to appropriate specialized agent based on query type</w:t>
      </w:r>
    </w:p>
    <w:p>
      <w:pPr>
        <w:pStyle w:val="ListNumber"/>
        <w:spacing w:after="40"/>
      </w:pPr>
      <w:r>
        <w:t>Agent retrieves relevant data, executes analysis, generates draft output</w:t>
      </w:r>
    </w:p>
    <w:p>
      <w:pPr>
        <w:pStyle w:val="ListNumber"/>
        <w:spacing w:after="40"/>
      </w:pPr>
      <w:r>
        <w:t>If review workflow enabled: draft routed to designated reviewer</w:t>
      </w:r>
    </w:p>
    <w:p>
      <w:pPr>
        <w:pStyle w:val="ListNumber"/>
        <w:spacing w:after="40"/>
      </w:pPr>
      <w:r>
        <w:t>Completed job stored in database, notification sent to requestor</w:t>
      </w:r>
    </w:p>
    <w:p>
      <w:pPr>
        <w:pStyle w:val="ListNumber"/>
        <w:spacing w:after="40"/>
      </w:pPr>
      <w:r>
        <w:t>Job metrics updated (processing time, SLA compliance, agent utilization)</w:t>
      </w:r>
    </w:p>
    <w:p>
      <w:r>
        <w:br w:type="page"/>
      </w:r>
    </w:p>
    <w:p>
      <w:pPr>
        <w:pStyle w:val="Heading1"/>
      </w:pPr>
      <w:r>
        <w:t>8. Data Model</w:t>
      </w:r>
    </w:p>
    <w:p>
      <w:pPr>
        <w:pStyle w:val="Heading2"/>
      </w:pPr>
      <w:r>
        <w:t>8.1 Core Entities</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20"/>
        <w:gridCol w:w="3120"/>
        <w:gridCol w:w="3120"/>
      </w:tblGrid>
      <w:tr>
        <w:tc>
          <w:tcPr>
            <w:tcW w:type="dxa" w:w="2160"/>
            <w:shd w:fill="1A56DB"/>
          </w:tcPr>
          <w:p>
            <w:r/>
            <w:r>
              <w:rPr>
                <w:rFonts w:ascii="Calibri" w:hAnsi="Calibri"/>
                <w:b/>
                <w:color w:val="FFFFFF"/>
                <w:sz w:val="20"/>
              </w:rPr>
              <w:t>Entity</w:t>
            </w:r>
          </w:p>
        </w:tc>
        <w:tc>
          <w:tcPr>
            <w:tcW w:type="dxa" w:w="2880"/>
            <w:shd w:fill="1A56DB"/>
          </w:tcPr>
          <w:p>
            <w:r/>
            <w:r>
              <w:rPr>
                <w:rFonts w:ascii="Calibri" w:hAnsi="Calibri"/>
                <w:b/>
                <w:color w:val="FFFFFF"/>
                <w:sz w:val="20"/>
              </w:rPr>
              <w:t>Description</w:t>
            </w:r>
          </w:p>
        </w:tc>
        <w:tc>
          <w:tcPr>
            <w:tcW w:type="dxa" w:w="4320"/>
            <w:shd w:fill="1A56DB"/>
          </w:tcPr>
          <w:p>
            <w:r/>
            <w:r>
              <w:rPr>
                <w:rFonts w:ascii="Calibri" w:hAnsi="Calibri"/>
                <w:b/>
                <w:color w:val="FFFFFF"/>
                <w:sz w:val="20"/>
              </w:rPr>
              <w:t>Key Attributes</w:t>
            </w:r>
          </w:p>
        </w:tc>
      </w:tr>
      <w:tr>
        <w:tc>
          <w:tcPr>
            <w:tcW w:type="dxa" w:w="2160"/>
          </w:tcPr>
          <w:p>
            <w:r/>
            <w:r>
              <w:rPr>
                <w:rFonts w:ascii="Calibri" w:hAnsi="Calibri"/>
                <w:color w:val="333333"/>
                <w:sz w:val="18"/>
              </w:rPr>
              <w:t>OrganizationalUnit</w:t>
            </w:r>
          </w:p>
        </w:tc>
        <w:tc>
          <w:tcPr>
            <w:tcW w:type="dxa" w:w="2880"/>
          </w:tcPr>
          <w:p>
            <w:r/>
            <w:r>
              <w:rPr>
                <w:rFonts w:ascii="Calibri" w:hAnsi="Calibri"/>
                <w:color w:val="333333"/>
                <w:sz w:val="18"/>
              </w:rPr>
              <w:t>Mars hierarchy node (company, GBU, division, region)</w:t>
            </w:r>
          </w:p>
        </w:tc>
        <w:tc>
          <w:tcPr>
            <w:tcW w:type="dxa" w:w="4320"/>
          </w:tcPr>
          <w:p>
            <w:r/>
            <w:r>
              <w:rPr>
                <w:rFonts w:ascii="Calibri" w:hAnsi="Calibri"/>
                <w:color w:val="333333"/>
                <w:sz w:val="18"/>
              </w:rPr>
              <w:t>unit_id, name, parent_id, level, is_active</w:t>
            </w:r>
          </w:p>
        </w:tc>
      </w:tr>
      <w:tr>
        <w:tc>
          <w:tcPr>
            <w:tcW w:type="dxa" w:w="2160"/>
            <w:shd w:fill="F2F6FC"/>
          </w:tcPr>
          <w:p>
            <w:r/>
            <w:r>
              <w:rPr>
                <w:rFonts w:ascii="Calibri" w:hAnsi="Calibri"/>
                <w:color w:val="333333"/>
                <w:sz w:val="18"/>
              </w:rPr>
              <w:t>FinancialPeriod</w:t>
            </w:r>
          </w:p>
        </w:tc>
        <w:tc>
          <w:tcPr>
            <w:tcW w:type="dxa" w:w="2880"/>
            <w:shd w:fill="F2F6FC"/>
          </w:tcPr>
          <w:p>
            <w:r/>
            <w:r>
              <w:rPr>
                <w:rFonts w:ascii="Calibri" w:hAnsi="Calibri"/>
                <w:color w:val="333333"/>
                <w:sz w:val="18"/>
              </w:rPr>
              <w:t>Reporting period</w:t>
            </w:r>
          </w:p>
        </w:tc>
        <w:tc>
          <w:tcPr>
            <w:tcW w:type="dxa" w:w="4320"/>
            <w:shd w:fill="F2F6FC"/>
          </w:tcPr>
          <w:p>
            <w:r/>
            <w:r>
              <w:rPr>
                <w:rFonts w:ascii="Calibri" w:hAnsi="Calibri"/>
                <w:color w:val="333333"/>
                <w:sz w:val="18"/>
              </w:rPr>
              <w:t>period_id, year, period_number, start_date, end_date, type (monthly/quarterly)</w:t>
            </w:r>
          </w:p>
        </w:tc>
      </w:tr>
      <w:tr>
        <w:tc>
          <w:tcPr>
            <w:tcW w:type="dxa" w:w="2160"/>
          </w:tcPr>
          <w:p>
            <w:r/>
            <w:r>
              <w:rPr>
                <w:rFonts w:ascii="Calibri" w:hAnsi="Calibri"/>
                <w:color w:val="333333"/>
                <w:sz w:val="18"/>
              </w:rPr>
              <w:t>KPIDefinition</w:t>
            </w:r>
          </w:p>
        </w:tc>
        <w:tc>
          <w:tcPr>
            <w:tcW w:type="dxa" w:w="2880"/>
          </w:tcPr>
          <w:p>
            <w:r/>
            <w:r>
              <w:rPr>
                <w:rFonts w:ascii="Calibri" w:hAnsi="Calibri"/>
                <w:color w:val="333333"/>
                <w:sz w:val="18"/>
              </w:rPr>
              <w:t>Configurable KPI specification</w:t>
            </w:r>
          </w:p>
        </w:tc>
        <w:tc>
          <w:tcPr>
            <w:tcW w:type="dxa" w:w="4320"/>
          </w:tcPr>
          <w:p>
            <w:r/>
            <w:r>
              <w:rPr>
                <w:rFonts w:ascii="Calibri" w:hAnsi="Calibri"/>
                <w:color w:val="333333"/>
                <w:sz w:val="18"/>
              </w:rPr>
              <w:t>kpi_id, name, formula, data_sources, prompt_template_id, thresholds</w:t>
            </w:r>
          </w:p>
        </w:tc>
      </w:tr>
      <w:tr>
        <w:tc>
          <w:tcPr>
            <w:tcW w:type="dxa" w:w="2160"/>
            <w:shd w:fill="F2F6FC"/>
          </w:tcPr>
          <w:p>
            <w:r/>
            <w:r>
              <w:rPr>
                <w:rFonts w:ascii="Calibri" w:hAnsi="Calibri"/>
                <w:color w:val="333333"/>
                <w:sz w:val="18"/>
              </w:rPr>
              <w:t>FinancialFact</w:t>
            </w:r>
          </w:p>
        </w:tc>
        <w:tc>
          <w:tcPr>
            <w:tcW w:type="dxa" w:w="2880"/>
            <w:shd w:fill="F2F6FC"/>
          </w:tcPr>
          <w:p>
            <w:r/>
            <w:r>
              <w:rPr>
                <w:rFonts w:ascii="Calibri" w:hAnsi="Calibri"/>
                <w:color w:val="333333"/>
                <w:sz w:val="18"/>
              </w:rPr>
              <w:t>Single financial data point</w:t>
            </w:r>
          </w:p>
        </w:tc>
        <w:tc>
          <w:tcPr>
            <w:tcW w:type="dxa" w:w="4320"/>
            <w:shd w:fill="F2F6FC"/>
          </w:tcPr>
          <w:p>
            <w:r/>
            <w:r>
              <w:rPr>
                <w:rFonts w:ascii="Calibri" w:hAnsi="Calibri"/>
                <w:color w:val="333333"/>
                <w:sz w:val="18"/>
              </w:rPr>
              <w:t>fact_id, unit_id, period_id, kpi_id, value, currency, source_file</w:t>
            </w:r>
          </w:p>
        </w:tc>
      </w:tr>
      <w:tr>
        <w:tc>
          <w:tcPr>
            <w:tcW w:type="dxa" w:w="2160"/>
          </w:tcPr>
          <w:p>
            <w:r/>
            <w:r>
              <w:rPr>
                <w:rFonts w:ascii="Calibri" w:hAnsi="Calibri"/>
                <w:color w:val="333333"/>
                <w:sz w:val="18"/>
              </w:rPr>
              <w:t>CompetitorCompany</w:t>
            </w:r>
          </w:p>
        </w:tc>
        <w:tc>
          <w:tcPr>
            <w:tcW w:type="dxa" w:w="2880"/>
          </w:tcPr>
          <w:p>
            <w:r/>
            <w:r>
              <w:rPr>
                <w:rFonts w:ascii="Calibri" w:hAnsi="Calibri"/>
                <w:color w:val="333333"/>
                <w:sz w:val="18"/>
              </w:rPr>
              <w:t>Tracked competitor</w:t>
            </w:r>
          </w:p>
        </w:tc>
        <w:tc>
          <w:tcPr>
            <w:tcW w:type="dxa" w:w="4320"/>
          </w:tcPr>
          <w:p>
            <w:r/>
            <w:r>
              <w:rPr>
                <w:rFonts w:ascii="Calibri" w:hAnsi="Calibri"/>
                <w:color w:val="333333"/>
                <w:sz w:val="18"/>
              </w:rPr>
              <w:t>company_id, name, ticker, peer_groups, is_active</w:t>
            </w:r>
          </w:p>
        </w:tc>
      </w:tr>
      <w:tr>
        <w:tc>
          <w:tcPr>
            <w:tcW w:type="dxa" w:w="2160"/>
            <w:shd w:fill="F2F6FC"/>
          </w:tcPr>
          <w:p>
            <w:r/>
            <w:r>
              <w:rPr>
                <w:rFonts w:ascii="Calibri" w:hAnsi="Calibri"/>
                <w:color w:val="333333"/>
                <w:sz w:val="18"/>
              </w:rPr>
              <w:t>CompetitorDocument</w:t>
            </w:r>
          </w:p>
        </w:tc>
        <w:tc>
          <w:tcPr>
            <w:tcW w:type="dxa" w:w="2880"/>
            <w:shd w:fill="F2F6FC"/>
          </w:tcPr>
          <w:p>
            <w:r/>
            <w:r>
              <w:rPr>
                <w:rFonts w:ascii="Calibri" w:hAnsi="Calibri"/>
                <w:color w:val="333333"/>
                <w:sz w:val="18"/>
              </w:rPr>
              <w:t>Ingested competitor filing</w:t>
            </w:r>
          </w:p>
        </w:tc>
        <w:tc>
          <w:tcPr>
            <w:tcW w:type="dxa" w:w="4320"/>
            <w:shd w:fill="F2F6FC"/>
          </w:tcPr>
          <w:p>
            <w:r/>
            <w:r>
              <w:rPr>
                <w:rFonts w:ascii="Calibri" w:hAnsi="Calibri"/>
                <w:color w:val="333333"/>
                <w:sz w:val="18"/>
              </w:rPr>
              <w:t>doc_id, company_id, period_id, doc_type, file_path, ingestion_status</w:t>
            </w:r>
          </w:p>
        </w:tc>
      </w:tr>
      <w:tr>
        <w:tc>
          <w:tcPr>
            <w:tcW w:type="dxa" w:w="2160"/>
          </w:tcPr>
          <w:p>
            <w:r/>
            <w:r>
              <w:rPr>
                <w:rFonts w:ascii="Calibri" w:hAnsi="Calibri"/>
                <w:color w:val="333333"/>
                <w:sz w:val="18"/>
              </w:rPr>
              <w:t>DocumentChunk</w:t>
            </w:r>
          </w:p>
        </w:tc>
        <w:tc>
          <w:tcPr>
            <w:tcW w:type="dxa" w:w="2880"/>
          </w:tcPr>
          <w:p>
            <w:r/>
            <w:r>
              <w:rPr>
                <w:rFonts w:ascii="Calibri" w:hAnsi="Calibri"/>
                <w:color w:val="333333"/>
                <w:sz w:val="18"/>
              </w:rPr>
              <w:t>Embedded document fragment</w:t>
            </w:r>
          </w:p>
        </w:tc>
        <w:tc>
          <w:tcPr>
            <w:tcW w:type="dxa" w:w="4320"/>
          </w:tcPr>
          <w:p>
            <w:r/>
            <w:r>
              <w:rPr>
                <w:rFonts w:ascii="Calibri" w:hAnsi="Calibri"/>
                <w:color w:val="333333"/>
                <w:sz w:val="18"/>
              </w:rPr>
              <w:t>chunk_id, doc_id, text, embedding_vector, section_title, page_number</w:t>
            </w:r>
          </w:p>
        </w:tc>
      </w:tr>
      <w:tr>
        <w:tc>
          <w:tcPr>
            <w:tcW w:type="dxa" w:w="2160"/>
            <w:shd w:fill="F2F6FC"/>
          </w:tcPr>
          <w:p>
            <w:r/>
            <w:r>
              <w:rPr>
                <w:rFonts w:ascii="Calibri" w:hAnsi="Calibri"/>
                <w:color w:val="333333"/>
                <w:sz w:val="18"/>
              </w:rPr>
              <w:t>GeneratedReport</w:t>
            </w:r>
          </w:p>
        </w:tc>
        <w:tc>
          <w:tcPr>
            <w:tcW w:type="dxa" w:w="2880"/>
            <w:shd w:fill="F2F6FC"/>
          </w:tcPr>
          <w:p>
            <w:r/>
            <w:r>
              <w:rPr>
                <w:rFonts w:ascii="Calibri" w:hAnsi="Calibri"/>
                <w:color w:val="333333"/>
                <w:sz w:val="18"/>
              </w:rPr>
              <w:t>Cached AI-generated output</w:t>
            </w:r>
          </w:p>
        </w:tc>
        <w:tc>
          <w:tcPr>
            <w:tcW w:type="dxa" w:w="4320"/>
            <w:shd w:fill="F2F6FC"/>
          </w:tcPr>
          <w:p>
            <w:r/>
            <w:r>
              <w:rPr>
                <w:rFonts w:ascii="Calibri" w:hAnsi="Calibri"/>
                <w:color w:val="333333"/>
                <w:sz w:val="18"/>
              </w:rPr>
              <w:t>report_id, unit_id, period_id, format, kpi_summaries (JSON), created_at</w:t>
            </w:r>
          </w:p>
        </w:tc>
      </w:tr>
      <w:tr>
        <w:tc>
          <w:tcPr>
            <w:tcW w:type="dxa" w:w="2160"/>
          </w:tcPr>
          <w:p>
            <w:r/>
            <w:r>
              <w:rPr>
                <w:rFonts w:ascii="Calibri" w:hAnsi="Calibri"/>
                <w:color w:val="333333"/>
                <w:sz w:val="18"/>
              </w:rPr>
              <w:t>Job</w:t>
            </w:r>
          </w:p>
        </w:tc>
        <w:tc>
          <w:tcPr>
            <w:tcW w:type="dxa" w:w="2880"/>
          </w:tcPr>
          <w:p>
            <w:r/>
            <w:r>
              <w:rPr>
                <w:rFonts w:ascii="Calibri" w:hAnsi="Calibri"/>
                <w:color w:val="333333"/>
                <w:sz w:val="18"/>
              </w:rPr>
              <w:t>Agent queue work item</w:t>
            </w:r>
          </w:p>
        </w:tc>
        <w:tc>
          <w:tcPr>
            <w:tcW w:type="dxa" w:w="4320"/>
          </w:tcPr>
          <w:p>
            <w:r/>
            <w:r>
              <w:rPr>
                <w:rFonts w:ascii="Calibri" w:hAnsi="Calibri"/>
                <w:color w:val="333333"/>
                <w:sz w:val="18"/>
              </w:rPr>
              <w:t>job_id, user_id, query, priority, status, agent_type, sla_target, result</w:t>
            </w:r>
          </w:p>
        </w:tc>
      </w:tr>
      <w:tr>
        <w:tc>
          <w:tcPr>
            <w:tcW w:type="dxa" w:w="2160"/>
            <w:shd w:fill="F2F6FC"/>
          </w:tcPr>
          <w:p>
            <w:r/>
            <w:r>
              <w:rPr>
                <w:rFonts w:ascii="Calibri" w:hAnsi="Calibri"/>
                <w:color w:val="333333"/>
                <w:sz w:val="18"/>
              </w:rPr>
              <w:t>Agent</w:t>
            </w:r>
          </w:p>
        </w:tc>
        <w:tc>
          <w:tcPr>
            <w:tcW w:type="dxa" w:w="2880"/>
            <w:shd w:fill="F2F6FC"/>
          </w:tcPr>
          <w:p>
            <w:r/>
            <w:r>
              <w:rPr>
                <w:rFonts w:ascii="Calibri" w:hAnsi="Calibri"/>
                <w:color w:val="333333"/>
                <w:sz w:val="18"/>
              </w:rPr>
              <w:t>AI agent instance</w:t>
            </w:r>
          </w:p>
        </w:tc>
        <w:tc>
          <w:tcPr>
            <w:tcW w:type="dxa" w:w="4320"/>
            <w:shd w:fill="F2F6FC"/>
          </w:tcPr>
          <w:p>
            <w:r/>
            <w:r>
              <w:rPr>
                <w:rFonts w:ascii="Calibri" w:hAnsi="Calibri"/>
                <w:color w:val="333333"/>
                <w:sz w:val="18"/>
              </w:rPr>
              <w:t>agent_id, type, status, current_job_id, jobs_completed, avg_processing_time</w:t>
            </w:r>
          </w:p>
        </w:tc>
      </w:tr>
      <w:tr>
        <w:tc>
          <w:tcPr>
            <w:tcW w:type="dxa" w:w="2160"/>
          </w:tcPr>
          <w:p>
            <w:r/>
            <w:r>
              <w:rPr>
                <w:rFonts w:ascii="Calibri" w:hAnsi="Calibri"/>
                <w:color w:val="333333"/>
                <w:sz w:val="18"/>
              </w:rPr>
              <w:t>PeerGroup</w:t>
            </w:r>
          </w:p>
        </w:tc>
        <w:tc>
          <w:tcPr>
            <w:tcW w:type="dxa" w:w="2880"/>
          </w:tcPr>
          <w:p>
            <w:r/>
            <w:r>
              <w:rPr>
                <w:rFonts w:ascii="Calibri" w:hAnsi="Calibri"/>
                <w:color w:val="333333"/>
                <w:sz w:val="18"/>
              </w:rPr>
              <w:t>Competitor benchmarking group</w:t>
            </w:r>
          </w:p>
        </w:tc>
        <w:tc>
          <w:tcPr>
            <w:tcW w:type="dxa" w:w="4320"/>
          </w:tcPr>
          <w:p>
            <w:r/>
            <w:r>
              <w:rPr>
                <w:rFonts w:ascii="Calibri" w:hAnsi="Calibri"/>
                <w:color w:val="333333"/>
                <w:sz w:val="18"/>
              </w:rPr>
              <w:t>group_id, segment_name, companies[], metrics[], is_active</w:t>
            </w:r>
          </w:p>
        </w:tc>
      </w:tr>
      <w:tr>
        <w:tc>
          <w:tcPr>
            <w:tcW w:type="dxa" w:w="2160"/>
            <w:shd w:fill="F2F6FC"/>
          </w:tcPr>
          <w:p>
            <w:r/>
            <w:r>
              <w:rPr>
                <w:rFonts w:ascii="Calibri" w:hAnsi="Calibri"/>
                <w:color w:val="333333"/>
                <w:sz w:val="18"/>
              </w:rPr>
              <w:t>PromptTemplate</w:t>
            </w:r>
          </w:p>
        </w:tc>
        <w:tc>
          <w:tcPr>
            <w:tcW w:type="dxa" w:w="2880"/>
            <w:shd w:fill="F2F6FC"/>
          </w:tcPr>
          <w:p>
            <w:r/>
            <w:r>
              <w:rPr>
                <w:rFonts w:ascii="Calibri" w:hAnsi="Calibri"/>
                <w:color w:val="333333"/>
                <w:sz w:val="18"/>
              </w:rPr>
              <w:t>Versioned LLM prompt</w:t>
            </w:r>
          </w:p>
        </w:tc>
        <w:tc>
          <w:tcPr>
            <w:tcW w:type="dxa" w:w="4320"/>
            <w:shd w:fill="F2F6FC"/>
          </w:tcPr>
          <w:p>
            <w:r/>
            <w:r>
              <w:rPr>
                <w:rFonts w:ascii="Calibri" w:hAnsi="Calibri"/>
                <w:color w:val="333333"/>
                <w:sz w:val="18"/>
              </w:rPr>
              <w:t>template_id, name, version, system_msg, user_msg_template, variables</w:t>
            </w:r>
          </w:p>
        </w:tc>
      </w:tr>
      <w:tr>
        <w:tc>
          <w:tcPr>
            <w:tcW w:type="dxa" w:w="2160"/>
          </w:tcPr>
          <w:p>
            <w:r/>
            <w:r>
              <w:rPr>
                <w:rFonts w:ascii="Calibri" w:hAnsi="Calibri"/>
                <w:color w:val="333333"/>
                <w:sz w:val="18"/>
              </w:rPr>
              <w:t>AuditLog</w:t>
            </w:r>
          </w:p>
        </w:tc>
        <w:tc>
          <w:tcPr>
            <w:tcW w:type="dxa" w:w="2880"/>
          </w:tcPr>
          <w:p>
            <w:r/>
            <w:r>
              <w:rPr>
                <w:rFonts w:ascii="Calibri" w:hAnsi="Calibri"/>
                <w:color w:val="333333"/>
                <w:sz w:val="18"/>
              </w:rPr>
              <w:t>System activity record</w:t>
            </w:r>
          </w:p>
        </w:tc>
        <w:tc>
          <w:tcPr>
            <w:tcW w:type="dxa" w:w="4320"/>
          </w:tcPr>
          <w:p>
            <w:r/>
            <w:r>
              <w:rPr>
                <w:rFonts w:ascii="Calibri" w:hAnsi="Calibri"/>
                <w:color w:val="333333"/>
                <w:sz w:val="18"/>
              </w:rPr>
              <w:t>log_id, user_id, action, entity_type, entity_id, timestamp, details</w:t>
            </w:r>
          </w:p>
        </w:tc>
      </w:tr>
    </w:tbl>
    <w:p/>
    <w:p>
      <w:pPr>
        <w:pStyle w:val="Heading2"/>
      </w:pPr>
      <w:r>
        <w:t>8.2 Data Classification</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340"/>
        <w:gridCol w:w="2340"/>
        <w:gridCol w:w="2340"/>
        <w:gridCol w:w="2340"/>
      </w:tblGrid>
      <w:tr>
        <w:tc>
          <w:tcPr>
            <w:tcW w:type="dxa" w:w="2592"/>
            <w:shd w:fill="1A56DB"/>
          </w:tcPr>
          <w:p>
            <w:r/>
            <w:r>
              <w:rPr>
                <w:rFonts w:ascii="Calibri" w:hAnsi="Calibri"/>
                <w:b/>
                <w:color w:val="FFFFFF"/>
                <w:sz w:val="20"/>
              </w:rPr>
              <w:t>Data Category</w:t>
            </w:r>
          </w:p>
        </w:tc>
        <w:tc>
          <w:tcPr>
            <w:tcW w:type="dxa" w:w="1872"/>
            <w:shd w:fill="1A56DB"/>
          </w:tcPr>
          <w:p>
            <w:r/>
            <w:r>
              <w:rPr>
                <w:rFonts w:ascii="Calibri" w:hAnsi="Calibri"/>
                <w:b/>
                <w:color w:val="FFFFFF"/>
                <w:sz w:val="20"/>
              </w:rPr>
              <w:t>Classification</w:t>
            </w:r>
          </w:p>
        </w:tc>
        <w:tc>
          <w:tcPr>
            <w:tcW w:type="dxa" w:w="2880"/>
            <w:shd w:fill="1A56DB"/>
          </w:tcPr>
          <w:p>
            <w:r/>
            <w:r>
              <w:rPr>
                <w:rFonts w:ascii="Calibri" w:hAnsi="Calibri"/>
                <w:b/>
                <w:color w:val="FFFFFF"/>
                <w:sz w:val="20"/>
              </w:rPr>
              <w:t>Access Control</w:t>
            </w:r>
          </w:p>
        </w:tc>
        <w:tc>
          <w:tcPr>
            <w:tcW w:type="dxa" w:w="2016"/>
            <w:shd w:fill="1A56DB"/>
          </w:tcPr>
          <w:p>
            <w:r/>
            <w:r>
              <w:rPr>
                <w:rFonts w:ascii="Calibri" w:hAnsi="Calibri"/>
                <w:b/>
                <w:color w:val="FFFFFF"/>
                <w:sz w:val="20"/>
              </w:rPr>
              <w:t>Retention</w:t>
            </w:r>
          </w:p>
        </w:tc>
      </w:tr>
      <w:tr>
        <w:tc>
          <w:tcPr>
            <w:tcW w:type="dxa" w:w="2592"/>
          </w:tcPr>
          <w:p>
            <w:r/>
            <w:r>
              <w:rPr>
                <w:rFonts w:ascii="Calibri" w:hAnsi="Calibri"/>
                <w:color w:val="333333"/>
                <w:sz w:val="18"/>
              </w:rPr>
              <w:t>Internal P&amp;L data</w:t>
            </w:r>
          </w:p>
        </w:tc>
        <w:tc>
          <w:tcPr>
            <w:tcW w:type="dxa" w:w="1872"/>
          </w:tcPr>
          <w:p>
            <w:r/>
            <w:r>
              <w:rPr>
                <w:rFonts w:ascii="Calibri" w:hAnsi="Calibri"/>
                <w:color w:val="333333"/>
                <w:sz w:val="18"/>
              </w:rPr>
              <w:t>Restricted</w:t>
            </w:r>
          </w:p>
        </w:tc>
        <w:tc>
          <w:tcPr>
            <w:tcW w:type="dxa" w:w="2880"/>
          </w:tcPr>
          <w:p>
            <w:r/>
            <w:r>
              <w:rPr>
                <w:rFonts w:ascii="Calibri" w:hAnsi="Calibri"/>
                <w:color w:val="333333"/>
                <w:sz w:val="18"/>
              </w:rPr>
              <w:t>RBAC by organizational unit</w:t>
            </w:r>
          </w:p>
        </w:tc>
        <w:tc>
          <w:tcPr>
            <w:tcW w:type="dxa" w:w="2016"/>
          </w:tcPr>
          <w:p>
            <w:r/>
            <w:r>
              <w:rPr>
                <w:rFonts w:ascii="Calibri" w:hAnsi="Calibri"/>
                <w:color w:val="333333"/>
                <w:sz w:val="18"/>
              </w:rPr>
              <w:t>7 years</w:t>
            </w:r>
          </w:p>
        </w:tc>
      </w:tr>
      <w:tr>
        <w:tc>
          <w:tcPr>
            <w:tcW w:type="dxa" w:w="2592"/>
            <w:shd w:fill="F2F6FC"/>
          </w:tcPr>
          <w:p>
            <w:r/>
            <w:r>
              <w:rPr>
                <w:rFonts w:ascii="Calibri" w:hAnsi="Calibri"/>
                <w:color w:val="333333"/>
                <w:sz w:val="18"/>
              </w:rPr>
              <w:t>Brand/Product performance</w:t>
            </w:r>
          </w:p>
        </w:tc>
        <w:tc>
          <w:tcPr>
            <w:tcW w:type="dxa" w:w="1872"/>
            <w:shd w:fill="F2F6FC"/>
          </w:tcPr>
          <w:p>
            <w:r/>
            <w:r>
              <w:rPr>
                <w:rFonts w:ascii="Calibri" w:hAnsi="Calibri"/>
                <w:color w:val="333333"/>
                <w:sz w:val="18"/>
              </w:rPr>
              <w:t>Confidential</w:t>
            </w:r>
          </w:p>
        </w:tc>
        <w:tc>
          <w:tcPr>
            <w:tcW w:type="dxa" w:w="2880"/>
            <w:shd w:fill="F2F6FC"/>
          </w:tcPr>
          <w:p>
            <w:r/>
            <w:r>
              <w:rPr>
                <w:rFonts w:ascii="Calibri" w:hAnsi="Calibri"/>
                <w:color w:val="333333"/>
                <w:sz w:val="18"/>
              </w:rPr>
              <w:t>RBAC by GBU</w:t>
            </w:r>
          </w:p>
        </w:tc>
        <w:tc>
          <w:tcPr>
            <w:tcW w:type="dxa" w:w="2016"/>
            <w:shd w:fill="F2F6FC"/>
          </w:tcPr>
          <w:p>
            <w:r/>
            <w:r>
              <w:rPr>
                <w:rFonts w:ascii="Calibri" w:hAnsi="Calibri"/>
                <w:color w:val="333333"/>
                <w:sz w:val="18"/>
              </w:rPr>
              <w:t>7 years</w:t>
            </w:r>
          </w:p>
        </w:tc>
      </w:tr>
      <w:tr>
        <w:tc>
          <w:tcPr>
            <w:tcW w:type="dxa" w:w="2592"/>
          </w:tcPr>
          <w:p>
            <w:r/>
            <w:r>
              <w:rPr>
                <w:rFonts w:ascii="Calibri" w:hAnsi="Calibri"/>
                <w:color w:val="333333"/>
                <w:sz w:val="18"/>
              </w:rPr>
              <w:t>Competitor public filings</w:t>
            </w:r>
          </w:p>
        </w:tc>
        <w:tc>
          <w:tcPr>
            <w:tcW w:type="dxa" w:w="1872"/>
          </w:tcPr>
          <w:p>
            <w:r/>
            <w:r>
              <w:rPr>
                <w:rFonts w:ascii="Calibri" w:hAnsi="Calibri"/>
                <w:color w:val="333333"/>
                <w:sz w:val="18"/>
              </w:rPr>
              <w:t>Internal</w:t>
            </w:r>
          </w:p>
        </w:tc>
        <w:tc>
          <w:tcPr>
            <w:tcW w:type="dxa" w:w="2880"/>
          </w:tcPr>
          <w:p>
            <w:r/>
            <w:r>
              <w:rPr>
                <w:rFonts w:ascii="Calibri" w:hAnsi="Calibri"/>
                <w:color w:val="333333"/>
                <w:sz w:val="18"/>
              </w:rPr>
              <w:t>All authenticated users</w:t>
            </w:r>
          </w:p>
        </w:tc>
        <w:tc>
          <w:tcPr>
            <w:tcW w:type="dxa" w:w="2016"/>
          </w:tcPr>
          <w:p>
            <w:r/>
            <w:r>
              <w:rPr>
                <w:rFonts w:ascii="Calibri" w:hAnsi="Calibri"/>
                <w:color w:val="333333"/>
                <w:sz w:val="18"/>
              </w:rPr>
              <w:t>Indefinite</w:t>
            </w:r>
          </w:p>
        </w:tc>
      </w:tr>
      <w:tr>
        <w:tc>
          <w:tcPr>
            <w:tcW w:type="dxa" w:w="2592"/>
            <w:shd w:fill="F2F6FC"/>
          </w:tcPr>
          <w:p>
            <w:r/>
            <w:r>
              <w:rPr>
                <w:rFonts w:ascii="Calibri" w:hAnsi="Calibri"/>
                <w:color w:val="333333"/>
                <w:sz w:val="18"/>
              </w:rPr>
              <w:t>Acquired research</w:t>
            </w:r>
          </w:p>
        </w:tc>
        <w:tc>
          <w:tcPr>
            <w:tcW w:type="dxa" w:w="1872"/>
            <w:shd w:fill="F2F6FC"/>
          </w:tcPr>
          <w:p>
            <w:r/>
            <w:r>
              <w:rPr>
                <w:rFonts w:ascii="Calibri" w:hAnsi="Calibri"/>
                <w:color w:val="333333"/>
                <w:sz w:val="18"/>
              </w:rPr>
              <w:t>Confidential</w:t>
            </w:r>
          </w:p>
        </w:tc>
        <w:tc>
          <w:tcPr>
            <w:tcW w:type="dxa" w:w="2880"/>
            <w:shd w:fill="F2F6FC"/>
          </w:tcPr>
          <w:p>
            <w:r/>
            <w:r>
              <w:rPr>
                <w:rFonts w:ascii="Calibri" w:hAnsi="Calibri"/>
                <w:color w:val="333333"/>
                <w:sz w:val="18"/>
              </w:rPr>
              <w:t>Licensed users only</w:t>
            </w:r>
          </w:p>
        </w:tc>
        <w:tc>
          <w:tcPr>
            <w:tcW w:type="dxa" w:w="2016"/>
            <w:shd w:fill="F2F6FC"/>
          </w:tcPr>
          <w:p>
            <w:r/>
            <w:r>
              <w:rPr>
                <w:rFonts w:ascii="Calibri" w:hAnsi="Calibri"/>
                <w:color w:val="333333"/>
                <w:sz w:val="18"/>
              </w:rPr>
              <w:t>Per license</w:t>
            </w:r>
          </w:p>
        </w:tc>
      </w:tr>
      <w:tr>
        <w:tc>
          <w:tcPr>
            <w:tcW w:type="dxa" w:w="2592"/>
          </w:tcPr>
          <w:p>
            <w:r/>
            <w:r>
              <w:rPr>
                <w:rFonts w:ascii="Calibri" w:hAnsi="Calibri"/>
                <w:color w:val="333333"/>
                <w:sz w:val="18"/>
              </w:rPr>
              <w:t>Generated reports</w:t>
            </w:r>
          </w:p>
        </w:tc>
        <w:tc>
          <w:tcPr>
            <w:tcW w:type="dxa" w:w="1872"/>
          </w:tcPr>
          <w:p>
            <w:r/>
            <w:r>
              <w:rPr>
                <w:rFonts w:ascii="Calibri" w:hAnsi="Calibri"/>
                <w:color w:val="333333"/>
                <w:sz w:val="18"/>
              </w:rPr>
              <w:t>Inherits from source data</w:t>
            </w:r>
          </w:p>
        </w:tc>
        <w:tc>
          <w:tcPr>
            <w:tcW w:type="dxa" w:w="2880"/>
          </w:tcPr>
          <w:p>
            <w:r/>
            <w:r>
              <w:rPr>
                <w:rFonts w:ascii="Calibri" w:hAnsi="Calibri"/>
                <w:color w:val="333333"/>
                <w:sz w:val="18"/>
              </w:rPr>
              <w:t>Same as source data RBAC</w:t>
            </w:r>
          </w:p>
        </w:tc>
        <w:tc>
          <w:tcPr>
            <w:tcW w:type="dxa" w:w="2016"/>
          </w:tcPr>
          <w:p>
            <w:r/>
            <w:r>
              <w:rPr>
                <w:rFonts w:ascii="Calibri" w:hAnsi="Calibri"/>
                <w:color w:val="333333"/>
                <w:sz w:val="18"/>
              </w:rPr>
              <w:t>3 years</w:t>
            </w:r>
          </w:p>
        </w:tc>
      </w:tr>
      <w:tr>
        <w:tc>
          <w:tcPr>
            <w:tcW w:type="dxa" w:w="2592"/>
            <w:shd w:fill="F2F6FC"/>
          </w:tcPr>
          <w:p>
            <w:r/>
            <w:r>
              <w:rPr>
                <w:rFonts w:ascii="Calibri" w:hAnsi="Calibri"/>
                <w:color w:val="333333"/>
                <w:sz w:val="18"/>
              </w:rPr>
              <w:t>Forecast projections</w:t>
            </w:r>
          </w:p>
        </w:tc>
        <w:tc>
          <w:tcPr>
            <w:tcW w:type="dxa" w:w="1872"/>
            <w:shd w:fill="F2F6FC"/>
          </w:tcPr>
          <w:p>
            <w:r/>
            <w:r>
              <w:rPr>
                <w:rFonts w:ascii="Calibri" w:hAnsi="Calibri"/>
                <w:color w:val="333333"/>
                <w:sz w:val="18"/>
              </w:rPr>
              <w:t>Confidential</w:t>
            </w:r>
          </w:p>
        </w:tc>
        <w:tc>
          <w:tcPr>
            <w:tcW w:type="dxa" w:w="2880"/>
            <w:shd w:fill="F2F6FC"/>
          </w:tcPr>
          <w:p>
            <w:r/>
            <w:r>
              <w:rPr>
                <w:rFonts w:ascii="Calibri" w:hAnsi="Calibri"/>
                <w:color w:val="333333"/>
                <w:sz w:val="18"/>
              </w:rPr>
              <w:t>Forecast-authorized users</w:t>
            </w:r>
          </w:p>
        </w:tc>
        <w:tc>
          <w:tcPr>
            <w:tcW w:type="dxa" w:w="2016"/>
            <w:shd w:fill="F2F6FC"/>
          </w:tcPr>
          <w:p>
            <w:r/>
            <w:r>
              <w:rPr>
                <w:rFonts w:ascii="Calibri" w:hAnsi="Calibri"/>
                <w:color w:val="333333"/>
                <w:sz w:val="18"/>
              </w:rPr>
              <w:t>2 years</w:t>
            </w:r>
          </w:p>
        </w:tc>
      </w:tr>
      <w:tr>
        <w:tc>
          <w:tcPr>
            <w:tcW w:type="dxa" w:w="2592"/>
          </w:tcPr>
          <w:p>
            <w:r/>
            <w:r>
              <w:rPr>
                <w:rFonts w:ascii="Calibri" w:hAnsi="Calibri"/>
                <w:color w:val="333333"/>
                <w:sz w:val="18"/>
              </w:rPr>
              <w:t>Marketing analytics</w:t>
            </w:r>
          </w:p>
        </w:tc>
        <w:tc>
          <w:tcPr>
            <w:tcW w:type="dxa" w:w="1872"/>
          </w:tcPr>
          <w:p>
            <w:r/>
            <w:r>
              <w:rPr>
                <w:rFonts w:ascii="Calibri" w:hAnsi="Calibri"/>
                <w:color w:val="333333"/>
                <w:sz w:val="18"/>
              </w:rPr>
              <w:t>Confidential</w:t>
            </w:r>
          </w:p>
        </w:tc>
        <w:tc>
          <w:tcPr>
            <w:tcW w:type="dxa" w:w="2880"/>
          </w:tcPr>
          <w:p>
            <w:r/>
            <w:r>
              <w:rPr>
                <w:rFonts w:ascii="Calibri" w:hAnsi="Calibri"/>
                <w:color w:val="333333"/>
                <w:sz w:val="18"/>
              </w:rPr>
              <w:t>Marketing-authorized users</w:t>
            </w:r>
          </w:p>
        </w:tc>
        <w:tc>
          <w:tcPr>
            <w:tcW w:type="dxa" w:w="2016"/>
          </w:tcPr>
          <w:p>
            <w:r/>
            <w:r>
              <w:rPr>
                <w:rFonts w:ascii="Calibri" w:hAnsi="Calibri"/>
                <w:color w:val="333333"/>
                <w:sz w:val="18"/>
              </w:rPr>
              <w:t>3 years</w:t>
            </w:r>
          </w:p>
        </w:tc>
      </w:tr>
      <w:tr>
        <w:tc>
          <w:tcPr>
            <w:tcW w:type="dxa" w:w="2592"/>
            <w:shd w:fill="F2F6FC"/>
          </w:tcPr>
          <w:p>
            <w:r/>
            <w:r>
              <w:rPr>
                <w:rFonts w:ascii="Calibri" w:hAnsi="Calibri"/>
                <w:color w:val="333333"/>
                <w:sz w:val="18"/>
              </w:rPr>
              <w:t>Audit logs</w:t>
            </w:r>
          </w:p>
        </w:tc>
        <w:tc>
          <w:tcPr>
            <w:tcW w:type="dxa" w:w="1872"/>
            <w:shd w:fill="F2F6FC"/>
          </w:tcPr>
          <w:p>
            <w:r/>
            <w:r>
              <w:rPr>
                <w:rFonts w:ascii="Calibri" w:hAnsi="Calibri"/>
                <w:color w:val="333333"/>
                <w:sz w:val="18"/>
              </w:rPr>
              <w:t>Internal</w:t>
            </w:r>
          </w:p>
        </w:tc>
        <w:tc>
          <w:tcPr>
            <w:tcW w:type="dxa" w:w="2880"/>
            <w:shd w:fill="F2F6FC"/>
          </w:tcPr>
          <w:p>
            <w:r/>
            <w:r>
              <w:rPr>
                <w:rFonts w:ascii="Calibri" w:hAnsi="Calibri"/>
                <w:color w:val="333333"/>
                <w:sz w:val="18"/>
              </w:rPr>
              <w:t>Admins only</w:t>
            </w:r>
          </w:p>
        </w:tc>
        <w:tc>
          <w:tcPr>
            <w:tcW w:type="dxa" w:w="2016"/>
            <w:shd w:fill="F2F6FC"/>
          </w:tcPr>
          <w:p>
            <w:r/>
            <w:r>
              <w:rPr>
                <w:rFonts w:ascii="Calibri" w:hAnsi="Calibri"/>
                <w:color w:val="333333"/>
                <w:sz w:val="18"/>
              </w:rPr>
              <w:t>5 years</w:t>
            </w:r>
          </w:p>
        </w:tc>
      </w:tr>
    </w:tbl>
    <w:p/>
    <w:p>
      <w:r>
        <w:br w:type="page"/>
      </w:r>
    </w:p>
    <w:p>
      <w:pPr>
        <w:pStyle w:val="Heading1"/>
      </w:pPr>
      <w:r>
        <w:t>9. Integration Specifications</w:t>
      </w:r>
    </w:p>
    <w:p>
      <w:pPr>
        <w:pStyle w:val="Heading2"/>
      </w:pPr>
      <w:r>
        <w:t>9.1 Amira Financial Forecasting API</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340"/>
        <w:gridCol w:w="2340"/>
        <w:gridCol w:w="2340"/>
        <w:gridCol w:w="2340"/>
      </w:tblGrid>
      <w:tr>
        <w:tc>
          <w:tcPr>
            <w:tcW w:type="dxa" w:w="3168"/>
            <w:shd w:fill="1A56DB"/>
          </w:tcPr>
          <w:p>
            <w:r/>
            <w:r>
              <w:rPr>
                <w:rFonts w:ascii="Calibri" w:hAnsi="Calibri"/>
                <w:b/>
                <w:color w:val="FFFFFF"/>
                <w:sz w:val="20"/>
              </w:rPr>
              <w:t>Endpoint</w:t>
            </w:r>
          </w:p>
        </w:tc>
        <w:tc>
          <w:tcPr>
            <w:tcW w:type="dxa" w:w="1152"/>
            <w:shd w:fill="1A56DB"/>
          </w:tcPr>
          <w:p>
            <w:r/>
            <w:r>
              <w:rPr>
                <w:rFonts w:ascii="Calibri" w:hAnsi="Calibri"/>
                <w:b/>
                <w:color w:val="FFFFFF"/>
                <w:sz w:val="20"/>
              </w:rPr>
              <w:t>Method</w:t>
            </w:r>
          </w:p>
        </w:tc>
        <w:tc>
          <w:tcPr>
            <w:tcW w:type="dxa" w:w="2880"/>
            <w:shd w:fill="1A56DB"/>
          </w:tcPr>
          <w:p>
            <w:r/>
            <w:r>
              <w:rPr>
                <w:rFonts w:ascii="Calibri" w:hAnsi="Calibri"/>
                <w:b/>
                <w:color w:val="FFFFFF"/>
                <w:sz w:val="20"/>
              </w:rPr>
              <w:t>Description</w:t>
            </w:r>
          </w:p>
        </w:tc>
        <w:tc>
          <w:tcPr>
            <w:tcW w:type="dxa" w:w="2160"/>
            <w:shd w:fill="1A56DB"/>
          </w:tcPr>
          <w:p>
            <w:r/>
            <w:r>
              <w:rPr>
                <w:rFonts w:ascii="Calibri" w:hAnsi="Calibri"/>
                <w:b/>
                <w:color w:val="FFFFFF"/>
                <w:sz w:val="20"/>
              </w:rPr>
              <w:t>Response</w:t>
            </w:r>
          </w:p>
        </w:tc>
      </w:tr>
      <w:tr>
        <w:tc>
          <w:tcPr>
            <w:tcW w:type="dxa" w:w="3168"/>
          </w:tcPr>
          <w:p>
            <w:r/>
            <w:r>
              <w:rPr>
                <w:rFonts w:ascii="Calibri" w:hAnsi="Calibri"/>
                <w:color w:val="333333"/>
                <w:sz w:val="18"/>
              </w:rPr>
              <w:t>/api/v1/forecast/{unit_id}</w:t>
            </w:r>
          </w:p>
        </w:tc>
        <w:tc>
          <w:tcPr>
            <w:tcW w:type="dxa" w:w="1152"/>
          </w:tcPr>
          <w:p>
            <w:r/>
            <w:r>
              <w:rPr>
                <w:rFonts w:ascii="Calibri" w:hAnsi="Calibri"/>
                <w:color w:val="333333"/>
                <w:sz w:val="18"/>
              </w:rPr>
              <w:t>GET</w:t>
            </w:r>
          </w:p>
        </w:tc>
        <w:tc>
          <w:tcPr>
            <w:tcW w:type="dxa" w:w="2880"/>
          </w:tcPr>
          <w:p>
            <w:r/>
            <w:r>
              <w:rPr>
                <w:rFonts w:ascii="Calibri" w:hAnsi="Calibri"/>
                <w:color w:val="333333"/>
                <w:sz w:val="18"/>
              </w:rPr>
              <w:t>Get forecast for organizational unit</w:t>
            </w:r>
          </w:p>
        </w:tc>
        <w:tc>
          <w:tcPr>
            <w:tcW w:type="dxa" w:w="2160"/>
          </w:tcPr>
          <w:p>
            <w:r/>
            <w:r>
              <w:rPr>
                <w:rFonts w:ascii="Calibri" w:hAnsi="Calibri"/>
                <w:color w:val="333333"/>
                <w:sz w:val="18"/>
              </w:rPr>
              <w:t>KPI projections with confidence intervals</w:t>
            </w:r>
          </w:p>
        </w:tc>
      </w:tr>
      <w:tr>
        <w:tc>
          <w:tcPr>
            <w:tcW w:type="dxa" w:w="3168"/>
            <w:shd w:fill="F2F6FC"/>
          </w:tcPr>
          <w:p>
            <w:r/>
            <w:r>
              <w:rPr>
                <w:rFonts w:ascii="Calibri" w:hAnsi="Calibri"/>
                <w:color w:val="333333"/>
                <w:sz w:val="18"/>
              </w:rPr>
              <w:t>/api/v1/forecast/{unit_id}/scenarios</w:t>
            </w:r>
          </w:p>
        </w:tc>
        <w:tc>
          <w:tcPr>
            <w:tcW w:type="dxa" w:w="1152"/>
            <w:shd w:fill="F2F6FC"/>
          </w:tcPr>
          <w:p>
            <w:r/>
            <w:r>
              <w:rPr>
                <w:rFonts w:ascii="Calibri" w:hAnsi="Calibri"/>
                <w:color w:val="333333"/>
                <w:sz w:val="18"/>
              </w:rPr>
              <w:t>GET</w:t>
            </w:r>
          </w:p>
        </w:tc>
        <w:tc>
          <w:tcPr>
            <w:tcW w:type="dxa" w:w="2880"/>
            <w:shd w:fill="F2F6FC"/>
          </w:tcPr>
          <w:p>
            <w:r/>
            <w:r>
              <w:rPr>
                <w:rFonts w:ascii="Calibri" w:hAnsi="Calibri"/>
                <w:color w:val="333333"/>
                <w:sz w:val="18"/>
              </w:rPr>
              <w:t>Get scenario analysis (bull/base/bear)</w:t>
            </w:r>
          </w:p>
        </w:tc>
        <w:tc>
          <w:tcPr>
            <w:tcW w:type="dxa" w:w="2160"/>
            <w:shd w:fill="F2F6FC"/>
          </w:tcPr>
          <w:p>
            <w:r/>
            <w:r>
              <w:rPr>
                <w:rFonts w:ascii="Calibri" w:hAnsi="Calibri"/>
                <w:color w:val="333333"/>
                <w:sz w:val="18"/>
              </w:rPr>
              <w:t>Three scenarios with drivers</w:t>
            </w:r>
          </w:p>
        </w:tc>
      </w:tr>
      <w:tr>
        <w:tc>
          <w:tcPr>
            <w:tcW w:type="dxa" w:w="3168"/>
          </w:tcPr>
          <w:p>
            <w:r/>
            <w:r>
              <w:rPr>
                <w:rFonts w:ascii="Calibri" w:hAnsi="Calibri"/>
                <w:color w:val="333333"/>
                <w:sz w:val="18"/>
              </w:rPr>
              <w:t>/api/v1/forecast/compare</w:t>
            </w:r>
          </w:p>
        </w:tc>
        <w:tc>
          <w:tcPr>
            <w:tcW w:type="dxa" w:w="1152"/>
          </w:tcPr>
          <w:p>
            <w:r/>
            <w:r>
              <w:rPr>
                <w:rFonts w:ascii="Calibri" w:hAnsi="Calibri"/>
                <w:color w:val="333333"/>
                <w:sz w:val="18"/>
              </w:rPr>
              <w:t>POST</w:t>
            </w:r>
          </w:p>
        </w:tc>
        <w:tc>
          <w:tcPr>
            <w:tcW w:type="dxa" w:w="2880"/>
          </w:tcPr>
          <w:p>
            <w:r/>
            <w:r>
              <w:rPr>
                <w:rFonts w:ascii="Calibri" w:hAnsi="Calibri"/>
                <w:color w:val="333333"/>
                <w:sz w:val="18"/>
              </w:rPr>
              <w:t>Compare actuals vs forecast</w:t>
            </w:r>
          </w:p>
        </w:tc>
        <w:tc>
          <w:tcPr>
            <w:tcW w:type="dxa" w:w="2160"/>
          </w:tcPr>
          <w:p>
            <w:r/>
            <w:r>
              <w:rPr>
                <w:rFonts w:ascii="Calibri" w:hAnsi="Calibri"/>
                <w:color w:val="333333"/>
                <w:sz w:val="18"/>
              </w:rPr>
              <w:t>Variance analysis with explanations</w:t>
            </w:r>
          </w:p>
        </w:tc>
      </w:tr>
      <w:tr>
        <w:tc>
          <w:tcPr>
            <w:tcW w:type="dxa" w:w="3168"/>
            <w:shd w:fill="F2F6FC"/>
          </w:tcPr>
          <w:p>
            <w:r/>
            <w:r>
              <w:rPr>
                <w:rFonts w:ascii="Calibri" w:hAnsi="Calibri"/>
                <w:color w:val="333333"/>
                <w:sz w:val="18"/>
              </w:rPr>
              <w:t>/api/v1/forecast/drivers/{kpi_id}</w:t>
            </w:r>
          </w:p>
        </w:tc>
        <w:tc>
          <w:tcPr>
            <w:tcW w:type="dxa" w:w="1152"/>
            <w:shd w:fill="F2F6FC"/>
          </w:tcPr>
          <w:p>
            <w:r/>
            <w:r>
              <w:rPr>
                <w:rFonts w:ascii="Calibri" w:hAnsi="Calibri"/>
                <w:color w:val="333333"/>
                <w:sz w:val="18"/>
              </w:rPr>
              <w:t>GET</w:t>
            </w:r>
          </w:p>
        </w:tc>
        <w:tc>
          <w:tcPr>
            <w:tcW w:type="dxa" w:w="2880"/>
            <w:shd w:fill="F2F6FC"/>
          </w:tcPr>
          <w:p>
            <w:r/>
            <w:r>
              <w:rPr>
                <w:rFonts w:ascii="Calibri" w:hAnsi="Calibri"/>
                <w:color w:val="333333"/>
                <w:sz w:val="18"/>
              </w:rPr>
              <w:t>Get forecast drivers for a KPI</w:t>
            </w:r>
          </w:p>
        </w:tc>
        <w:tc>
          <w:tcPr>
            <w:tcW w:type="dxa" w:w="2160"/>
            <w:shd w:fill="F2F6FC"/>
          </w:tcPr>
          <w:p>
            <w:r/>
            <w:r>
              <w:rPr>
                <w:rFonts w:ascii="Calibri" w:hAnsi="Calibri"/>
                <w:color w:val="333333"/>
                <w:sz w:val="18"/>
              </w:rPr>
              <w:t>Input factors, sensitivities, risk factors</w:t>
            </w:r>
          </w:p>
        </w:tc>
      </w:tr>
    </w:tbl>
    <w:p/>
    <w:p>
      <w:pPr>
        <w:spacing w:after="120"/>
      </w:pPr>
      <w:r>
        <w:rPr>
          <w:sz w:val="20"/>
        </w:rPr>
        <w:t>Integration Pattern: Request-response with 30-second timeout. Responses cached in Redis for 1 hour. Fallback: if Forecasting API unavailable, reports generated without forecast data (clearly labeled).</w:t>
      </w:r>
    </w:p>
    <w:p>
      <w:pPr>
        <w:pStyle w:val="Heading2"/>
      </w:pPr>
      <w:r>
        <w:t>9.2 Amira Marketing Analytics API</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340"/>
        <w:gridCol w:w="2340"/>
        <w:gridCol w:w="2340"/>
        <w:gridCol w:w="2340"/>
      </w:tblGrid>
      <w:tr>
        <w:tc>
          <w:tcPr>
            <w:tcW w:type="dxa" w:w="3600"/>
            <w:shd w:fill="1A56DB"/>
          </w:tcPr>
          <w:p>
            <w:r/>
            <w:r>
              <w:rPr>
                <w:rFonts w:ascii="Calibri" w:hAnsi="Calibri"/>
                <w:b/>
                <w:color w:val="FFFFFF"/>
                <w:sz w:val="20"/>
              </w:rPr>
              <w:t>Endpoint</w:t>
            </w:r>
          </w:p>
        </w:tc>
        <w:tc>
          <w:tcPr>
            <w:tcW w:type="dxa" w:w="1152"/>
            <w:shd w:fill="1A56DB"/>
          </w:tcPr>
          <w:p>
            <w:r/>
            <w:r>
              <w:rPr>
                <w:rFonts w:ascii="Calibri" w:hAnsi="Calibri"/>
                <w:b/>
                <w:color w:val="FFFFFF"/>
                <w:sz w:val="20"/>
              </w:rPr>
              <w:t>Method</w:t>
            </w:r>
          </w:p>
        </w:tc>
        <w:tc>
          <w:tcPr>
            <w:tcW w:type="dxa" w:w="2880"/>
            <w:shd w:fill="1A56DB"/>
          </w:tcPr>
          <w:p>
            <w:r/>
            <w:r>
              <w:rPr>
                <w:rFonts w:ascii="Calibri" w:hAnsi="Calibri"/>
                <w:b/>
                <w:color w:val="FFFFFF"/>
                <w:sz w:val="20"/>
              </w:rPr>
              <w:t>Description</w:t>
            </w:r>
          </w:p>
        </w:tc>
        <w:tc>
          <w:tcPr>
            <w:tcW w:type="dxa" w:w="1728"/>
            <w:shd w:fill="1A56DB"/>
          </w:tcPr>
          <w:p>
            <w:r/>
            <w:r>
              <w:rPr>
                <w:rFonts w:ascii="Calibri" w:hAnsi="Calibri"/>
                <w:b/>
                <w:color w:val="FFFFFF"/>
                <w:sz w:val="20"/>
              </w:rPr>
              <w:t>Response</w:t>
            </w:r>
          </w:p>
        </w:tc>
      </w:tr>
      <w:tr>
        <w:tc>
          <w:tcPr>
            <w:tcW w:type="dxa" w:w="3600"/>
          </w:tcPr>
          <w:p>
            <w:r/>
            <w:r>
              <w:rPr>
                <w:rFonts w:ascii="Calibri" w:hAnsi="Calibri"/>
                <w:color w:val="333333"/>
                <w:sz w:val="18"/>
              </w:rPr>
              <w:t>/api/v1/marketing/{unit_id}/spend</w:t>
            </w:r>
          </w:p>
        </w:tc>
        <w:tc>
          <w:tcPr>
            <w:tcW w:type="dxa" w:w="1152"/>
          </w:tcPr>
          <w:p>
            <w:r/>
            <w:r>
              <w:rPr>
                <w:rFonts w:ascii="Calibri" w:hAnsi="Calibri"/>
                <w:color w:val="333333"/>
                <w:sz w:val="18"/>
              </w:rPr>
              <w:t>GET</w:t>
            </w:r>
          </w:p>
        </w:tc>
        <w:tc>
          <w:tcPr>
            <w:tcW w:type="dxa" w:w="2880"/>
          </w:tcPr>
          <w:p>
            <w:r/>
            <w:r>
              <w:rPr>
                <w:rFonts w:ascii="Calibri" w:hAnsi="Calibri"/>
                <w:color w:val="333333"/>
                <w:sz w:val="18"/>
              </w:rPr>
              <w:t>Marketing spend by channel/brand</w:t>
            </w:r>
          </w:p>
        </w:tc>
        <w:tc>
          <w:tcPr>
            <w:tcW w:type="dxa" w:w="1728"/>
          </w:tcPr>
          <w:p>
            <w:r/>
            <w:r>
              <w:rPr>
                <w:rFonts w:ascii="Calibri" w:hAnsi="Calibri"/>
                <w:color w:val="333333"/>
                <w:sz w:val="18"/>
              </w:rPr>
              <w:t>Spend breakdown with period comparison</w:t>
            </w:r>
          </w:p>
        </w:tc>
      </w:tr>
      <w:tr>
        <w:tc>
          <w:tcPr>
            <w:tcW w:type="dxa" w:w="3600"/>
            <w:shd w:fill="F2F6FC"/>
          </w:tcPr>
          <w:p>
            <w:r/>
            <w:r>
              <w:rPr>
                <w:rFonts w:ascii="Calibri" w:hAnsi="Calibri"/>
                <w:color w:val="333333"/>
                <w:sz w:val="18"/>
              </w:rPr>
              <w:t>/api/v1/marketing/{unit_id}/roi</w:t>
            </w:r>
          </w:p>
        </w:tc>
        <w:tc>
          <w:tcPr>
            <w:tcW w:type="dxa" w:w="1152"/>
            <w:shd w:fill="F2F6FC"/>
          </w:tcPr>
          <w:p>
            <w:r/>
            <w:r>
              <w:rPr>
                <w:rFonts w:ascii="Calibri" w:hAnsi="Calibri"/>
                <w:color w:val="333333"/>
                <w:sz w:val="18"/>
              </w:rPr>
              <w:t>GET</w:t>
            </w:r>
          </w:p>
        </w:tc>
        <w:tc>
          <w:tcPr>
            <w:tcW w:type="dxa" w:w="2880"/>
            <w:shd w:fill="F2F6FC"/>
          </w:tcPr>
          <w:p>
            <w:r/>
            <w:r>
              <w:rPr>
                <w:rFonts w:ascii="Calibri" w:hAnsi="Calibri"/>
                <w:color w:val="333333"/>
                <w:sz w:val="18"/>
              </w:rPr>
              <w:t>Marketing ROI metrics</w:t>
            </w:r>
          </w:p>
        </w:tc>
        <w:tc>
          <w:tcPr>
            <w:tcW w:type="dxa" w:w="1728"/>
            <w:shd w:fill="F2F6FC"/>
          </w:tcPr>
          <w:p>
            <w:r/>
            <w:r>
              <w:rPr>
                <w:rFonts w:ascii="Calibri" w:hAnsi="Calibri"/>
                <w:color w:val="333333"/>
                <w:sz w:val="18"/>
              </w:rPr>
              <w:t>ROAS, CAC, CLV by channel</w:t>
            </w:r>
          </w:p>
        </w:tc>
      </w:tr>
      <w:tr>
        <w:tc>
          <w:tcPr>
            <w:tcW w:type="dxa" w:w="3600"/>
          </w:tcPr>
          <w:p>
            <w:r/>
            <w:r>
              <w:rPr>
                <w:rFonts w:ascii="Calibri" w:hAnsi="Calibri"/>
                <w:color w:val="333333"/>
                <w:sz w:val="18"/>
              </w:rPr>
              <w:t>/api/v1/marketing/{unit_id}/attribution</w:t>
            </w:r>
          </w:p>
        </w:tc>
        <w:tc>
          <w:tcPr>
            <w:tcW w:type="dxa" w:w="1152"/>
          </w:tcPr>
          <w:p>
            <w:r/>
            <w:r>
              <w:rPr>
                <w:rFonts w:ascii="Calibri" w:hAnsi="Calibri"/>
                <w:color w:val="333333"/>
                <w:sz w:val="18"/>
              </w:rPr>
              <w:t>GET</w:t>
            </w:r>
          </w:p>
        </w:tc>
        <w:tc>
          <w:tcPr>
            <w:tcW w:type="dxa" w:w="2880"/>
          </w:tcPr>
          <w:p>
            <w:r/>
            <w:r>
              <w:rPr>
                <w:rFonts w:ascii="Calibri" w:hAnsi="Calibri"/>
                <w:color w:val="333333"/>
                <w:sz w:val="18"/>
              </w:rPr>
              <w:t>Revenue attribution to marketing</w:t>
            </w:r>
          </w:p>
        </w:tc>
        <w:tc>
          <w:tcPr>
            <w:tcW w:type="dxa" w:w="1728"/>
          </w:tcPr>
          <w:p>
            <w:r/>
            <w:r>
              <w:rPr>
                <w:rFonts w:ascii="Calibri" w:hAnsi="Calibri"/>
                <w:color w:val="333333"/>
                <w:sz w:val="18"/>
              </w:rPr>
              <w:t>Multi-touch attribution percentages</w:t>
            </w:r>
          </w:p>
        </w:tc>
      </w:tr>
      <w:tr>
        <w:tc>
          <w:tcPr>
            <w:tcW w:type="dxa" w:w="3600"/>
            <w:shd w:fill="F2F6FC"/>
          </w:tcPr>
          <w:p>
            <w:r/>
            <w:r>
              <w:rPr>
                <w:rFonts w:ascii="Calibri" w:hAnsi="Calibri"/>
                <w:color w:val="333333"/>
                <w:sz w:val="18"/>
              </w:rPr>
              <w:t>/api/v1/marketing/recommendations</w:t>
            </w:r>
          </w:p>
        </w:tc>
        <w:tc>
          <w:tcPr>
            <w:tcW w:type="dxa" w:w="1152"/>
            <w:shd w:fill="F2F6FC"/>
          </w:tcPr>
          <w:p>
            <w:r/>
            <w:r>
              <w:rPr>
                <w:rFonts w:ascii="Calibri" w:hAnsi="Calibri"/>
                <w:color w:val="333333"/>
                <w:sz w:val="18"/>
              </w:rPr>
              <w:t>POST</w:t>
            </w:r>
          </w:p>
        </w:tc>
        <w:tc>
          <w:tcPr>
            <w:tcW w:type="dxa" w:w="2880"/>
            <w:shd w:fill="F2F6FC"/>
          </w:tcPr>
          <w:p>
            <w:r/>
            <w:r>
              <w:rPr>
                <w:rFonts w:ascii="Calibri" w:hAnsi="Calibri"/>
                <w:color w:val="333333"/>
                <w:sz w:val="18"/>
              </w:rPr>
              <w:t>Get budget optimization suggestions</w:t>
            </w:r>
          </w:p>
        </w:tc>
        <w:tc>
          <w:tcPr>
            <w:tcW w:type="dxa" w:w="1728"/>
            <w:shd w:fill="F2F6FC"/>
          </w:tcPr>
          <w:p>
            <w:r/>
            <w:r>
              <w:rPr>
                <w:rFonts w:ascii="Calibri" w:hAnsi="Calibri"/>
                <w:color w:val="333333"/>
                <w:sz w:val="18"/>
              </w:rPr>
              <w:t>Recommended allocation shifts</w:t>
            </w:r>
          </w:p>
        </w:tc>
      </w:tr>
    </w:tbl>
    <w:p/>
    <w:p>
      <w:pPr>
        <w:spacing w:after="120"/>
      </w:pPr>
      <w:r>
        <w:rPr>
          <w:sz w:val="20"/>
        </w:rPr>
        <w:t>Integration Pattern: Same as Forecasting API. Marketing data enriches reports only when the user's organizational unit has marketing data available and the user has marketing-authorized access.</w:t>
      </w:r>
    </w:p>
    <w:p>
      <w:pPr>
        <w:pStyle w:val="Heading2"/>
      </w:pPr>
      <w:r>
        <w:t>9.3 Amira FinIQ External API (Exposed)</w:t>
      </w:r>
    </w:p>
    <w:p>
      <w:pPr>
        <w:spacing w:after="120"/>
      </w:pPr>
      <w:r>
        <w:t>Amira FinIQ exposes the following API for third-party consumers and programmatic access:</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20"/>
        <w:gridCol w:w="3120"/>
        <w:gridCol w:w="3120"/>
      </w:tblGrid>
      <w:tr>
        <w:tc>
          <w:tcPr>
            <w:tcW w:type="dxa" w:w="3600"/>
            <w:shd w:fill="1A56DB"/>
          </w:tcPr>
          <w:p>
            <w:r/>
            <w:r>
              <w:rPr>
                <w:rFonts w:ascii="Calibri" w:hAnsi="Calibri"/>
                <w:b/>
                <w:color w:val="FFFFFF"/>
                <w:sz w:val="20"/>
              </w:rPr>
              <w:t>Endpoint</w:t>
            </w:r>
          </w:p>
        </w:tc>
        <w:tc>
          <w:tcPr>
            <w:tcW w:type="dxa" w:w="1152"/>
            <w:shd w:fill="1A56DB"/>
          </w:tcPr>
          <w:p>
            <w:r/>
            <w:r>
              <w:rPr>
                <w:rFonts w:ascii="Calibri" w:hAnsi="Calibri"/>
                <w:b/>
                <w:color w:val="FFFFFF"/>
                <w:sz w:val="20"/>
              </w:rPr>
              <w:t>Method</w:t>
            </w:r>
          </w:p>
        </w:tc>
        <w:tc>
          <w:tcPr>
            <w:tcW w:type="dxa" w:w="4608"/>
            <w:shd w:fill="1A56DB"/>
          </w:tcPr>
          <w:p>
            <w:r/>
            <w:r>
              <w:rPr>
                <w:rFonts w:ascii="Calibri" w:hAnsi="Calibri"/>
                <w:b/>
                <w:color w:val="FFFFFF"/>
                <w:sz w:val="20"/>
              </w:rPr>
              <w:t>Description</w:t>
            </w:r>
          </w:p>
        </w:tc>
      </w:tr>
      <w:tr>
        <w:tc>
          <w:tcPr>
            <w:tcW w:type="dxa" w:w="3600"/>
          </w:tcPr>
          <w:p>
            <w:r/>
            <w:r>
              <w:rPr>
                <w:rFonts w:ascii="Calibri" w:hAnsi="Calibri"/>
                <w:color w:val="333333"/>
                <w:sz w:val="18"/>
              </w:rPr>
              <w:t>/api/v1/reports/generate</w:t>
            </w:r>
          </w:p>
        </w:tc>
        <w:tc>
          <w:tcPr>
            <w:tcW w:type="dxa" w:w="1152"/>
          </w:tcPr>
          <w:p>
            <w:r/>
            <w:r>
              <w:rPr>
                <w:rFonts w:ascii="Calibri" w:hAnsi="Calibri"/>
                <w:color w:val="333333"/>
                <w:sz w:val="18"/>
              </w:rPr>
              <w:t>POST</w:t>
            </w:r>
          </w:p>
        </w:tc>
        <w:tc>
          <w:tcPr>
            <w:tcW w:type="dxa" w:w="4608"/>
          </w:tcPr>
          <w:p>
            <w:r/>
            <w:r>
              <w:rPr>
                <w:rFonts w:ascii="Calibri" w:hAnsi="Calibri"/>
                <w:color w:val="333333"/>
                <w:sz w:val="18"/>
              </w:rPr>
              <w:t>Generate a report (PES, competitive, custom)</w:t>
            </w:r>
          </w:p>
        </w:tc>
      </w:tr>
      <w:tr>
        <w:tc>
          <w:tcPr>
            <w:tcW w:type="dxa" w:w="3600"/>
            <w:shd w:fill="F2F6FC"/>
          </w:tcPr>
          <w:p>
            <w:r/>
            <w:r>
              <w:rPr>
                <w:rFonts w:ascii="Calibri" w:hAnsi="Calibri"/>
                <w:color w:val="333333"/>
                <w:sz w:val="18"/>
              </w:rPr>
              <w:t>/api/v1/reports/{report_id}</w:t>
            </w:r>
          </w:p>
        </w:tc>
        <w:tc>
          <w:tcPr>
            <w:tcW w:type="dxa" w:w="1152"/>
            <w:shd w:fill="F2F6FC"/>
          </w:tcPr>
          <w:p>
            <w:r/>
            <w:r>
              <w:rPr>
                <w:rFonts w:ascii="Calibri" w:hAnsi="Calibri"/>
                <w:color w:val="333333"/>
                <w:sz w:val="18"/>
              </w:rPr>
              <w:t>GET</w:t>
            </w:r>
          </w:p>
        </w:tc>
        <w:tc>
          <w:tcPr>
            <w:tcW w:type="dxa" w:w="4608"/>
            <w:shd w:fill="F2F6FC"/>
          </w:tcPr>
          <w:p>
            <w:r/>
            <w:r>
              <w:rPr>
                <w:rFonts w:ascii="Calibri" w:hAnsi="Calibri"/>
                <w:color w:val="333333"/>
                <w:sz w:val="18"/>
              </w:rPr>
              <w:t>Retrieve a generated report</w:t>
            </w:r>
          </w:p>
        </w:tc>
      </w:tr>
      <w:tr>
        <w:tc>
          <w:tcPr>
            <w:tcW w:type="dxa" w:w="3600"/>
          </w:tcPr>
          <w:p>
            <w:r/>
            <w:r>
              <w:rPr>
                <w:rFonts w:ascii="Calibri" w:hAnsi="Calibri"/>
                <w:color w:val="333333"/>
                <w:sz w:val="18"/>
              </w:rPr>
              <w:t>/api/v1/query</w:t>
            </w:r>
          </w:p>
        </w:tc>
        <w:tc>
          <w:tcPr>
            <w:tcW w:type="dxa" w:w="1152"/>
          </w:tcPr>
          <w:p>
            <w:r/>
            <w:r>
              <w:rPr>
                <w:rFonts w:ascii="Calibri" w:hAnsi="Calibri"/>
                <w:color w:val="333333"/>
                <w:sz w:val="18"/>
              </w:rPr>
              <w:t>POST</w:t>
            </w:r>
          </w:p>
        </w:tc>
        <w:tc>
          <w:tcPr>
            <w:tcW w:type="dxa" w:w="4608"/>
          </w:tcPr>
          <w:p>
            <w:r/>
            <w:r>
              <w:rPr>
                <w:rFonts w:ascii="Calibri" w:hAnsi="Calibri"/>
                <w:color w:val="333333"/>
                <w:sz w:val="18"/>
              </w:rPr>
              <w:t>Submit a natural language query</w:t>
            </w:r>
          </w:p>
        </w:tc>
      </w:tr>
      <w:tr>
        <w:tc>
          <w:tcPr>
            <w:tcW w:type="dxa" w:w="3600"/>
            <w:shd w:fill="F2F6FC"/>
          </w:tcPr>
          <w:p>
            <w:r/>
            <w:r>
              <w:rPr>
                <w:rFonts w:ascii="Calibri" w:hAnsi="Calibri"/>
                <w:color w:val="333333"/>
                <w:sz w:val="18"/>
              </w:rPr>
              <w:t>/api/v1/jobs</w:t>
            </w:r>
          </w:p>
        </w:tc>
        <w:tc>
          <w:tcPr>
            <w:tcW w:type="dxa" w:w="1152"/>
            <w:shd w:fill="F2F6FC"/>
          </w:tcPr>
          <w:p>
            <w:r/>
            <w:r>
              <w:rPr>
                <w:rFonts w:ascii="Calibri" w:hAnsi="Calibri"/>
                <w:color w:val="333333"/>
                <w:sz w:val="18"/>
              </w:rPr>
              <w:t>POST</w:t>
            </w:r>
          </w:p>
        </w:tc>
        <w:tc>
          <w:tcPr>
            <w:tcW w:type="dxa" w:w="4608"/>
            <w:shd w:fill="F2F6FC"/>
          </w:tcPr>
          <w:p>
            <w:r/>
            <w:r>
              <w:rPr>
                <w:rFonts w:ascii="Calibri" w:hAnsi="Calibri"/>
                <w:color w:val="333333"/>
                <w:sz w:val="18"/>
              </w:rPr>
              <w:t>Submit a job to the agent queue</w:t>
            </w:r>
          </w:p>
        </w:tc>
      </w:tr>
      <w:tr>
        <w:tc>
          <w:tcPr>
            <w:tcW w:type="dxa" w:w="3600"/>
          </w:tcPr>
          <w:p>
            <w:r/>
            <w:r>
              <w:rPr>
                <w:rFonts w:ascii="Calibri" w:hAnsi="Calibri"/>
                <w:color w:val="333333"/>
                <w:sz w:val="18"/>
              </w:rPr>
              <w:t>/api/v1/jobs/{job_id}</w:t>
            </w:r>
          </w:p>
        </w:tc>
        <w:tc>
          <w:tcPr>
            <w:tcW w:type="dxa" w:w="1152"/>
          </w:tcPr>
          <w:p>
            <w:r/>
            <w:r>
              <w:rPr>
                <w:rFonts w:ascii="Calibri" w:hAnsi="Calibri"/>
                <w:color w:val="333333"/>
                <w:sz w:val="18"/>
              </w:rPr>
              <w:t>GET</w:t>
            </w:r>
          </w:p>
        </w:tc>
        <w:tc>
          <w:tcPr>
            <w:tcW w:type="dxa" w:w="4608"/>
          </w:tcPr>
          <w:p>
            <w:r/>
            <w:r>
              <w:rPr>
                <w:rFonts w:ascii="Calibri" w:hAnsi="Calibri"/>
                <w:color w:val="333333"/>
                <w:sz w:val="18"/>
              </w:rPr>
              <w:t>Check job status and retrieve result</w:t>
            </w:r>
          </w:p>
        </w:tc>
      </w:tr>
      <w:tr>
        <w:tc>
          <w:tcPr>
            <w:tcW w:type="dxa" w:w="3600"/>
            <w:shd w:fill="F2F6FC"/>
          </w:tcPr>
          <w:p>
            <w:r/>
            <w:r>
              <w:rPr>
                <w:rFonts w:ascii="Calibri" w:hAnsi="Calibri"/>
                <w:color w:val="333333"/>
                <w:sz w:val="18"/>
              </w:rPr>
              <w:t>/api/v1/jobs/{job_id}/cancel</w:t>
            </w:r>
          </w:p>
        </w:tc>
        <w:tc>
          <w:tcPr>
            <w:tcW w:type="dxa" w:w="1152"/>
            <w:shd w:fill="F2F6FC"/>
          </w:tcPr>
          <w:p>
            <w:r/>
            <w:r>
              <w:rPr>
                <w:rFonts w:ascii="Calibri" w:hAnsi="Calibri"/>
                <w:color w:val="333333"/>
                <w:sz w:val="18"/>
              </w:rPr>
              <w:t>POST</w:t>
            </w:r>
          </w:p>
        </w:tc>
        <w:tc>
          <w:tcPr>
            <w:tcW w:type="dxa" w:w="4608"/>
            <w:shd w:fill="F2F6FC"/>
          </w:tcPr>
          <w:p>
            <w:r/>
            <w:r>
              <w:rPr>
                <w:rFonts w:ascii="Calibri" w:hAnsi="Calibri"/>
                <w:color w:val="333333"/>
                <w:sz w:val="18"/>
              </w:rPr>
              <w:t>Cancel a queued or in-progress job</w:t>
            </w:r>
          </w:p>
        </w:tc>
      </w:tr>
      <w:tr>
        <w:tc>
          <w:tcPr>
            <w:tcW w:type="dxa" w:w="3600"/>
          </w:tcPr>
          <w:p>
            <w:r/>
            <w:r>
              <w:rPr>
                <w:rFonts w:ascii="Calibri" w:hAnsi="Calibri"/>
                <w:color w:val="333333"/>
                <w:sz w:val="18"/>
              </w:rPr>
              <w:t>/api/v1/catalog/units</w:t>
            </w:r>
          </w:p>
        </w:tc>
        <w:tc>
          <w:tcPr>
            <w:tcW w:type="dxa" w:w="1152"/>
          </w:tcPr>
          <w:p>
            <w:r/>
            <w:r>
              <w:rPr>
                <w:rFonts w:ascii="Calibri" w:hAnsi="Calibri"/>
                <w:color w:val="333333"/>
                <w:sz w:val="18"/>
              </w:rPr>
              <w:t>GET</w:t>
            </w:r>
          </w:p>
        </w:tc>
        <w:tc>
          <w:tcPr>
            <w:tcW w:type="dxa" w:w="4608"/>
          </w:tcPr>
          <w:p>
            <w:r/>
            <w:r>
              <w:rPr>
                <w:rFonts w:ascii="Calibri" w:hAnsi="Calibri"/>
                <w:color w:val="333333"/>
                <w:sz w:val="18"/>
              </w:rPr>
              <w:t>List organizational units (filtered by RBAC)</w:t>
            </w:r>
          </w:p>
        </w:tc>
      </w:tr>
      <w:tr>
        <w:tc>
          <w:tcPr>
            <w:tcW w:type="dxa" w:w="3600"/>
            <w:shd w:fill="F2F6FC"/>
          </w:tcPr>
          <w:p>
            <w:r/>
            <w:r>
              <w:rPr>
                <w:rFonts w:ascii="Calibri" w:hAnsi="Calibri"/>
                <w:color w:val="333333"/>
                <w:sz w:val="18"/>
              </w:rPr>
              <w:t>/api/v1/catalog/kpis</w:t>
            </w:r>
          </w:p>
        </w:tc>
        <w:tc>
          <w:tcPr>
            <w:tcW w:type="dxa" w:w="1152"/>
            <w:shd w:fill="F2F6FC"/>
          </w:tcPr>
          <w:p>
            <w:r/>
            <w:r>
              <w:rPr>
                <w:rFonts w:ascii="Calibri" w:hAnsi="Calibri"/>
                <w:color w:val="333333"/>
                <w:sz w:val="18"/>
              </w:rPr>
              <w:t>GET</w:t>
            </w:r>
          </w:p>
        </w:tc>
        <w:tc>
          <w:tcPr>
            <w:tcW w:type="dxa" w:w="4608"/>
            <w:shd w:fill="F2F6FC"/>
          </w:tcPr>
          <w:p>
            <w:r/>
            <w:r>
              <w:rPr>
                <w:rFonts w:ascii="Calibri" w:hAnsi="Calibri"/>
                <w:color w:val="333333"/>
                <w:sz w:val="18"/>
              </w:rPr>
              <w:t>List available KPI definitions</w:t>
            </w:r>
          </w:p>
        </w:tc>
      </w:tr>
      <w:tr>
        <w:tc>
          <w:tcPr>
            <w:tcW w:type="dxa" w:w="3600"/>
          </w:tcPr>
          <w:p>
            <w:r/>
            <w:r>
              <w:rPr>
                <w:rFonts w:ascii="Calibri" w:hAnsi="Calibri"/>
                <w:color w:val="333333"/>
                <w:sz w:val="18"/>
              </w:rPr>
              <w:t>/api/v1/catalog/competitors</w:t>
            </w:r>
          </w:p>
        </w:tc>
        <w:tc>
          <w:tcPr>
            <w:tcW w:type="dxa" w:w="1152"/>
          </w:tcPr>
          <w:p>
            <w:r/>
            <w:r>
              <w:rPr>
                <w:rFonts w:ascii="Calibri" w:hAnsi="Calibri"/>
                <w:color w:val="333333"/>
                <w:sz w:val="18"/>
              </w:rPr>
              <w:t>GET</w:t>
            </w:r>
          </w:p>
        </w:tc>
        <w:tc>
          <w:tcPr>
            <w:tcW w:type="dxa" w:w="4608"/>
          </w:tcPr>
          <w:p>
            <w:r/>
            <w:r>
              <w:rPr>
                <w:rFonts w:ascii="Calibri" w:hAnsi="Calibri"/>
                <w:color w:val="333333"/>
                <w:sz w:val="18"/>
              </w:rPr>
              <w:t>List tracked competitors and peer groups</w:t>
            </w:r>
          </w:p>
        </w:tc>
      </w:tr>
      <w:tr>
        <w:tc>
          <w:tcPr>
            <w:tcW w:type="dxa" w:w="3600"/>
            <w:shd w:fill="F2F6FC"/>
          </w:tcPr>
          <w:p>
            <w:r/>
            <w:r>
              <w:rPr>
                <w:rFonts w:ascii="Calibri" w:hAnsi="Calibri"/>
                <w:color w:val="333333"/>
                <w:sz w:val="18"/>
              </w:rPr>
              <w:t>/api/v1/webhooks</w:t>
            </w:r>
          </w:p>
        </w:tc>
        <w:tc>
          <w:tcPr>
            <w:tcW w:type="dxa" w:w="1152"/>
            <w:shd w:fill="F2F6FC"/>
          </w:tcPr>
          <w:p>
            <w:r/>
            <w:r>
              <w:rPr>
                <w:rFonts w:ascii="Calibri" w:hAnsi="Calibri"/>
                <w:color w:val="333333"/>
                <w:sz w:val="18"/>
              </w:rPr>
              <w:t>POST</w:t>
            </w:r>
          </w:p>
        </w:tc>
        <w:tc>
          <w:tcPr>
            <w:tcW w:type="dxa" w:w="4608"/>
            <w:shd w:fill="F2F6FC"/>
          </w:tcPr>
          <w:p>
            <w:r/>
            <w:r>
              <w:rPr>
                <w:rFonts w:ascii="Calibri" w:hAnsi="Calibri"/>
                <w:color w:val="333333"/>
                <w:sz w:val="18"/>
              </w:rPr>
              <w:t>Register a webhook for event notifications</w:t>
            </w:r>
          </w:p>
        </w:tc>
      </w:tr>
    </w:tbl>
    <w:p/>
    <w:p>
      <w:r>
        <w:br w:type="page"/>
      </w:r>
    </w:p>
    <w:p>
      <w:pPr>
        <w:pStyle w:val="Heading1"/>
      </w:pPr>
      <w:r>
        <w:t>10. Security &amp; Compliance</w:t>
      </w:r>
    </w:p>
    <w:p>
      <w:pPr>
        <w:pStyle w:val="Heading2"/>
      </w:pPr>
      <w:r>
        <w:t>10.1 Authentication &amp; Authorization</w:t>
      </w:r>
    </w:p>
    <w:p>
      <w:pPr>
        <w:pStyle w:val="ListBullet"/>
        <w:spacing w:after="40"/>
      </w:pPr>
      <w:r>
        <w:t>Single Sign-On (SSO) via Azure Entra ID (formerly Azure AD), integrated with Mars's existing identity provider</w:t>
      </w:r>
    </w:p>
    <w:p>
      <w:pPr>
        <w:pStyle w:val="ListBullet"/>
        <w:spacing w:after="40"/>
      </w:pPr>
      <w:r>
        <w:t>OAuth 2.0 authorization code flow for web application; client credentials flow for API consumers</w:t>
      </w:r>
    </w:p>
    <w:p>
      <w:pPr>
        <w:pStyle w:val="ListBullet"/>
        <w:spacing w:after="40"/>
      </w:pPr>
      <w:r>
        <w:t>JWT tokens with 1-hour expiry; refresh tokens with 24-hour expiry</w:t>
      </w:r>
    </w:p>
    <w:p>
      <w:pPr>
        <w:pStyle w:val="ListBullet"/>
        <w:spacing w:after="40"/>
      </w:pPr>
      <w:r>
        <w:t>Role hierarchy: Global Admin &gt; GBU Admin &gt; Analyst &gt; Viewer &gt; API Consumer</w:t>
      </w:r>
    </w:p>
    <w:p>
      <w:pPr>
        <w:pStyle w:val="ListBullet"/>
        <w:spacing w:after="40"/>
      </w:pPr>
      <w:r>
        <w:t>Data access scoped to organizational unit: a user authorized for 'GBU Petcare ex Russia' sees only Petcare data</w:t>
      </w:r>
    </w:p>
    <w:p>
      <w:pPr>
        <w:pStyle w:val="Heading2"/>
      </w:pPr>
      <w:r>
        <w:t>10.2 Data Protection</w:t>
      </w:r>
    </w:p>
    <w:p>
      <w:pPr>
        <w:pStyle w:val="ListBullet"/>
        <w:spacing w:after="40"/>
      </w:pPr>
      <w:r>
        <w:t>All Azure services deployed within Mars's private virtual network (VNet) with private endpoints</w:t>
      </w:r>
    </w:p>
    <w:p>
      <w:pPr>
        <w:pStyle w:val="ListBullet"/>
        <w:spacing w:after="40"/>
      </w:pPr>
      <w:r>
        <w:t>No data egress to public internet; all LLM calls routed through Azure Private Link</w:t>
      </w:r>
    </w:p>
    <w:p>
      <w:pPr>
        <w:pStyle w:val="ListBullet"/>
        <w:spacing w:after="40"/>
      </w:pPr>
      <w:r>
        <w:t>Customer-managed encryption keys (CMK) via Azure Key Vault for data at rest</w:t>
      </w:r>
    </w:p>
    <w:p>
      <w:pPr>
        <w:pStyle w:val="ListBullet"/>
        <w:spacing w:after="40"/>
      </w:pPr>
      <w:r>
        <w:t>Azure OpenAI deployed in Mars's tenant with data processing agreement ensuring no training on Mars data</w:t>
      </w:r>
    </w:p>
    <w:p>
      <w:pPr>
        <w:pStyle w:val="ListBullet"/>
        <w:spacing w:after="40"/>
      </w:pPr>
      <w:r>
        <w:t>PII detection and redaction in generated reports (configurable per data classification level)</w:t>
      </w:r>
    </w:p>
    <w:p>
      <w:pPr>
        <w:pStyle w:val="Heading2"/>
      </w:pPr>
      <w:r>
        <w:t>10.3 Audit &amp; Compliance</w:t>
      </w:r>
    </w:p>
    <w:p>
      <w:pPr>
        <w:pStyle w:val="ListBullet"/>
        <w:spacing w:after="40"/>
      </w:pPr>
      <w:r>
        <w:t>Complete audit trail: who queried what data, when, and what was returned</w:t>
      </w:r>
    </w:p>
    <w:p>
      <w:pPr>
        <w:pStyle w:val="ListBullet"/>
        <w:spacing w:after="40"/>
      </w:pPr>
      <w:r>
        <w:t>LLM prompt/response logging with configurable retention (default 90 days)</w:t>
      </w:r>
    </w:p>
    <w:p>
      <w:pPr>
        <w:pStyle w:val="ListBullet"/>
        <w:spacing w:after="40"/>
      </w:pPr>
      <w:r>
        <w:t>Automated compliance reports for data access patterns and anomaly detection</w:t>
      </w:r>
    </w:p>
    <w:p>
      <w:pPr>
        <w:pStyle w:val="ListBullet"/>
        <w:spacing w:after="40"/>
      </w:pPr>
      <w:r>
        <w:t>Annual penetration testing and security assessment by third-party auditor</w:t>
      </w:r>
    </w:p>
    <w:p>
      <w:pPr>
        <w:pStyle w:val="ListBullet"/>
        <w:spacing w:after="40"/>
      </w:pPr>
      <w:r>
        <w:t>SOC 2 Type II attestation for Amira platform; Mars responsible for data governance policies</w:t>
      </w:r>
    </w:p>
    <w:p>
      <w:r>
        <w:br w:type="page"/>
      </w:r>
    </w:p>
    <w:p>
      <w:pPr>
        <w:pStyle w:val="Heading1"/>
      </w:pPr>
      <w:r>
        <w:t>11. Deployment &amp; Infrastructure</w:t>
      </w:r>
    </w:p>
    <w:p>
      <w:pPr>
        <w:pStyle w:val="Heading2"/>
      </w:pPr>
      <w:r>
        <w:t>11.1 Infrastructure Requirements</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340"/>
        <w:gridCol w:w="2340"/>
        <w:gridCol w:w="2340"/>
        <w:gridCol w:w="2340"/>
      </w:tblGrid>
      <w:tr>
        <w:tc>
          <w:tcPr>
            <w:tcW w:type="dxa" w:w="2160"/>
            <w:shd w:fill="1A56DB"/>
          </w:tcPr>
          <w:p>
            <w:r/>
            <w:r>
              <w:rPr>
                <w:rFonts w:ascii="Calibri" w:hAnsi="Calibri"/>
                <w:b/>
                <w:color w:val="FFFFFF"/>
                <w:sz w:val="20"/>
              </w:rPr>
              <w:t>Component</w:t>
            </w:r>
          </w:p>
        </w:tc>
        <w:tc>
          <w:tcPr>
            <w:tcW w:type="dxa" w:w="2592"/>
            <w:shd w:fill="1A56DB"/>
          </w:tcPr>
          <w:p>
            <w:r/>
            <w:r>
              <w:rPr>
                <w:rFonts w:ascii="Calibri" w:hAnsi="Calibri"/>
                <w:b/>
                <w:color w:val="FFFFFF"/>
                <w:sz w:val="20"/>
              </w:rPr>
              <w:t>Azure Service</w:t>
            </w:r>
          </w:p>
        </w:tc>
        <w:tc>
          <w:tcPr>
            <w:tcW w:type="dxa" w:w="2880"/>
            <w:shd w:fill="1A56DB"/>
          </w:tcPr>
          <w:p>
            <w:r/>
            <w:r>
              <w:rPr>
                <w:rFonts w:ascii="Calibri" w:hAnsi="Calibri"/>
                <w:b/>
                <w:color w:val="FFFFFF"/>
                <w:sz w:val="20"/>
              </w:rPr>
              <w:t>SKU / Configuration</w:t>
            </w:r>
          </w:p>
        </w:tc>
        <w:tc>
          <w:tcPr>
            <w:tcW w:type="dxa" w:w="1728"/>
            <w:shd w:fill="1A56DB"/>
          </w:tcPr>
          <w:p>
            <w:r/>
            <w:r>
              <w:rPr>
                <w:rFonts w:ascii="Calibri" w:hAnsi="Calibri"/>
                <w:b/>
                <w:color w:val="FFFFFF"/>
                <w:sz w:val="20"/>
              </w:rPr>
              <w:t>Estimated Monthly Cost</w:t>
            </w:r>
          </w:p>
        </w:tc>
      </w:tr>
      <w:tr>
        <w:tc>
          <w:tcPr>
            <w:tcW w:type="dxa" w:w="2160"/>
          </w:tcPr>
          <w:p>
            <w:r/>
            <w:r>
              <w:rPr>
                <w:rFonts w:ascii="Calibri" w:hAnsi="Calibri"/>
                <w:color w:val="333333"/>
                <w:sz w:val="18"/>
              </w:rPr>
              <w:t>Web Application</w:t>
            </w:r>
          </w:p>
        </w:tc>
        <w:tc>
          <w:tcPr>
            <w:tcW w:type="dxa" w:w="2592"/>
          </w:tcPr>
          <w:p>
            <w:r/>
            <w:r>
              <w:rPr>
                <w:rFonts w:ascii="Calibri" w:hAnsi="Calibri"/>
                <w:color w:val="333333"/>
                <w:sz w:val="18"/>
              </w:rPr>
              <w:t>Azure App Service</w:t>
            </w:r>
          </w:p>
        </w:tc>
        <w:tc>
          <w:tcPr>
            <w:tcW w:type="dxa" w:w="2880"/>
          </w:tcPr>
          <w:p>
            <w:r/>
            <w:r>
              <w:rPr>
                <w:rFonts w:ascii="Calibri" w:hAnsi="Calibri"/>
                <w:color w:val="333333"/>
                <w:sz w:val="18"/>
              </w:rPr>
              <w:t>Premium v3 P2v3 (2 instances)</w:t>
            </w:r>
          </w:p>
        </w:tc>
        <w:tc>
          <w:tcPr>
            <w:tcW w:type="dxa" w:w="1728"/>
          </w:tcPr>
          <w:p>
            <w:r/>
            <w:r>
              <w:rPr>
                <w:rFonts w:ascii="Calibri" w:hAnsi="Calibri"/>
                <w:color w:val="333333"/>
                <w:sz w:val="18"/>
              </w:rPr>
              <w:t>$600</w:t>
            </w:r>
          </w:p>
        </w:tc>
      </w:tr>
      <w:tr>
        <w:tc>
          <w:tcPr>
            <w:tcW w:type="dxa" w:w="2160"/>
            <w:shd w:fill="F2F6FC"/>
          </w:tcPr>
          <w:p>
            <w:r/>
            <w:r>
              <w:rPr>
                <w:rFonts w:ascii="Calibri" w:hAnsi="Calibri"/>
                <w:color w:val="333333"/>
                <w:sz w:val="18"/>
              </w:rPr>
              <w:t>API Gateway</w:t>
            </w:r>
          </w:p>
        </w:tc>
        <w:tc>
          <w:tcPr>
            <w:tcW w:type="dxa" w:w="2592"/>
            <w:shd w:fill="F2F6FC"/>
          </w:tcPr>
          <w:p>
            <w:r/>
            <w:r>
              <w:rPr>
                <w:rFonts w:ascii="Calibri" w:hAnsi="Calibri"/>
                <w:color w:val="333333"/>
                <w:sz w:val="18"/>
              </w:rPr>
              <w:t>Azure API Management</w:t>
            </w:r>
          </w:p>
        </w:tc>
        <w:tc>
          <w:tcPr>
            <w:tcW w:type="dxa" w:w="2880"/>
            <w:shd w:fill="F2F6FC"/>
          </w:tcPr>
          <w:p>
            <w:r/>
            <w:r>
              <w:rPr>
                <w:rFonts w:ascii="Calibri" w:hAnsi="Calibri"/>
                <w:color w:val="333333"/>
                <w:sz w:val="18"/>
              </w:rPr>
              <w:t>Standard tier</w:t>
            </w:r>
          </w:p>
        </w:tc>
        <w:tc>
          <w:tcPr>
            <w:tcW w:type="dxa" w:w="1728"/>
            <w:shd w:fill="F2F6FC"/>
          </w:tcPr>
          <w:p>
            <w:r/>
            <w:r>
              <w:rPr>
                <w:rFonts w:ascii="Calibri" w:hAnsi="Calibri"/>
                <w:color w:val="333333"/>
                <w:sz w:val="18"/>
              </w:rPr>
              <w:t>$700</w:t>
            </w:r>
          </w:p>
        </w:tc>
      </w:tr>
      <w:tr>
        <w:tc>
          <w:tcPr>
            <w:tcW w:type="dxa" w:w="2160"/>
          </w:tcPr>
          <w:p>
            <w:r/>
            <w:r>
              <w:rPr>
                <w:rFonts w:ascii="Calibri" w:hAnsi="Calibri"/>
                <w:color w:val="333333"/>
                <w:sz w:val="18"/>
              </w:rPr>
              <w:t>Orchestration Workers</w:t>
            </w:r>
          </w:p>
        </w:tc>
        <w:tc>
          <w:tcPr>
            <w:tcW w:type="dxa" w:w="2592"/>
          </w:tcPr>
          <w:p>
            <w:r/>
            <w:r>
              <w:rPr>
                <w:rFonts w:ascii="Calibri" w:hAnsi="Calibri"/>
                <w:color w:val="333333"/>
                <w:sz w:val="18"/>
              </w:rPr>
              <w:t>Azure Container Apps</w:t>
            </w:r>
          </w:p>
        </w:tc>
        <w:tc>
          <w:tcPr>
            <w:tcW w:type="dxa" w:w="2880"/>
          </w:tcPr>
          <w:p>
            <w:r/>
            <w:r>
              <w:rPr>
                <w:rFonts w:ascii="Calibri" w:hAnsi="Calibri"/>
                <w:color w:val="333333"/>
                <w:sz w:val="18"/>
              </w:rPr>
              <w:t>4 vCPU, 8GB RAM (auto-scale 2-10)</w:t>
            </w:r>
          </w:p>
        </w:tc>
        <w:tc>
          <w:tcPr>
            <w:tcW w:type="dxa" w:w="1728"/>
          </w:tcPr>
          <w:p>
            <w:r/>
            <w:r>
              <w:rPr>
                <w:rFonts w:ascii="Calibri" w:hAnsi="Calibri"/>
                <w:color w:val="333333"/>
                <w:sz w:val="18"/>
              </w:rPr>
              <w:t>$800</w:t>
            </w:r>
          </w:p>
        </w:tc>
      </w:tr>
      <w:tr>
        <w:tc>
          <w:tcPr>
            <w:tcW w:type="dxa" w:w="2160"/>
            <w:shd w:fill="F2F6FC"/>
          </w:tcPr>
          <w:p>
            <w:r/>
            <w:r>
              <w:rPr>
                <w:rFonts w:ascii="Calibri" w:hAnsi="Calibri"/>
                <w:color w:val="333333"/>
                <w:sz w:val="18"/>
              </w:rPr>
              <w:t>Agent Pool</w:t>
            </w:r>
          </w:p>
        </w:tc>
        <w:tc>
          <w:tcPr>
            <w:tcW w:type="dxa" w:w="2592"/>
            <w:shd w:fill="F2F6FC"/>
          </w:tcPr>
          <w:p>
            <w:r/>
            <w:r>
              <w:rPr>
                <w:rFonts w:ascii="Calibri" w:hAnsi="Calibri"/>
                <w:color w:val="333333"/>
                <w:sz w:val="18"/>
              </w:rPr>
              <w:t>Azure Container Apps</w:t>
            </w:r>
          </w:p>
        </w:tc>
        <w:tc>
          <w:tcPr>
            <w:tcW w:type="dxa" w:w="2880"/>
            <w:shd w:fill="F2F6FC"/>
          </w:tcPr>
          <w:p>
            <w:r/>
            <w:r>
              <w:rPr>
                <w:rFonts w:ascii="Calibri" w:hAnsi="Calibri"/>
                <w:color w:val="333333"/>
                <w:sz w:val="18"/>
              </w:rPr>
              <w:t>4 vCPU, 16GB RAM (auto-scale 5-50)</w:t>
            </w:r>
          </w:p>
        </w:tc>
        <w:tc>
          <w:tcPr>
            <w:tcW w:type="dxa" w:w="1728"/>
            <w:shd w:fill="F2F6FC"/>
          </w:tcPr>
          <w:p>
            <w:r/>
            <w:r>
              <w:rPr>
                <w:rFonts w:ascii="Calibri" w:hAnsi="Calibri"/>
                <w:color w:val="333333"/>
                <w:sz w:val="18"/>
              </w:rPr>
              <w:t>$2,500</w:t>
            </w:r>
          </w:p>
        </w:tc>
      </w:tr>
      <w:tr>
        <w:tc>
          <w:tcPr>
            <w:tcW w:type="dxa" w:w="2160"/>
          </w:tcPr>
          <w:p>
            <w:r/>
            <w:r>
              <w:rPr>
                <w:rFonts w:ascii="Calibri" w:hAnsi="Calibri"/>
                <w:color w:val="333333"/>
                <w:sz w:val="18"/>
              </w:rPr>
              <w:t>LLM Service</w:t>
            </w:r>
          </w:p>
        </w:tc>
        <w:tc>
          <w:tcPr>
            <w:tcW w:type="dxa" w:w="2592"/>
          </w:tcPr>
          <w:p>
            <w:r/>
            <w:r>
              <w:rPr>
                <w:rFonts w:ascii="Calibri" w:hAnsi="Calibri"/>
                <w:color w:val="333333"/>
                <w:sz w:val="18"/>
              </w:rPr>
              <w:t>Azure OpenAI</w:t>
            </w:r>
          </w:p>
        </w:tc>
        <w:tc>
          <w:tcPr>
            <w:tcW w:type="dxa" w:w="2880"/>
          </w:tcPr>
          <w:p>
            <w:r/>
            <w:r>
              <w:rPr>
                <w:rFonts w:ascii="Calibri" w:hAnsi="Calibri"/>
                <w:color w:val="333333"/>
                <w:sz w:val="18"/>
              </w:rPr>
              <w:t>GPT-4.1 provisioned throughput (100K tokens/min)</w:t>
            </w:r>
          </w:p>
        </w:tc>
        <w:tc>
          <w:tcPr>
            <w:tcW w:type="dxa" w:w="1728"/>
          </w:tcPr>
          <w:p>
            <w:r/>
            <w:r>
              <w:rPr>
                <w:rFonts w:ascii="Calibri" w:hAnsi="Calibri"/>
                <w:color w:val="333333"/>
                <w:sz w:val="18"/>
              </w:rPr>
              <w:t>$5,000</w:t>
            </w:r>
          </w:p>
        </w:tc>
      </w:tr>
      <w:tr>
        <w:tc>
          <w:tcPr>
            <w:tcW w:type="dxa" w:w="2160"/>
            <w:shd w:fill="F2F6FC"/>
          </w:tcPr>
          <w:p>
            <w:r/>
            <w:r>
              <w:rPr>
                <w:rFonts w:ascii="Calibri" w:hAnsi="Calibri"/>
                <w:color w:val="333333"/>
                <w:sz w:val="18"/>
              </w:rPr>
              <w:t>Embedding Service</w:t>
            </w:r>
          </w:p>
        </w:tc>
        <w:tc>
          <w:tcPr>
            <w:tcW w:type="dxa" w:w="2592"/>
            <w:shd w:fill="F2F6FC"/>
          </w:tcPr>
          <w:p>
            <w:r/>
            <w:r>
              <w:rPr>
                <w:rFonts w:ascii="Calibri" w:hAnsi="Calibri"/>
                <w:color w:val="333333"/>
                <w:sz w:val="18"/>
              </w:rPr>
              <w:t>Azure OpenAI</w:t>
            </w:r>
          </w:p>
        </w:tc>
        <w:tc>
          <w:tcPr>
            <w:tcW w:type="dxa" w:w="2880"/>
            <w:shd w:fill="F2F6FC"/>
          </w:tcPr>
          <w:p>
            <w:r/>
            <w:r>
              <w:rPr>
                <w:rFonts w:ascii="Calibri" w:hAnsi="Calibri"/>
                <w:color w:val="333333"/>
                <w:sz w:val="18"/>
              </w:rPr>
              <w:t>text-embedding-3-large</w:t>
            </w:r>
          </w:p>
        </w:tc>
        <w:tc>
          <w:tcPr>
            <w:tcW w:type="dxa" w:w="1728"/>
            <w:shd w:fill="F2F6FC"/>
          </w:tcPr>
          <w:p>
            <w:r/>
            <w:r>
              <w:rPr>
                <w:rFonts w:ascii="Calibri" w:hAnsi="Calibri"/>
                <w:color w:val="333333"/>
                <w:sz w:val="18"/>
              </w:rPr>
              <w:t>$500</w:t>
            </w:r>
          </w:p>
        </w:tc>
      </w:tr>
      <w:tr>
        <w:tc>
          <w:tcPr>
            <w:tcW w:type="dxa" w:w="2160"/>
          </w:tcPr>
          <w:p>
            <w:r/>
            <w:r>
              <w:rPr>
                <w:rFonts w:ascii="Calibri" w:hAnsi="Calibri"/>
                <w:color w:val="333333"/>
                <w:sz w:val="18"/>
              </w:rPr>
              <w:t>Vector Search</w:t>
            </w:r>
          </w:p>
        </w:tc>
        <w:tc>
          <w:tcPr>
            <w:tcW w:type="dxa" w:w="2592"/>
          </w:tcPr>
          <w:p>
            <w:r/>
            <w:r>
              <w:rPr>
                <w:rFonts w:ascii="Calibri" w:hAnsi="Calibri"/>
                <w:color w:val="333333"/>
                <w:sz w:val="18"/>
              </w:rPr>
              <w:t>Azure AI Search</w:t>
            </w:r>
          </w:p>
        </w:tc>
        <w:tc>
          <w:tcPr>
            <w:tcW w:type="dxa" w:w="2880"/>
          </w:tcPr>
          <w:p>
            <w:r/>
            <w:r>
              <w:rPr>
                <w:rFonts w:ascii="Calibri" w:hAnsi="Calibri"/>
                <w:color w:val="333333"/>
                <w:sz w:val="18"/>
              </w:rPr>
              <w:t>Standard S1 (3 replicas)</w:t>
            </w:r>
          </w:p>
        </w:tc>
        <w:tc>
          <w:tcPr>
            <w:tcW w:type="dxa" w:w="1728"/>
          </w:tcPr>
          <w:p>
            <w:r/>
            <w:r>
              <w:rPr>
                <w:rFonts w:ascii="Calibri" w:hAnsi="Calibri"/>
                <w:color w:val="333333"/>
                <w:sz w:val="18"/>
              </w:rPr>
              <w:t>$750</w:t>
            </w:r>
          </w:p>
        </w:tc>
      </w:tr>
      <w:tr>
        <w:tc>
          <w:tcPr>
            <w:tcW w:type="dxa" w:w="2160"/>
            <w:shd w:fill="F2F6FC"/>
          </w:tcPr>
          <w:p>
            <w:r/>
            <w:r>
              <w:rPr>
                <w:rFonts w:ascii="Calibri" w:hAnsi="Calibri"/>
                <w:color w:val="333333"/>
                <w:sz w:val="18"/>
              </w:rPr>
              <w:t>SQL Database</w:t>
            </w:r>
          </w:p>
        </w:tc>
        <w:tc>
          <w:tcPr>
            <w:tcW w:type="dxa" w:w="2592"/>
            <w:shd w:fill="F2F6FC"/>
          </w:tcPr>
          <w:p>
            <w:r/>
            <w:r>
              <w:rPr>
                <w:rFonts w:ascii="Calibri" w:hAnsi="Calibri"/>
                <w:color w:val="333333"/>
                <w:sz w:val="18"/>
              </w:rPr>
              <w:t>Azure SQL Database</w:t>
            </w:r>
          </w:p>
        </w:tc>
        <w:tc>
          <w:tcPr>
            <w:tcW w:type="dxa" w:w="2880"/>
            <w:shd w:fill="F2F6FC"/>
          </w:tcPr>
          <w:p>
            <w:r/>
            <w:r>
              <w:rPr>
                <w:rFonts w:ascii="Calibri" w:hAnsi="Calibri"/>
                <w:color w:val="333333"/>
                <w:sz w:val="18"/>
              </w:rPr>
              <w:t>Business Critical, 8 vCores</w:t>
            </w:r>
          </w:p>
        </w:tc>
        <w:tc>
          <w:tcPr>
            <w:tcW w:type="dxa" w:w="1728"/>
            <w:shd w:fill="F2F6FC"/>
          </w:tcPr>
          <w:p>
            <w:r/>
            <w:r>
              <w:rPr>
                <w:rFonts w:ascii="Calibri" w:hAnsi="Calibri"/>
                <w:color w:val="333333"/>
                <w:sz w:val="18"/>
              </w:rPr>
              <w:t>$1,200</w:t>
            </w:r>
          </w:p>
        </w:tc>
      </w:tr>
      <w:tr>
        <w:tc>
          <w:tcPr>
            <w:tcW w:type="dxa" w:w="2160"/>
          </w:tcPr>
          <w:p>
            <w:r/>
            <w:r>
              <w:rPr>
                <w:rFonts w:ascii="Calibri" w:hAnsi="Calibri"/>
                <w:color w:val="333333"/>
                <w:sz w:val="18"/>
              </w:rPr>
              <w:t>Cache</w:t>
            </w:r>
          </w:p>
        </w:tc>
        <w:tc>
          <w:tcPr>
            <w:tcW w:type="dxa" w:w="2592"/>
          </w:tcPr>
          <w:p>
            <w:r/>
            <w:r>
              <w:rPr>
                <w:rFonts w:ascii="Calibri" w:hAnsi="Calibri"/>
                <w:color w:val="333333"/>
                <w:sz w:val="18"/>
              </w:rPr>
              <w:t>Azure Redis Cache</w:t>
            </w:r>
          </w:p>
        </w:tc>
        <w:tc>
          <w:tcPr>
            <w:tcW w:type="dxa" w:w="2880"/>
          </w:tcPr>
          <w:p>
            <w:r/>
            <w:r>
              <w:rPr>
                <w:rFonts w:ascii="Calibri" w:hAnsi="Calibri"/>
                <w:color w:val="333333"/>
                <w:sz w:val="18"/>
              </w:rPr>
              <w:t>Premium P1 (6GB)</w:t>
            </w:r>
          </w:p>
        </w:tc>
        <w:tc>
          <w:tcPr>
            <w:tcW w:type="dxa" w:w="1728"/>
          </w:tcPr>
          <w:p>
            <w:r/>
            <w:r>
              <w:rPr>
                <w:rFonts w:ascii="Calibri" w:hAnsi="Calibri"/>
                <w:color w:val="333333"/>
                <w:sz w:val="18"/>
              </w:rPr>
              <w:t>$400</w:t>
            </w:r>
          </w:p>
        </w:tc>
      </w:tr>
      <w:tr>
        <w:tc>
          <w:tcPr>
            <w:tcW w:type="dxa" w:w="2160"/>
            <w:shd w:fill="F2F6FC"/>
          </w:tcPr>
          <w:p>
            <w:r/>
            <w:r>
              <w:rPr>
                <w:rFonts w:ascii="Calibri" w:hAnsi="Calibri"/>
                <w:color w:val="333333"/>
                <w:sz w:val="18"/>
              </w:rPr>
              <w:t>Document Store</w:t>
            </w:r>
          </w:p>
        </w:tc>
        <w:tc>
          <w:tcPr>
            <w:tcW w:type="dxa" w:w="2592"/>
            <w:shd w:fill="F2F6FC"/>
          </w:tcPr>
          <w:p>
            <w:r/>
            <w:r>
              <w:rPr>
                <w:rFonts w:ascii="Calibri" w:hAnsi="Calibri"/>
                <w:color w:val="333333"/>
                <w:sz w:val="18"/>
              </w:rPr>
              <w:t>Azure Blob Storage</w:t>
            </w:r>
          </w:p>
        </w:tc>
        <w:tc>
          <w:tcPr>
            <w:tcW w:type="dxa" w:w="2880"/>
            <w:shd w:fill="F2F6FC"/>
          </w:tcPr>
          <w:p>
            <w:r/>
            <w:r>
              <w:rPr>
                <w:rFonts w:ascii="Calibri" w:hAnsi="Calibri"/>
                <w:color w:val="333333"/>
                <w:sz w:val="18"/>
              </w:rPr>
              <w:t>Hot tier, 1TB</w:t>
            </w:r>
          </w:p>
        </w:tc>
        <w:tc>
          <w:tcPr>
            <w:tcW w:type="dxa" w:w="1728"/>
            <w:shd w:fill="F2F6FC"/>
          </w:tcPr>
          <w:p>
            <w:r/>
            <w:r>
              <w:rPr>
                <w:rFonts w:ascii="Calibri" w:hAnsi="Calibri"/>
                <w:color w:val="333333"/>
                <w:sz w:val="18"/>
              </w:rPr>
              <w:t>$25</w:t>
            </w:r>
          </w:p>
        </w:tc>
      </w:tr>
      <w:tr>
        <w:tc>
          <w:tcPr>
            <w:tcW w:type="dxa" w:w="2160"/>
          </w:tcPr>
          <w:p>
            <w:r/>
            <w:r>
              <w:rPr>
                <w:rFonts w:ascii="Calibri" w:hAnsi="Calibri"/>
                <w:color w:val="333333"/>
                <w:sz w:val="18"/>
              </w:rPr>
              <w:t>Metadata Store</w:t>
            </w:r>
          </w:p>
        </w:tc>
        <w:tc>
          <w:tcPr>
            <w:tcW w:type="dxa" w:w="2592"/>
          </w:tcPr>
          <w:p>
            <w:r/>
            <w:r>
              <w:rPr>
                <w:rFonts w:ascii="Calibri" w:hAnsi="Calibri"/>
                <w:color w:val="333333"/>
                <w:sz w:val="18"/>
              </w:rPr>
              <w:t>Azure Cosmos DB</w:t>
            </w:r>
          </w:p>
        </w:tc>
        <w:tc>
          <w:tcPr>
            <w:tcW w:type="dxa" w:w="2880"/>
          </w:tcPr>
          <w:p>
            <w:r/>
            <w:r>
              <w:rPr>
                <w:rFonts w:ascii="Calibri" w:hAnsi="Calibri"/>
                <w:color w:val="333333"/>
                <w:sz w:val="18"/>
              </w:rPr>
              <w:t>Serverless, 1000 RU/s</w:t>
            </w:r>
          </w:p>
        </w:tc>
        <w:tc>
          <w:tcPr>
            <w:tcW w:type="dxa" w:w="1728"/>
          </w:tcPr>
          <w:p>
            <w:r/>
            <w:r>
              <w:rPr>
                <w:rFonts w:ascii="Calibri" w:hAnsi="Calibri"/>
                <w:color w:val="333333"/>
                <w:sz w:val="18"/>
              </w:rPr>
              <w:t>$300</w:t>
            </w:r>
          </w:p>
        </w:tc>
      </w:tr>
      <w:tr>
        <w:tc>
          <w:tcPr>
            <w:tcW w:type="dxa" w:w="2160"/>
            <w:shd w:fill="F2F6FC"/>
          </w:tcPr>
          <w:p>
            <w:r/>
            <w:r>
              <w:rPr>
                <w:rFonts w:ascii="Calibri" w:hAnsi="Calibri"/>
                <w:color w:val="333333"/>
                <w:sz w:val="18"/>
              </w:rPr>
              <w:t>Message Queue</w:t>
            </w:r>
          </w:p>
        </w:tc>
        <w:tc>
          <w:tcPr>
            <w:tcW w:type="dxa" w:w="2592"/>
            <w:shd w:fill="F2F6FC"/>
          </w:tcPr>
          <w:p>
            <w:r/>
            <w:r>
              <w:rPr>
                <w:rFonts w:ascii="Calibri" w:hAnsi="Calibri"/>
                <w:color w:val="333333"/>
                <w:sz w:val="18"/>
              </w:rPr>
              <w:t>Azure Service Bus</w:t>
            </w:r>
          </w:p>
        </w:tc>
        <w:tc>
          <w:tcPr>
            <w:tcW w:type="dxa" w:w="2880"/>
            <w:shd w:fill="F2F6FC"/>
          </w:tcPr>
          <w:p>
            <w:r/>
            <w:r>
              <w:rPr>
                <w:rFonts w:ascii="Calibri" w:hAnsi="Calibri"/>
                <w:color w:val="333333"/>
                <w:sz w:val="18"/>
              </w:rPr>
              <w:t>Premium (1 messaging unit)</w:t>
            </w:r>
          </w:p>
        </w:tc>
        <w:tc>
          <w:tcPr>
            <w:tcW w:type="dxa" w:w="1728"/>
            <w:shd w:fill="F2F6FC"/>
          </w:tcPr>
          <w:p>
            <w:r/>
            <w:r>
              <w:rPr>
                <w:rFonts w:ascii="Calibri" w:hAnsi="Calibri"/>
                <w:color w:val="333333"/>
                <w:sz w:val="18"/>
              </w:rPr>
              <w:t>$700</w:t>
            </w:r>
          </w:p>
        </w:tc>
      </w:tr>
      <w:tr>
        <w:tc>
          <w:tcPr>
            <w:tcW w:type="dxa" w:w="2160"/>
          </w:tcPr>
          <w:p>
            <w:r/>
            <w:r>
              <w:rPr>
                <w:rFonts w:ascii="Calibri" w:hAnsi="Calibri"/>
                <w:color w:val="333333"/>
                <w:sz w:val="18"/>
              </w:rPr>
              <w:t>Monitoring</w:t>
            </w:r>
          </w:p>
        </w:tc>
        <w:tc>
          <w:tcPr>
            <w:tcW w:type="dxa" w:w="2592"/>
          </w:tcPr>
          <w:p>
            <w:r/>
            <w:r>
              <w:rPr>
                <w:rFonts w:ascii="Calibri" w:hAnsi="Calibri"/>
                <w:color w:val="333333"/>
                <w:sz w:val="18"/>
              </w:rPr>
              <w:t>Azure Monitor + App Insights</w:t>
            </w:r>
          </w:p>
        </w:tc>
        <w:tc>
          <w:tcPr>
            <w:tcW w:type="dxa" w:w="2880"/>
          </w:tcPr>
          <w:p>
            <w:r/>
            <w:r>
              <w:rPr>
                <w:rFonts w:ascii="Calibri" w:hAnsi="Calibri"/>
                <w:color w:val="333333"/>
                <w:sz w:val="18"/>
              </w:rPr>
              <w:t>Standard</w:t>
            </w:r>
          </w:p>
        </w:tc>
        <w:tc>
          <w:tcPr>
            <w:tcW w:type="dxa" w:w="1728"/>
          </w:tcPr>
          <w:p>
            <w:r/>
            <w:r>
              <w:rPr>
                <w:rFonts w:ascii="Calibri" w:hAnsi="Calibri"/>
                <w:color w:val="333333"/>
                <w:sz w:val="18"/>
              </w:rPr>
              <w:t>$200</w:t>
            </w:r>
          </w:p>
        </w:tc>
      </w:tr>
      <w:tr>
        <w:tc>
          <w:tcPr>
            <w:tcW w:type="dxa" w:w="2160"/>
            <w:shd w:fill="F2F6FC"/>
          </w:tcPr>
          <w:p>
            <w:r/>
            <w:r>
              <w:rPr>
                <w:rFonts w:ascii="Calibri" w:hAnsi="Calibri"/>
                <w:color w:val="333333"/>
                <w:sz w:val="18"/>
              </w:rPr>
              <w:t>Key Vault</w:t>
            </w:r>
          </w:p>
        </w:tc>
        <w:tc>
          <w:tcPr>
            <w:tcW w:type="dxa" w:w="2592"/>
            <w:shd w:fill="F2F6FC"/>
          </w:tcPr>
          <w:p>
            <w:r/>
            <w:r>
              <w:rPr>
                <w:rFonts w:ascii="Calibri" w:hAnsi="Calibri"/>
                <w:color w:val="333333"/>
                <w:sz w:val="18"/>
              </w:rPr>
              <w:t>Azure Key Vault</w:t>
            </w:r>
          </w:p>
        </w:tc>
        <w:tc>
          <w:tcPr>
            <w:tcW w:type="dxa" w:w="2880"/>
            <w:shd w:fill="F2F6FC"/>
          </w:tcPr>
          <w:p>
            <w:r/>
            <w:r>
              <w:rPr>
                <w:rFonts w:ascii="Calibri" w:hAnsi="Calibri"/>
                <w:color w:val="333333"/>
                <w:sz w:val="18"/>
              </w:rPr>
              <w:t>Standard</w:t>
            </w:r>
          </w:p>
        </w:tc>
        <w:tc>
          <w:tcPr>
            <w:tcW w:type="dxa" w:w="1728"/>
            <w:shd w:fill="F2F6FC"/>
          </w:tcPr>
          <w:p>
            <w:r/>
            <w:r>
              <w:rPr>
                <w:rFonts w:ascii="Calibri" w:hAnsi="Calibri"/>
                <w:color w:val="333333"/>
                <w:sz w:val="18"/>
              </w:rPr>
              <w:t>$10</w:t>
            </w:r>
          </w:p>
        </w:tc>
      </w:tr>
      <w:tr>
        <w:tc>
          <w:tcPr>
            <w:tcW w:type="dxa" w:w="2160"/>
          </w:tcPr>
          <w:p>
            <w:r/>
            <w:r>
              <w:rPr>
                <w:rFonts w:ascii="Calibri" w:hAnsi="Calibri"/>
                <w:color w:val="333333"/>
                <w:sz w:val="18"/>
              </w:rPr>
            </w:r>
          </w:p>
        </w:tc>
        <w:tc>
          <w:tcPr>
            <w:tcW w:type="dxa" w:w="2592"/>
          </w:tcPr>
          <w:p>
            <w:r/>
            <w:r>
              <w:rPr>
                <w:rFonts w:ascii="Calibri" w:hAnsi="Calibri"/>
                <w:color w:val="333333"/>
                <w:sz w:val="18"/>
              </w:rPr>
            </w:r>
          </w:p>
        </w:tc>
        <w:tc>
          <w:tcPr>
            <w:tcW w:type="dxa" w:w="2880"/>
          </w:tcPr>
          <w:p>
            <w:r/>
            <w:r>
              <w:rPr>
                <w:rFonts w:ascii="Calibri" w:hAnsi="Calibri"/>
                <w:color w:val="333333"/>
                <w:sz w:val="18"/>
              </w:rPr>
              <w:t>Estimated Total</w:t>
            </w:r>
          </w:p>
        </w:tc>
        <w:tc>
          <w:tcPr>
            <w:tcW w:type="dxa" w:w="1728"/>
          </w:tcPr>
          <w:p>
            <w:r/>
            <w:r>
              <w:rPr>
                <w:rFonts w:ascii="Calibri" w:hAnsi="Calibri"/>
                <w:color w:val="333333"/>
                <w:sz w:val="18"/>
              </w:rPr>
              <w:t>$13,685/month</w:t>
            </w:r>
          </w:p>
        </w:tc>
      </w:tr>
    </w:tbl>
    <w:p/>
    <w:p>
      <w:pPr>
        <w:pStyle w:val="Heading2"/>
      </w:pPr>
      <w:r>
        <w:t>11.2 Deployment Model</w:t>
      </w:r>
    </w:p>
    <w:p>
      <w:pPr>
        <w:pStyle w:val="ListBullet"/>
        <w:spacing w:after="40"/>
      </w:pPr>
      <w:r>
        <w:t>CI/CD via Azure DevOps or GitHub Actions</w:t>
      </w:r>
    </w:p>
    <w:p>
      <w:pPr>
        <w:pStyle w:val="ListBullet"/>
        <w:spacing w:after="40"/>
      </w:pPr>
      <w:r>
        <w:t>Blue-green deployment for zero-downtime releases</w:t>
      </w:r>
    </w:p>
    <w:p>
      <w:pPr>
        <w:pStyle w:val="ListBullet"/>
        <w:spacing w:after="40"/>
      </w:pPr>
      <w:r>
        <w:t>Infrastructure as Code (IaC) via Terraform or Bicep</w:t>
      </w:r>
    </w:p>
    <w:p>
      <w:pPr>
        <w:pStyle w:val="ListBullet"/>
        <w:spacing w:after="40"/>
      </w:pPr>
      <w:r>
        <w:t>Staging environment mirroring production for pre-release validation</w:t>
      </w:r>
    </w:p>
    <w:p>
      <w:pPr>
        <w:pStyle w:val="ListBullet"/>
        <w:spacing w:after="40"/>
      </w:pPr>
      <w:r>
        <w:t>Feature flags for gradual rollout of new capabilities</w:t>
      </w:r>
    </w:p>
    <w:p>
      <w:pPr>
        <w:pStyle w:val="Heading2"/>
      </w:pPr>
      <w:r>
        <w:t>11.3 Environments</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340"/>
        <w:gridCol w:w="2340"/>
        <w:gridCol w:w="2340"/>
        <w:gridCol w:w="2340"/>
      </w:tblGrid>
      <w:tr>
        <w:tc>
          <w:tcPr>
            <w:tcW w:type="dxa" w:w="1872"/>
            <w:shd w:fill="1A56DB"/>
          </w:tcPr>
          <w:p>
            <w:r/>
            <w:r>
              <w:rPr>
                <w:rFonts w:ascii="Calibri" w:hAnsi="Calibri"/>
                <w:b/>
                <w:color w:val="FFFFFF"/>
                <w:sz w:val="20"/>
              </w:rPr>
              <w:t>Environment</w:t>
            </w:r>
          </w:p>
        </w:tc>
        <w:tc>
          <w:tcPr>
            <w:tcW w:type="dxa" w:w="2880"/>
            <w:shd w:fill="1A56DB"/>
          </w:tcPr>
          <w:p>
            <w:r/>
            <w:r>
              <w:rPr>
                <w:rFonts w:ascii="Calibri" w:hAnsi="Calibri"/>
                <w:b/>
                <w:color w:val="FFFFFF"/>
                <w:sz w:val="20"/>
              </w:rPr>
              <w:t>Purpose</w:t>
            </w:r>
          </w:p>
        </w:tc>
        <w:tc>
          <w:tcPr>
            <w:tcW w:type="dxa" w:w="2880"/>
            <w:shd w:fill="1A56DB"/>
          </w:tcPr>
          <w:p>
            <w:r/>
            <w:r>
              <w:rPr>
                <w:rFonts w:ascii="Calibri" w:hAnsi="Calibri"/>
                <w:b/>
                <w:color w:val="FFFFFF"/>
                <w:sz w:val="20"/>
              </w:rPr>
              <w:t>Data</w:t>
            </w:r>
          </w:p>
        </w:tc>
        <w:tc>
          <w:tcPr>
            <w:tcW w:type="dxa" w:w="1728"/>
            <w:shd w:fill="1A56DB"/>
          </w:tcPr>
          <w:p>
            <w:r/>
            <w:r>
              <w:rPr>
                <w:rFonts w:ascii="Calibri" w:hAnsi="Calibri"/>
                <w:b/>
                <w:color w:val="FFFFFF"/>
                <w:sz w:val="20"/>
              </w:rPr>
              <w:t>Access</w:t>
            </w:r>
          </w:p>
        </w:tc>
      </w:tr>
      <w:tr>
        <w:tc>
          <w:tcPr>
            <w:tcW w:type="dxa" w:w="1872"/>
          </w:tcPr>
          <w:p>
            <w:r/>
            <w:r>
              <w:rPr>
                <w:rFonts w:ascii="Calibri" w:hAnsi="Calibri"/>
                <w:color w:val="333333"/>
                <w:sz w:val="18"/>
              </w:rPr>
              <w:t>Development</w:t>
            </w:r>
          </w:p>
        </w:tc>
        <w:tc>
          <w:tcPr>
            <w:tcW w:type="dxa" w:w="2880"/>
          </w:tcPr>
          <w:p>
            <w:r/>
            <w:r>
              <w:rPr>
                <w:rFonts w:ascii="Calibri" w:hAnsi="Calibri"/>
                <w:color w:val="333333"/>
                <w:sz w:val="18"/>
              </w:rPr>
              <w:t>Active development and unit testing</w:t>
            </w:r>
          </w:p>
        </w:tc>
        <w:tc>
          <w:tcPr>
            <w:tcW w:type="dxa" w:w="2880"/>
          </w:tcPr>
          <w:p>
            <w:r/>
            <w:r>
              <w:rPr>
                <w:rFonts w:ascii="Calibri" w:hAnsi="Calibri"/>
                <w:color w:val="333333"/>
                <w:sz w:val="18"/>
              </w:rPr>
              <w:t>Synthetic / scrambled data</w:t>
            </w:r>
          </w:p>
        </w:tc>
        <w:tc>
          <w:tcPr>
            <w:tcW w:type="dxa" w:w="1728"/>
          </w:tcPr>
          <w:p>
            <w:r/>
            <w:r>
              <w:rPr>
                <w:rFonts w:ascii="Calibri" w:hAnsi="Calibri"/>
                <w:color w:val="333333"/>
                <w:sz w:val="18"/>
              </w:rPr>
              <w:t>Engineering team</w:t>
            </w:r>
          </w:p>
        </w:tc>
      </w:tr>
      <w:tr>
        <w:tc>
          <w:tcPr>
            <w:tcW w:type="dxa" w:w="1872"/>
            <w:shd w:fill="F2F6FC"/>
          </w:tcPr>
          <w:p>
            <w:r/>
            <w:r>
              <w:rPr>
                <w:rFonts w:ascii="Calibri" w:hAnsi="Calibri"/>
                <w:color w:val="333333"/>
                <w:sz w:val="18"/>
              </w:rPr>
              <w:t>Staging</w:t>
            </w:r>
          </w:p>
        </w:tc>
        <w:tc>
          <w:tcPr>
            <w:tcW w:type="dxa" w:w="2880"/>
            <w:shd w:fill="F2F6FC"/>
          </w:tcPr>
          <w:p>
            <w:r/>
            <w:r>
              <w:rPr>
                <w:rFonts w:ascii="Calibri" w:hAnsi="Calibri"/>
                <w:color w:val="333333"/>
                <w:sz w:val="18"/>
              </w:rPr>
              <w:t>Integration testing and UAT</w:t>
            </w:r>
          </w:p>
        </w:tc>
        <w:tc>
          <w:tcPr>
            <w:tcW w:type="dxa" w:w="2880"/>
            <w:shd w:fill="F2F6FC"/>
          </w:tcPr>
          <w:p>
            <w:r/>
            <w:r>
              <w:rPr>
                <w:rFonts w:ascii="Calibri" w:hAnsi="Calibri"/>
                <w:color w:val="333333"/>
                <w:sz w:val="18"/>
              </w:rPr>
              <w:t>Anonymized production data subset</w:t>
            </w:r>
          </w:p>
        </w:tc>
        <w:tc>
          <w:tcPr>
            <w:tcW w:type="dxa" w:w="1728"/>
            <w:shd w:fill="F2F6FC"/>
          </w:tcPr>
          <w:p>
            <w:r/>
            <w:r>
              <w:rPr>
                <w:rFonts w:ascii="Calibri" w:hAnsi="Calibri"/>
                <w:color w:val="333333"/>
                <w:sz w:val="18"/>
              </w:rPr>
              <w:t>Engineering + QA + key stakeholders</w:t>
            </w:r>
          </w:p>
        </w:tc>
      </w:tr>
      <w:tr>
        <w:tc>
          <w:tcPr>
            <w:tcW w:type="dxa" w:w="1872"/>
          </w:tcPr>
          <w:p>
            <w:r/>
            <w:r>
              <w:rPr>
                <w:rFonts w:ascii="Calibri" w:hAnsi="Calibri"/>
                <w:color w:val="333333"/>
                <w:sz w:val="18"/>
              </w:rPr>
              <w:t>Production</w:t>
            </w:r>
          </w:p>
        </w:tc>
        <w:tc>
          <w:tcPr>
            <w:tcW w:type="dxa" w:w="2880"/>
          </w:tcPr>
          <w:p>
            <w:r/>
            <w:r>
              <w:rPr>
                <w:rFonts w:ascii="Calibri" w:hAnsi="Calibri"/>
                <w:color w:val="333333"/>
                <w:sz w:val="18"/>
              </w:rPr>
              <w:t>Live system</w:t>
            </w:r>
          </w:p>
        </w:tc>
        <w:tc>
          <w:tcPr>
            <w:tcW w:type="dxa" w:w="2880"/>
          </w:tcPr>
          <w:p>
            <w:r/>
            <w:r>
              <w:rPr>
                <w:rFonts w:ascii="Calibri" w:hAnsi="Calibri"/>
                <w:color w:val="333333"/>
                <w:sz w:val="18"/>
              </w:rPr>
              <w:t>Real financial data</w:t>
            </w:r>
          </w:p>
        </w:tc>
        <w:tc>
          <w:tcPr>
            <w:tcW w:type="dxa" w:w="1728"/>
          </w:tcPr>
          <w:p>
            <w:r/>
            <w:r>
              <w:rPr>
                <w:rFonts w:ascii="Calibri" w:hAnsi="Calibri"/>
                <w:color w:val="333333"/>
                <w:sz w:val="18"/>
              </w:rPr>
              <w:t>All authorized users</w:t>
            </w:r>
          </w:p>
        </w:tc>
      </w:tr>
    </w:tbl>
    <w:p/>
    <w:p>
      <w:r>
        <w:br w:type="page"/>
      </w:r>
    </w:p>
    <w:p>
      <w:pPr>
        <w:pStyle w:val="Heading1"/>
      </w:pPr>
      <w:r>
        <w:t>12. Phased Rollout Plan</w:t>
      </w:r>
    </w:p>
    <w:p>
      <w:pPr>
        <w:pStyle w:val="Heading2"/>
      </w:pPr>
      <w:r>
        <w:t>Phase 1: Foundation (Months 1-4)</w:t>
      </w:r>
    </w:p>
    <w:p>
      <w:pPr>
        <w:spacing w:after="120"/>
      </w:pPr>
      <w:r>
        <w:rPr>
          <w:b/>
        </w:rPr>
        <w:t>Goal: Replace current PES and CI tools with unified platform. Core query interface.</w:t>
      </w:r>
    </w:p>
    <w:p>
      <w:pPr>
        <w:pStyle w:val="ListBullet"/>
        <w:spacing w:after="40"/>
      </w:pPr>
      <w:r>
        <w:t>Unified data ingestion engine (internal Excel + competitor PDFs)</w:t>
      </w:r>
    </w:p>
    <w:p>
      <w:pPr>
        <w:pStyle w:val="ListBullet"/>
        <w:spacing w:after="40"/>
      </w:pPr>
      <w:r>
        <w:t>Period End Summary generation (all 6 KPIs, 3 output formats)</w:t>
      </w:r>
    </w:p>
    <w:p>
      <w:pPr>
        <w:pStyle w:val="ListBullet"/>
        <w:spacing w:after="40"/>
      </w:pPr>
      <w:r>
        <w:t>Competitive Intelligence module (themed summaries, P2P benchmarking)</w:t>
      </w:r>
    </w:p>
    <w:p>
      <w:pPr>
        <w:pStyle w:val="ListBullet"/>
        <w:spacing w:after="40"/>
      </w:pPr>
      <w:r>
        <w:t>Natural language query interface (conversational, multi-turn)</w:t>
      </w:r>
    </w:p>
    <w:p>
      <w:pPr>
        <w:pStyle w:val="ListBullet"/>
        <w:spacing w:after="40"/>
      </w:pPr>
      <w:r>
        <w:t>Basic job queue (submit, track, retrieve)</w:t>
      </w:r>
    </w:p>
    <w:p>
      <w:pPr>
        <w:pStyle w:val="ListBullet"/>
        <w:spacing w:after="40"/>
      </w:pPr>
      <w:r>
        <w:t>RBAC and SSO integration</w:t>
      </w:r>
    </w:p>
    <w:p>
      <w:pPr>
        <w:pStyle w:val="ListBullet"/>
        <w:spacing w:after="40"/>
      </w:pPr>
      <w:r>
        <w:t>Caching layer for sub-second cached retrieval</w:t>
      </w:r>
    </w:p>
    <w:p>
      <w:pPr>
        <w:pStyle w:val="ListBullet"/>
        <w:spacing w:after="40"/>
      </w:pPr>
      <w:r>
        <w:t>Admin dashboard (templates, KPIs, peer groups)</w:t>
      </w:r>
    </w:p>
    <w:p>
      <w:pPr>
        <w:spacing w:after="120"/>
      </w:pPr>
      <w:r>
        <w:rPr>
          <w:b/>
        </w:rPr>
        <w:t>Phase 1 Deliverables:</w:t>
      </w:r>
    </w:p>
    <w:p>
      <w:pPr>
        <w:pStyle w:val="ListBullet"/>
        <w:spacing w:after="40"/>
      </w:pPr>
      <w:r>
        <w:t>Web application deployed to Mars Azure tenant</w:t>
      </w:r>
    </w:p>
    <w:p>
      <w:pPr>
        <w:pStyle w:val="ListBullet"/>
        <w:spacing w:after="40"/>
      </w:pPr>
      <w:r>
        <w:t>Migration of existing PES and CI users</w:t>
      </w:r>
    </w:p>
    <w:p>
      <w:pPr>
        <w:pStyle w:val="ListBullet"/>
        <w:spacing w:after="40"/>
      </w:pPr>
      <w:r>
        <w:t>API documentation and developer portal</w:t>
      </w:r>
    </w:p>
    <w:p>
      <w:pPr>
        <w:pStyle w:val="ListBullet"/>
        <w:spacing w:after="40"/>
      </w:pPr>
      <w:r>
        <w:t>User training materials and onboarding guides</w:t>
      </w:r>
    </w:p>
    <w:p>
      <w:pPr>
        <w:pStyle w:val="Heading2"/>
      </w:pPr>
      <w:r>
        <w:t>Phase 2: Intelligence (Months 5-8)</w:t>
      </w:r>
    </w:p>
    <w:p>
      <w:pPr>
        <w:spacing w:after="120"/>
      </w:pPr>
      <w:r>
        <w:rPr>
          <w:b/>
        </w:rPr>
        <w:t>Goal: Add forecasting integration, marketing analytics, and enterprise job board.</w:t>
      </w:r>
    </w:p>
    <w:p>
      <w:pPr>
        <w:pStyle w:val="ListBullet"/>
        <w:spacing w:after="40"/>
      </w:pPr>
      <w:r>
        <w:t>Amira Financial Forecasting API integration</w:t>
      </w:r>
    </w:p>
    <w:p>
      <w:pPr>
        <w:pStyle w:val="ListBullet"/>
        <w:spacing w:after="40"/>
      </w:pPr>
      <w:r>
        <w:t>Amira Marketing Analytics API integration</w:t>
      </w:r>
    </w:p>
    <w:p>
      <w:pPr>
        <w:pStyle w:val="ListBullet"/>
        <w:spacing w:after="40"/>
      </w:pPr>
      <w:r>
        <w:t>Unified Recommendation Engine</w:t>
      </w:r>
    </w:p>
    <w:p>
      <w:pPr>
        <w:pStyle w:val="ListBullet"/>
        <w:spacing w:after="40"/>
      </w:pPr>
      <w:r>
        <w:t>Enterprise job board with priority routing, SLAs, and agent specialization</w:t>
      </w:r>
    </w:p>
    <w:p>
      <w:pPr>
        <w:pStyle w:val="ListBullet"/>
        <w:spacing w:after="40"/>
      </w:pPr>
      <w:r>
        <w:t>Scheduled and recurring jobs</w:t>
      </w:r>
    </w:p>
    <w:p>
      <w:pPr>
        <w:pStyle w:val="ListBullet"/>
        <w:spacing w:after="40"/>
      </w:pPr>
      <w:r>
        <w:t>Collaborative review and approval workflows</w:t>
      </w:r>
    </w:p>
    <w:p>
      <w:pPr>
        <w:pStyle w:val="ListBullet"/>
        <w:spacing w:after="40"/>
      </w:pPr>
      <w:r>
        <w:t>Email-based job submission (finiq@mars.com)</w:t>
      </w:r>
    </w:p>
    <w:p>
      <w:pPr>
        <w:pStyle w:val="ListBullet"/>
        <w:spacing w:after="40"/>
      </w:pPr>
      <w:r>
        <w:t>Third-party data connector framework</w:t>
      </w:r>
    </w:p>
    <w:p>
      <w:pPr>
        <w:pStyle w:val="ListBullet"/>
        <w:spacing w:after="40"/>
      </w:pPr>
      <w:r>
        <w:t>Advanced export (PowerPoint with Mars templates, branded PDFs)</w:t>
      </w:r>
    </w:p>
    <w:p>
      <w:pPr>
        <w:spacing w:after="120"/>
      </w:pPr>
      <w:r>
        <w:rPr>
          <w:b/>
        </w:rPr>
        <w:t>Phase 2 Deliverables:</w:t>
      </w:r>
    </w:p>
    <w:p>
      <w:pPr>
        <w:pStyle w:val="ListBullet"/>
        <w:spacing w:after="40"/>
      </w:pPr>
      <w:r>
        <w:t>Forecast-enriched reports available for all GBUs</w:t>
      </w:r>
    </w:p>
    <w:p>
      <w:pPr>
        <w:pStyle w:val="ListBullet"/>
        <w:spacing w:after="40"/>
      </w:pPr>
      <w:r>
        <w:t>Marketing correlation available for marketing-authorized users</w:t>
      </w:r>
    </w:p>
    <w:p>
      <w:pPr>
        <w:pStyle w:val="ListBullet"/>
        <w:spacing w:after="40"/>
      </w:pPr>
      <w:r>
        <w:t>Job board live with SLA monitoring dashboard</w:t>
      </w:r>
    </w:p>
    <w:p>
      <w:pPr>
        <w:pStyle w:val="ListBullet"/>
        <w:spacing w:after="40"/>
      </w:pPr>
      <w:r>
        <w:t>First third-party data connector (commodity prices or acquired research)</w:t>
      </w:r>
    </w:p>
    <w:p>
      <w:pPr>
        <w:pStyle w:val="Heading2"/>
      </w:pPr>
      <w:r>
        <w:t>Phase 3: Scale (Months 9-12)</w:t>
      </w:r>
    </w:p>
    <w:p>
      <w:pPr>
        <w:spacing w:after="120"/>
      </w:pPr>
      <w:r>
        <w:rPr>
          <w:b/>
        </w:rPr>
        <w:t>Goal: Enterprise scale, advanced analytics, and continuous improvement.</w:t>
      </w:r>
    </w:p>
    <w:p>
      <w:pPr>
        <w:pStyle w:val="ListBullet"/>
        <w:spacing w:after="40"/>
      </w:pPr>
      <w:r>
        <w:t>Scale to 500+ concurrent users</w:t>
      </w:r>
    </w:p>
    <w:p>
      <w:pPr>
        <w:pStyle w:val="ListBullet"/>
        <w:spacing w:after="40"/>
      </w:pPr>
      <w:r>
        <w:t>Advanced analytics: what-if scenario modeling via query interface</w:t>
      </w:r>
    </w:p>
    <w:p>
      <w:pPr>
        <w:pStyle w:val="ListBullet"/>
        <w:spacing w:after="40"/>
      </w:pPr>
      <w:r>
        <w:t>Custom dashboard builder (drag-and-drop KPI widgets)</w:t>
      </w:r>
    </w:p>
    <w:p>
      <w:pPr>
        <w:pStyle w:val="ListBullet"/>
        <w:spacing w:after="40"/>
      </w:pPr>
      <w:r>
        <w:t>Multi-language report generation (Phase 1 was English only)</w:t>
      </w:r>
    </w:p>
    <w:p>
      <w:pPr>
        <w:pStyle w:val="ListBullet"/>
        <w:spacing w:after="40"/>
      </w:pPr>
      <w:r>
        <w:t>Automated competitor document scraping and monitoring</w:t>
      </w:r>
    </w:p>
    <w:p>
      <w:pPr>
        <w:pStyle w:val="ListBullet"/>
        <w:spacing w:after="40"/>
      </w:pPr>
      <w:r>
        <w:t>Mobile-responsive optimization</w:t>
      </w:r>
    </w:p>
    <w:p>
      <w:pPr>
        <w:pStyle w:val="ListBullet"/>
        <w:spacing w:after="40"/>
      </w:pPr>
      <w:r>
        <w:t>Advanced AI features: anomaly detection, proactive alerts, trend predictions</w:t>
      </w:r>
    </w:p>
    <w:p>
      <w:pPr>
        <w:pStyle w:val="ListBullet"/>
        <w:spacing w:after="40"/>
      </w:pPr>
      <w:r>
        <w:t>API marketplace for internal Mars teams to build on FinIQ data</w:t>
      </w:r>
    </w:p>
    <w:p>
      <w:pPr>
        <w:spacing w:after="120"/>
      </w:pPr>
      <w:r>
        <w:rPr>
          <w:b/>
        </w:rPr>
        <w:t>Phase 3 Deliverables:</w:t>
      </w:r>
    </w:p>
    <w:p>
      <w:pPr>
        <w:pStyle w:val="ListBullet"/>
        <w:spacing w:after="40"/>
      </w:pPr>
      <w:r>
        <w:t>Full enterprise deployment across all Mars GBUs and regions</w:t>
      </w:r>
    </w:p>
    <w:p>
      <w:pPr>
        <w:pStyle w:val="ListBullet"/>
        <w:spacing w:after="40"/>
      </w:pPr>
      <w:r>
        <w:t>Self-service analytics for 500+ users</w:t>
      </w:r>
    </w:p>
    <w:p>
      <w:pPr>
        <w:pStyle w:val="ListBullet"/>
        <w:spacing w:after="40"/>
      </w:pPr>
      <w:r>
        <w:t>API marketplace with 3+ internal consumer applications</w:t>
      </w:r>
    </w:p>
    <w:p>
      <w:pPr>
        <w:pStyle w:val="ListBullet"/>
        <w:spacing w:after="40"/>
      </w:pPr>
      <w:r>
        <w:t>Measurable reduction in time-to-insight across finance and strategy teams</w:t>
      </w:r>
    </w:p>
    <w:p>
      <w:r>
        <w:br w:type="page"/>
      </w:r>
    </w:p>
    <w:p>
      <w:pPr>
        <w:pStyle w:val="Heading1"/>
      </w:pPr>
      <w:r>
        <w:t>13. Acceptance Criteria</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20"/>
        <w:gridCol w:w="3120"/>
        <w:gridCol w:w="3120"/>
      </w:tblGrid>
      <w:tr>
        <w:tc>
          <w:tcPr>
            <w:tcW w:type="dxa" w:w="2160"/>
            <w:shd w:fill="1A56DB"/>
          </w:tcPr>
          <w:p>
            <w:r/>
            <w:r>
              <w:rPr>
                <w:rFonts w:ascii="Calibri" w:hAnsi="Calibri"/>
                <w:b/>
                <w:color w:val="FFFFFF"/>
                <w:sz w:val="20"/>
              </w:rPr>
              <w:t>Requirement</w:t>
            </w:r>
          </w:p>
        </w:tc>
        <w:tc>
          <w:tcPr>
            <w:tcW w:type="dxa" w:w="4320"/>
            <w:shd w:fill="1A56DB"/>
          </w:tcPr>
          <w:p>
            <w:r/>
            <w:r>
              <w:rPr>
                <w:rFonts w:ascii="Calibri" w:hAnsi="Calibri"/>
                <w:b/>
                <w:color w:val="FFFFFF"/>
                <w:sz w:val="20"/>
              </w:rPr>
              <w:t>Acceptance Criterion</w:t>
            </w:r>
          </w:p>
        </w:tc>
        <w:tc>
          <w:tcPr>
            <w:tcW w:type="dxa" w:w="2880"/>
            <w:shd w:fill="1A56DB"/>
          </w:tcPr>
          <w:p>
            <w:r/>
            <w:r>
              <w:rPr>
                <w:rFonts w:ascii="Calibri" w:hAnsi="Calibri"/>
                <w:b/>
                <w:color w:val="FFFFFF"/>
                <w:sz w:val="20"/>
              </w:rPr>
              <w:t>Verification Method</w:t>
            </w:r>
          </w:p>
        </w:tc>
      </w:tr>
      <w:tr>
        <w:tc>
          <w:tcPr>
            <w:tcW w:type="dxa" w:w="2160"/>
          </w:tcPr>
          <w:p>
            <w:r/>
            <w:r>
              <w:rPr>
                <w:rFonts w:ascii="Calibri" w:hAnsi="Calibri"/>
                <w:color w:val="333333"/>
                <w:sz w:val="18"/>
              </w:rPr>
              <w:t>FR2.1 Period End Summary</w:t>
            </w:r>
          </w:p>
        </w:tc>
        <w:tc>
          <w:tcPr>
            <w:tcW w:type="dxa" w:w="4320"/>
          </w:tcPr>
          <w:p>
            <w:r/>
            <w:r>
              <w:rPr>
                <w:rFonts w:ascii="Calibri" w:hAnsi="Calibri"/>
                <w:color w:val="333333"/>
                <w:sz w:val="18"/>
              </w:rPr>
              <w:t>System generates 6-KPI executive summary for any unit/period in &lt; 15 seconds</w:t>
            </w:r>
          </w:p>
        </w:tc>
        <w:tc>
          <w:tcPr>
            <w:tcW w:type="dxa" w:w="2880"/>
          </w:tcPr>
          <w:p>
            <w:r/>
            <w:r>
              <w:rPr>
                <w:rFonts w:ascii="Calibri" w:hAnsi="Calibri"/>
                <w:color w:val="333333"/>
                <w:sz w:val="18"/>
              </w:rPr>
              <w:t>Automated load test with 10 concurrent requests</w:t>
            </w:r>
          </w:p>
        </w:tc>
      </w:tr>
      <w:tr>
        <w:tc>
          <w:tcPr>
            <w:tcW w:type="dxa" w:w="2160"/>
            <w:shd w:fill="F2F6FC"/>
          </w:tcPr>
          <w:p>
            <w:r/>
            <w:r>
              <w:rPr>
                <w:rFonts w:ascii="Calibri" w:hAnsi="Calibri"/>
                <w:color w:val="333333"/>
                <w:sz w:val="18"/>
              </w:rPr>
              <w:t>FR3.2 P2P Benchmarking</w:t>
            </w:r>
          </w:p>
        </w:tc>
        <w:tc>
          <w:tcPr>
            <w:tcW w:type="dxa" w:w="4320"/>
            <w:shd w:fill="F2F6FC"/>
          </w:tcPr>
          <w:p>
            <w:r/>
            <w:r>
              <w:rPr>
                <w:rFonts w:ascii="Calibri" w:hAnsi="Calibri"/>
                <w:color w:val="333333"/>
                <w:sz w:val="18"/>
              </w:rPr>
              <w:t>Quantitative comparison table matches manual analyst output within 2% tolerance</w:t>
            </w:r>
          </w:p>
        </w:tc>
        <w:tc>
          <w:tcPr>
            <w:tcW w:type="dxa" w:w="2880"/>
            <w:shd w:fill="F2F6FC"/>
          </w:tcPr>
          <w:p>
            <w:r/>
            <w:r>
              <w:rPr>
                <w:rFonts w:ascii="Calibri" w:hAnsi="Calibri"/>
                <w:color w:val="333333"/>
                <w:sz w:val="18"/>
              </w:rPr>
              <w:t>Side-by-side validation with current CI tool output</w:t>
            </w:r>
          </w:p>
        </w:tc>
      </w:tr>
      <w:tr>
        <w:tc>
          <w:tcPr>
            <w:tcW w:type="dxa" w:w="2160"/>
          </w:tcPr>
          <w:p>
            <w:r/>
            <w:r>
              <w:rPr>
                <w:rFonts w:ascii="Calibri" w:hAnsi="Calibri"/>
                <w:color w:val="333333"/>
                <w:sz w:val="18"/>
              </w:rPr>
              <w:t>FR4.1 Query Engine</w:t>
            </w:r>
          </w:p>
        </w:tc>
        <w:tc>
          <w:tcPr>
            <w:tcW w:type="dxa" w:w="4320"/>
          </w:tcPr>
          <w:p>
            <w:r/>
            <w:r>
              <w:rPr>
                <w:rFonts w:ascii="Calibri" w:hAnsi="Calibri"/>
                <w:color w:val="333333"/>
                <w:sz w:val="18"/>
              </w:rPr>
              <w:t>90%+ of test queries return factually correct answers with source citations</w:t>
            </w:r>
          </w:p>
        </w:tc>
        <w:tc>
          <w:tcPr>
            <w:tcW w:type="dxa" w:w="2880"/>
          </w:tcPr>
          <w:p>
            <w:r/>
            <w:r>
              <w:rPr>
                <w:rFonts w:ascii="Calibri" w:hAnsi="Calibri"/>
                <w:color w:val="333333"/>
                <w:sz w:val="18"/>
              </w:rPr>
              <w:t>QA test suite of 200 representative queries</w:t>
            </w:r>
          </w:p>
        </w:tc>
      </w:tr>
      <w:tr>
        <w:tc>
          <w:tcPr>
            <w:tcW w:type="dxa" w:w="2160"/>
            <w:shd w:fill="F2F6FC"/>
          </w:tcPr>
          <w:p>
            <w:r/>
            <w:r>
              <w:rPr>
                <w:rFonts w:ascii="Calibri" w:hAnsi="Calibri"/>
                <w:color w:val="333333"/>
                <w:sz w:val="18"/>
              </w:rPr>
              <w:t>FR5.3 SLA Compliance</w:t>
            </w:r>
          </w:p>
        </w:tc>
        <w:tc>
          <w:tcPr>
            <w:tcW w:type="dxa" w:w="4320"/>
            <w:shd w:fill="F2F6FC"/>
          </w:tcPr>
          <w:p>
            <w:r/>
            <w:r>
              <w:rPr>
                <w:rFonts w:ascii="Calibri" w:hAnsi="Calibri"/>
                <w:color w:val="333333"/>
                <w:sz w:val="18"/>
              </w:rPr>
              <w:t>95%+ of jobs complete within SLA target times over a 30-day period</w:t>
            </w:r>
          </w:p>
        </w:tc>
        <w:tc>
          <w:tcPr>
            <w:tcW w:type="dxa" w:w="2880"/>
            <w:shd w:fill="F2F6FC"/>
          </w:tcPr>
          <w:p>
            <w:r/>
            <w:r>
              <w:rPr>
                <w:rFonts w:ascii="Calibri" w:hAnsi="Calibri"/>
                <w:color w:val="333333"/>
                <w:sz w:val="18"/>
              </w:rPr>
              <w:t>SLA monitoring dashboard metrics</w:t>
            </w:r>
          </w:p>
        </w:tc>
      </w:tr>
      <w:tr>
        <w:tc>
          <w:tcPr>
            <w:tcW w:type="dxa" w:w="2160"/>
          </w:tcPr>
          <w:p>
            <w:r/>
            <w:r>
              <w:rPr>
                <w:rFonts w:ascii="Calibri" w:hAnsi="Calibri"/>
                <w:color w:val="333333"/>
                <w:sz w:val="18"/>
              </w:rPr>
              <w:t>FR6.1 Forecast Integration</w:t>
            </w:r>
          </w:p>
        </w:tc>
        <w:tc>
          <w:tcPr>
            <w:tcW w:type="dxa" w:w="4320"/>
          </w:tcPr>
          <w:p>
            <w:r/>
            <w:r>
              <w:rPr>
                <w:rFonts w:ascii="Calibri" w:hAnsi="Calibri"/>
                <w:color w:val="333333"/>
                <w:sz w:val="18"/>
              </w:rPr>
              <w:t>Forecast data appears in reports within 5 seconds of request</w:t>
            </w:r>
          </w:p>
        </w:tc>
        <w:tc>
          <w:tcPr>
            <w:tcW w:type="dxa" w:w="2880"/>
          </w:tcPr>
          <w:p>
            <w:r/>
            <w:r>
              <w:rPr>
                <w:rFonts w:ascii="Calibri" w:hAnsi="Calibri"/>
                <w:color w:val="333333"/>
                <w:sz w:val="18"/>
              </w:rPr>
              <w:t>Integration test with mock and live Forecasting API</w:t>
            </w:r>
          </w:p>
        </w:tc>
      </w:tr>
      <w:tr>
        <w:tc>
          <w:tcPr>
            <w:tcW w:type="dxa" w:w="2160"/>
            <w:shd w:fill="F2F6FC"/>
          </w:tcPr>
          <w:p>
            <w:r/>
            <w:r>
              <w:rPr>
                <w:rFonts w:ascii="Calibri" w:hAnsi="Calibri"/>
                <w:color w:val="333333"/>
                <w:sz w:val="18"/>
              </w:rPr>
              <w:t>FR6.2 Marketing Integration</w:t>
            </w:r>
          </w:p>
        </w:tc>
        <w:tc>
          <w:tcPr>
            <w:tcW w:type="dxa" w:w="4320"/>
            <w:shd w:fill="F2F6FC"/>
          </w:tcPr>
          <w:p>
            <w:r/>
            <w:r>
              <w:rPr>
                <w:rFonts w:ascii="Calibri" w:hAnsi="Calibri"/>
                <w:color w:val="333333"/>
                <w:sz w:val="18"/>
              </w:rPr>
              <w:t>Marketing metrics correlate correctly with financial periods and units</w:t>
            </w:r>
          </w:p>
        </w:tc>
        <w:tc>
          <w:tcPr>
            <w:tcW w:type="dxa" w:w="2880"/>
            <w:shd w:fill="F2F6FC"/>
          </w:tcPr>
          <w:p>
            <w:r/>
            <w:r>
              <w:rPr>
                <w:rFonts w:ascii="Calibri" w:hAnsi="Calibri"/>
                <w:color w:val="333333"/>
                <w:sz w:val="18"/>
              </w:rPr>
              <w:t>Cross-validation with Marketing Analytics dashboard</w:t>
            </w:r>
          </w:p>
        </w:tc>
      </w:tr>
      <w:tr>
        <w:tc>
          <w:tcPr>
            <w:tcW w:type="dxa" w:w="2160"/>
          </w:tcPr>
          <w:p>
            <w:r/>
            <w:r>
              <w:rPr>
                <w:rFonts w:ascii="Calibri" w:hAnsi="Calibri"/>
                <w:color w:val="333333"/>
                <w:sz w:val="18"/>
              </w:rPr>
              <w:t>NFR Performance</w:t>
            </w:r>
          </w:p>
        </w:tc>
        <w:tc>
          <w:tcPr>
            <w:tcW w:type="dxa" w:w="4320"/>
          </w:tcPr>
          <w:p>
            <w:r/>
            <w:r>
              <w:rPr>
                <w:rFonts w:ascii="Calibri" w:hAnsi="Calibri"/>
                <w:color w:val="333333"/>
                <w:sz w:val="18"/>
              </w:rPr>
              <w:t>Cached report retrieval &lt; 1 second (p99)</w:t>
            </w:r>
          </w:p>
        </w:tc>
        <w:tc>
          <w:tcPr>
            <w:tcW w:type="dxa" w:w="2880"/>
          </w:tcPr>
          <w:p>
            <w:r/>
            <w:r>
              <w:rPr>
                <w:rFonts w:ascii="Calibri" w:hAnsi="Calibri"/>
                <w:color w:val="333333"/>
                <w:sz w:val="18"/>
              </w:rPr>
              <w:t>Load test with 100 concurrent cached requests</w:t>
            </w:r>
          </w:p>
        </w:tc>
      </w:tr>
      <w:tr>
        <w:tc>
          <w:tcPr>
            <w:tcW w:type="dxa" w:w="2160"/>
            <w:shd w:fill="F2F6FC"/>
          </w:tcPr>
          <w:p>
            <w:r/>
            <w:r>
              <w:rPr>
                <w:rFonts w:ascii="Calibri" w:hAnsi="Calibri"/>
                <w:color w:val="333333"/>
                <w:sz w:val="18"/>
              </w:rPr>
              <w:t>NFR Security</w:t>
            </w:r>
          </w:p>
        </w:tc>
        <w:tc>
          <w:tcPr>
            <w:tcW w:type="dxa" w:w="4320"/>
            <w:shd w:fill="F2F6FC"/>
          </w:tcPr>
          <w:p>
            <w:r/>
            <w:r>
              <w:rPr>
                <w:rFonts w:ascii="Calibri" w:hAnsi="Calibri"/>
                <w:color w:val="333333"/>
                <w:sz w:val="18"/>
              </w:rPr>
              <w:t>Zero unauthorized data access in penetration test</w:t>
            </w:r>
          </w:p>
        </w:tc>
        <w:tc>
          <w:tcPr>
            <w:tcW w:type="dxa" w:w="2880"/>
            <w:shd w:fill="F2F6FC"/>
          </w:tcPr>
          <w:p>
            <w:r/>
            <w:r>
              <w:rPr>
                <w:rFonts w:ascii="Calibri" w:hAnsi="Calibri"/>
                <w:color w:val="333333"/>
                <w:sz w:val="18"/>
              </w:rPr>
              <w:t>Third-party security audit</w:t>
            </w:r>
          </w:p>
        </w:tc>
      </w:tr>
      <w:tr>
        <w:tc>
          <w:tcPr>
            <w:tcW w:type="dxa" w:w="2160"/>
          </w:tcPr>
          <w:p>
            <w:r/>
            <w:r>
              <w:rPr>
                <w:rFonts w:ascii="Calibri" w:hAnsi="Calibri"/>
                <w:color w:val="333333"/>
                <w:sz w:val="18"/>
              </w:rPr>
              <w:t>NFR Availability</w:t>
            </w:r>
          </w:p>
        </w:tc>
        <w:tc>
          <w:tcPr>
            <w:tcW w:type="dxa" w:w="4320"/>
          </w:tcPr>
          <w:p>
            <w:r/>
            <w:r>
              <w:rPr>
                <w:rFonts w:ascii="Calibri" w:hAnsi="Calibri"/>
                <w:color w:val="333333"/>
                <w:sz w:val="18"/>
              </w:rPr>
              <w:t>99.9% uptime over 90-day measurement period</w:t>
            </w:r>
          </w:p>
        </w:tc>
        <w:tc>
          <w:tcPr>
            <w:tcW w:type="dxa" w:w="2880"/>
          </w:tcPr>
          <w:p>
            <w:r/>
            <w:r>
              <w:rPr>
                <w:rFonts w:ascii="Calibri" w:hAnsi="Calibri"/>
                <w:color w:val="333333"/>
                <w:sz w:val="18"/>
              </w:rPr>
              <w:t>Azure Monitor uptime tracking</w:t>
            </w:r>
          </w:p>
        </w:tc>
      </w:tr>
    </w:tbl>
    <w:p/>
    <w:p>
      <w:r>
        <w:br w:type="page"/>
      </w:r>
    </w:p>
    <w:p>
      <w:pPr>
        <w:pStyle w:val="Heading1"/>
      </w:pPr>
      <w:r>
        <w:t>14. Appendix</w:t>
      </w:r>
    </w:p>
    <w:p>
      <w:pPr>
        <w:pStyle w:val="Heading2"/>
      </w:pPr>
      <w:r>
        <w:t>14.1 Glossary</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680"/>
        <w:gridCol w:w="4680"/>
      </w:tblGrid>
      <w:tr>
        <w:tc>
          <w:tcPr>
            <w:tcW w:type="dxa" w:w="2160"/>
            <w:shd w:fill="1A56DB"/>
          </w:tcPr>
          <w:p>
            <w:r/>
            <w:r>
              <w:rPr>
                <w:rFonts w:ascii="Calibri" w:hAnsi="Calibri"/>
                <w:b/>
                <w:color w:val="FFFFFF"/>
                <w:sz w:val="20"/>
              </w:rPr>
              <w:t>Term</w:t>
            </w:r>
          </w:p>
        </w:tc>
        <w:tc>
          <w:tcPr>
            <w:tcW w:type="dxa" w:w="7200"/>
            <w:shd w:fill="1A56DB"/>
          </w:tcPr>
          <w:p>
            <w:r/>
            <w:r>
              <w:rPr>
                <w:rFonts w:ascii="Calibri" w:hAnsi="Calibri"/>
                <w:b/>
                <w:color w:val="FFFFFF"/>
                <w:sz w:val="20"/>
              </w:rPr>
              <w:t>Definition</w:t>
            </w:r>
          </w:p>
        </w:tc>
      </w:tr>
      <w:tr>
        <w:tc>
          <w:tcPr>
            <w:tcW w:type="dxa" w:w="2160"/>
          </w:tcPr>
          <w:p>
            <w:r/>
            <w:r>
              <w:rPr>
                <w:rFonts w:ascii="Calibri" w:hAnsi="Calibri"/>
                <w:color w:val="333333"/>
                <w:sz w:val="18"/>
              </w:rPr>
              <w:t>GBU</w:t>
            </w:r>
          </w:p>
        </w:tc>
        <w:tc>
          <w:tcPr>
            <w:tcW w:type="dxa" w:w="7200"/>
          </w:tcPr>
          <w:p>
            <w:r/>
            <w:r>
              <w:rPr>
                <w:rFonts w:ascii="Calibri" w:hAnsi="Calibri"/>
                <w:color w:val="333333"/>
                <w:sz w:val="18"/>
              </w:rPr>
              <w:t>Global Business Unit (e.g., Mars Snacking, Petcare, Food Nutrition &amp; Multisales)</w:t>
            </w:r>
          </w:p>
        </w:tc>
      </w:tr>
      <w:tr>
        <w:tc>
          <w:tcPr>
            <w:tcW w:type="dxa" w:w="2160"/>
            <w:shd w:fill="F2F6FC"/>
          </w:tcPr>
          <w:p>
            <w:r/>
            <w:r>
              <w:rPr>
                <w:rFonts w:ascii="Calibri" w:hAnsi="Calibri"/>
                <w:color w:val="333333"/>
                <w:sz w:val="18"/>
              </w:rPr>
              <w:t>PES</w:t>
            </w:r>
          </w:p>
        </w:tc>
        <w:tc>
          <w:tcPr>
            <w:tcW w:type="dxa" w:w="7200"/>
            <w:shd w:fill="F2F6FC"/>
          </w:tcPr>
          <w:p>
            <w:r/>
            <w:r>
              <w:rPr>
                <w:rFonts w:ascii="Calibri" w:hAnsi="Calibri"/>
                <w:color w:val="333333"/>
                <w:sz w:val="18"/>
              </w:rPr>
              <w:t>Period End Summary - the current Mars tool for financial narrative generation</w:t>
            </w:r>
          </w:p>
        </w:tc>
      </w:tr>
      <w:tr>
        <w:tc>
          <w:tcPr>
            <w:tcW w:type="dxa" w:w="2160"/>
          </w:tcPr>
          <w:p>
            <w:r/>
            <w:r>
              <w:rPr>
                <w:rFonts w:ascii="Calibri" w:hAnsi="Calibri"/>
                <w:color w:val="333333"/>
                <w:sz w:val="18"/>
              </w:rPr>
              <w:t>CI</w:t>
            </w:r>
          </w:p>
        </w:tc>
        <w:tc>
          <w:tcPr>
            <w:tcW w:type="dxa" w:w="7200"/>
          </w:tcPr>
          <w:p>
            <w:r/>
            <w:r>
              <w:rPr>
                <w:rFonts w:ascii="Calibri" w:hAnsi="Calibri"/>
                <w:color w:val="333333"/>
                <w:sz w:val="18"/>
              </w:rPr>
              <w:t>Competitive Intelligence - the current Mars tool for competitor analysis</w:t>
            </w:r>
          </w:p>
        </w:tc>
      </w:tr>
      <w:tr>
        <w:tc>
          <w:tcPr>
            <w:tcW w:type="dxa" w:w="2160"/>
            <w:shd w:fill="F2F6FC"/>
          </w:tcPr>
          <w:p>
            <w:r/>
            <w:r>
              <w:rPr>
                <w:rFonts w:ascii="Calibri" w:hAnsi="Calibri"/>
                <w:color w:val="333333"/>
                <w:sz w:val="18"/>
              </w:rPr>
              <w:t>KPI</w:t>
            </w:r>
          </w:p>
        </w:tc>
        <w:tc>
          <w:tcPr>
            <w:tcW w:type="dxa" w:w="7200"/>
            <w:shd w:fill="F2F6FC"/>
          </w:tcPr>
          <w:p>
            <w:r/>
            <w:r>
              <w:rPr>
                <w:rFonts w:ascii="Calibri" w:hAnsi="Calibri"/>
                <w:color w:val="333333"/>
                <w:sz w:val="18"/>
              </w:rPr>
              <w:t>Key Performance Indicator (e.g., Organic Growth, MAC Shape %)</w:t>
            </w:r>
          </w:p>
        </w:tc>
      </w:tr>
      <w:tr>
        <w:tc>
          <w:tcPr>
            <w:tcW w:type="dxa" w:w="2160"/>
          </w:tcPr>
          <w:p>
            <w:r/>
            <w:r>
              <w:rPr>
                <w:rFonts w:ascii="Calibri" w:hAnsi="Calibri"/>
                <w:color w:val="333333"/>
                <w:sz w:val="18"/>
              </w:rPr>
              <w:t>OG</w:t>
            </w:r>
          </w:p>
        </w:tc>
        <w:tc>
          <w:tcPr>
            <w:tcW w:type="dxa" w:w="7200"/>
          </w:tcPr>
          <w:p>
            <w:r/>
            <w:r>
              <w:rPr>
                <w:rFonts w:ascii="Calibri" w:hAnsi="Calibri"/>
                <w:color w:val="333333"/>
                <w:sz w:val="18"/>
              </w:rPr>
              <w:t>Organic Growth - top-line revenue growth excluding FX and M&amp;A</w:t>
            </w:r>
          </w:p>
        </w:tc>
      </w:tr>
      <w:tr>
        <w:tc>
          <w:tcPr>
            <w:tcW w:type="dxa" w:w="2160"/>
            <w:shd w:fill="F2F6FC"/>
          </w:tcPr>
          <w:p>
            <w:r/>
            <w:r>
              <w:rPr>
                <w:rFonts w:ascii="Calibri" w:hAnsi="Calibri"/>
                <w:color w:val="333333"/>
                <w:sz w:val="18"/>
              </w:rPr>
              <w:t>MAC Shape</w:t>
            </w:r>
          </w:p>
        </w:tc>
        <w:tc>
          <w:tcPr>
            <w:tcW w:type="dxa" w:w="7200"/>
            <w:shd w:fill="F2F6FC"/>
          </w:tcPr>
          <w:p>
            <w:r/>
            <w:r>
              <w:rPr>
                <w:rFonts w:ascii="Calibri" w:hAnsi="Calibri"/>
                <w:color w:val="333333"/>
                <w:sz w:val="18"/>
              </w:rPr>
              <w:t>Margin After Conversion as a percentage of Net Sales</w:t>
            </w:r>
          </w:p>
        </w:tc>
      </w:tr>
      <w:tr>
        <w:tc>
          <w:tcPr>
            <w:tcW w:type="dxa" w:w="2160"/>
          </w:tcPr>
          <w:p>
            <w:r/>
            <w:r>
              <w:rPr>
                <w:rFonts w:ascii="Calibri" w:hAnsi="Calibri"/>
                <w:color w:val="333333"/>
                <w:sz w:val="18"/>
              </w:rPr>
              <w:t>A&amp;CP Shape</w:t>
            </w:r>
          </w:p>
        </w:tc>
        <w:tc>
          <w:tcPr>
            <w:tcW w:type="dxa" w:w="7200"/>
          </w:tcPr>
          <w:p>
            <w:r/>
            <w:r>
              <w:rPr>
                <w:rFonts w:ascii="Calibri" w:hAnsi="Calibri"/>
                <w:color w:val="333333"/>
                <w:sz w:val="18"/>
              </w:rPr>
              <w:t>Advertising &amp; Consumer Promotions spend as a percentage of sales</w:t>
            </w:r>
          </w:p>
        </w:tc>
      </w:tr>
      <w:tr>
        <w:tc>
          <w:tcPr>
            <w:tcW w:type="dxa" w:w="2160"/>
            <w:shd w:fill="F2F6FC"/>
          </w:tcPr>
          <w:p>
            <w:r/>
            <w:r>
              <w:rPr>
                <w:rFonts w:ascii="Calibri" w:hAnsi="Calibri"/>
                <w:color w:val="333333"/>
                <w:sz w:val="18"/>
              </w:rPr>
              <w:t>CE Shape</w:t>
            </w:r>
          </w:p>
        </w:tc>
        <w:tc>
          <w:tcPr>
            <w:tcW w:type="dxa" w:w="7200"/>
            <w:shd w:fill="F2F6FC"/>
          </w:tcPr>
          <w:p>
            <w:r/>
            <w:r>
              <w:rPr>
                <w:rFonts w:ascii="Calibri" w:hAnsi="Calibri"/>
                <w:color w:val="333333"/>
                <w:sz w:val="18"/>
              </w:rPr>
              <w:t>Controllable Earnings as a percentage of Net Sales</w:t>
            </w:r>
          </w:p>
        </w:tc>
      </w:tr>
      <w:tr>
        <w:tc>
          <w:tcPr>
            <w:tcW w:type="dxa" w:w="2160"/>
          </w:tcPr>
          <w:p>
            <w:r/>
            <w:r>
              <w:rPr>
                <w:rFonts w:ascii="Calibri" w:hAnsi="Calibri"/>
                <w:color w:val="333333"/>
                <w:sz w:val="18"/>
              </w:rPr>
              <w:t>NCFO</w:t>
            </w:r>
          </w:p>
        </w:tc>
        <w:tc>
          <w:tcPr>
            <w:tcW w:type="dxa" w:w="7200"/>
          </w:tcPr>
          <w:p>
            <w:r/>
            <w:r>
              <w:rPr>
                <w:rFonts w:ascii="Calibri" w:hAnsi="Calibri"/>
                <w:color w:val="333333"/>
                <w:sz w:val="18"/>
              </w:rPr>
              <w:t>Net Cash From Operations</w:t>
            </w:r>
          </w:p>
        </w:tc>
      </w:tr>
      <w:tr>
        <w:tc>
          <w:tcPr>
            <w:tcW w:type="dxa" w:w="2160"/>
            <w:shd w:fill="F2F6FC"/>
          </w:tcPr>
          <w:p>
            <w:r/>
            <w:r>
              <w:rPr>
                <w:rFonts w:ascii="Calibri" w:hAnsi="Calibri"/>
                <w:color w:val="333333"/>
                <w:sz w:val="18"/>
              </w:rPr>
              <w:t>P2P</w:t>
            </w:r>
          </w:p>
        </w:tc>
        <w:tc>
          <w:tcPr>
            <w:tcW w:type="dxa" w:w="7200"/>
            <w:shd w:fill="F2F6FC"/>
          </w:tcPr>
          <w:p>
            <w:r/>
            <w:r>
              <w:rPr>
                <w:rFonts w:ascii="Calibri" w:hAnsi="Calibri"/>
                <w:color w:val="333333"/>
                <w:sz w:val="18"/>
              </w:rPr>
              <w:t>Peer-to-Peer benchmarking - comparing performance across competitor peer group</w:t>
            </w:r>
          </w:p>
        </w:tc>
      </w:tr>
      <w:tr>
        <w:tc>
          <w:tcPr>
            <w:tcW w:type="dxa" w:w="2160"/>
          </w:tcPr>
          <w:p>
            <w:r/>
            <w:r>
              <w:rPr>
                <w:rFonts w:ascii="Calibri" w:hAnsi="Calibri"/>
                <w:color w:val="333333"/>
                <w:sz w:val="18"/>
              </w:rPr>
              <w:t>WWW / WNWW</w:t>
            </w:r>
          </w:p>
        </w:tc>
        <w:tc>
          <w:tcPr>
            <w:tcW w:type="dxa" w:w="7200"/>
          </w:tcPr>
          <w:p>
            <w:r/>
            <w:r>
              <w:rPr>
                <w:rFonts w:ascii="Calibri" w:hAnsi="Calibri"/>
                <w:color w:val="333333"/>
                <w:sz w:val="18"/>
              </w:rPr>
              <w:t>What's Working Well / What's Not Working Well - output formats for PES</w:t>
            </w:r>
          </w:p>
        </w:tc>
      </w:tr>
      <w:tr>
        <w:tc>
          <w:tcPr>
            <w:tcW w:type="dxa" w:w="2160"/>
            <w:shd w:fill="F2F6FC"/>
          </w:tcPr>
          <w:p>
            <w:r/>
            <w:r>
              <w:rPr>
                <w:rFonts w:ascii="Calibri" w:hAnsi="Calibri"/>
                <w:color w:val="333333"/>
                <w:sz w:val="18"/>
              </w:rPr>
              <w:t>RAG</w:t>
            </w:r>
          </w:p>
        </w:tc>
        <w:tc>
          <w:tcPr>
            <w:tcW w:type="dxa" w:w="7200"/>
            <w:shd w:fill="F2F6FC"/>
          </w:tcPr>
          <w:p>
            <w:r/>
            <w:r>
              <w:rPr>
                <w:rFonts w:ascii="Calibri" w:hAnsi="Calibri"/>
                <w:color w:val="333333"/>
                <w:sz w:val="18"/>
              </w:rPr>
              <w:t>Retrieval Augmented Generation - LLM technique combining search with generation</w:t>
            </w:r>
          </w:p>
        </w:tc>
      </w:tr>
      <w:tr>
        <w:tc>
          <w:tcPr>
            <w:tcW w:type="dxa" w:w="2160"/>
          </w:tcPr>
          <w:p>
            <w:r/>
            <w:r>
              <w:rPr>
                <w:rFonts w:ascii="Calibri" w:hAnsi="Calibri"/>
                <w:color w:val="333333"/>
                <w:sz w:val="18"/>
              </w:rPr>
              <w:t>SSE</w:t>
            </w:r>
          </w:p>
        </w:tc>
        <w:tc>
          <w:tcPr>
            <w:tcW w:type="dxa" w:w="7200"/>
          </w:tcPr>
          <w:p>
            <w:r/>
            <w:r>
              <w:rPr>
                <w:rFonts w:ascii="Calibri" w:hAnsi="Calibri"/>
                <w:color w:val="333333"/>
                <w:sz w:val="18"/>
              </w:rPr>
              <w:t>Server-Sent Events - protocol for real-time server-to-client streaming</w:t>
            </w:r>
          </w:p>
        </w:tc>
      </w:tr>
      <w:tr>
        <w:tc>
          <w:tcPr>
            <w:tcW w:type="dxa" w:w="2160"/>
            <w:shd w:fill="F2F6FC"/>
          </w:tcPr>
          <w:p>
            <w:r/>
            <w:r>
              <w:rPr>
                <w:rFonts w:ascii="Calibri" w:hAnsi="Calibri"/>
                <w:color w:val="333333"/>
                <w:sz w:val="18"/>
              </w:rPr>
              <w:t>SLA</w:t>
            </w:r>
          </w:p>
        </w:tc>
        <w:tc>
          <w:tcPr>
            <w:tcW w:type="dxa" w:w="7200"/>
            <w:shd w:fill="F2F6FC"/>
          </w:tcPr>
          <w:p>
            <w:r/>
            <w:r>
              <w:rPr>
                <w:rFonts w:ascii="Calibri" w:hAnsi="Calibri"/>
                <w:color w:val="333333"/>
                <w:sz w:val="18"/>
              </w:rPr>
              <w:t>Service Level Agreement - target response time for job processing</w:t>
            </w:r>
          </w:p>
        </w:tc>
      </w:tr>
      <w:tr>
        <w:tc>
          <w:tcPr>
            <w:tcW w:type="dxa" w:w="2160"/>
          </w:tcPr>
          <w:p>
            <w:r/>
            <w:r>
              <w:rPr>
                <w:rFonts w:ascii="Calibri" w:hAnsi="Calibri"/>
                <w:color w:val="333333"/>
                <w:sz w:val="18"/>
              </w:rPr>
              <w:t>RBAC</w:t>
            </w:r>
          </w:p>
        </w:tc>
        <w:tc>
          <w:tcPr>
            <w:tcW w:type="dxa" w:w="7200"/>
          </w:tcPr>
          <w:p>
            <w:r/>
            <w:r>
              <w:rPr>
                <w:rFonts w:ascii="Calibri" w:hAnsi="Calibri"/>
                <w:color w:val="333333"/>
                <w:sz w:val="18"/>
              </w:rPr>
              <w:t>Role-Based Access Control</w:t>
            </w:r>
          </w:p>
        </w:tc>
      </w:tr>
      <w:tr>
        <w:tc>
          <w:tcPr>
            <w:tcW w:type="dxa" w:w="2160"/>
            <w:shd w:fill="F2F6FC"/>
          </w:tcPr>
          <w:p>
            <w:r/>
            <w:r>
              <w:rPr>
                <w:rFonts w:ascii="Calibri" w:hAnsi="Calibri"/>
                <w:color w:val="333333"/>
                <w:sz w:val="18"/>
              </w:rPr>
              <w:t>ROAS</w:t>
            </w:r>
          </w:p>
        </w:tc>
        <w:tc>
          <w:tcPr>
            <w:tcW w:type="dxa" w:w="7200"/>
            <w:shd w:fill="F2F6FC"/>
          </w:tcPr>
          <w:p>
            <w:r/>
            <w:r>
              <w:rPr>
                <w:rFonts w:ascii="Calibri" w:hAnsi="Calibri"/>
                <w:color w:val="333333"/>
                <w:sz w:val="18"/>
              </w:rPr>
              <w:t>Return on Ad Spend - marketing efficiency metric</w:t>
            </w:r>
          </w:p>
        </w:tc>
      </w:tr>
    </w:tbl>
    <w:p/>
    <w:p>
      <w:pPr>
        <w:pStyle w:val="Heading2"/>
      </w:pPr>
      <w:r>
        <w:t>14.2 Current KPI Definitions (from PES)</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20"/>
        <w:gridCol w:w="3120"/>
        <w:gridCol w:w="3120"/>
      </w:tblGrid>
      <w:tr>
        <w:tc>
          <w:tcPr>
            <w:tcW w:type="dxa" w:w="2592"/>
            <w:shd w:fill="1A56DB"/>
          </w:tcPr>
          <w:p>
            <w:r/>
            <w:r>
              <w:rPr>
                <w:rFonts w:ascii="Calibri" w:hAnsi="Calibri"/>
                <w:b/>
                <w:color w:val="FFFFFF"/>
                <w:sz w:val="20"/>
              </w:rPr>
              <w:t>KPI</w:t>
            </w:r>
          </w:p>
        </w:tc>
        <w:tc>
          <w:tcPr>
            <w:tcW w:type="dxa" w:w="3600"/>
            <w:shd w:fill="1A56DB"/>
          </w:tcPr>
          <w:p>
            <w:r/>
            <w:r>
              <w:rPr>
                <w:rFonts w:ascii="Calibri" w:hAnsi="Calibri"/>
                <w:b/>
                <w:color w:val="FFFFFF"/>
                <w:sz w:val="20"/>
              </w:rPr>
              <w:t>Formula</w:t>
            </w:r>
          </w:p>
        </w:tc>
        <w:tc>
          <w:tcPr>
            <w:tcW w:type="dxa" w:w="3168"/>
            <w:shd w:fill="1A56DB"/>
          </w:tcPr>
          <w:p>
            <w:r/>
            <w:r>
              <w:rPr>
                <w:rFonts w:ascii="Calibri" w:hAnsi="Calibri"/>
                <w:b/>
                <w:color w:val="FFFFFF"/>
                <w:sz w:val="20"/>
              </w:rPr>
              <w:t>What It Measures</w:t>
            </w:r>
          </w:p>
        </w:tc>
      </w:tr>
      <w:tr>
        <w:tc>
          <w:tcPr>
            <w:tcW w:type="dxa" w:w="2592"/>
          </w:tcPr>
          <w:p>
            <w:r/>
            <w:r>
              <w:rPr>
                <w:rFonts w:ascii="Calibri" w:hAnsi="Calibri"/>
                <w:color w:val="333333"/>
                <w:sz w:val="18"/>
              </w:rPr>
              <w:t>Organic Growth %</w:t>
            </w:r>
          </w:p>
        </w:tc>
        <w:tc>
          <w:tcPr>
            <w:tcW w:type="dxa" w:w="3600"/>
          </w:tcPr>
          <w:p>
            <w:r/>
            <w:r>
              <w:rPr>
                <w:rFonts w:ascii="Calibri" w:hAnsi="Calibri"/>
                <w:color w:val="333333"/>
                <w:sz w:val="18"/>
              </w:rPr>
              <w:t>Net Sales growth excluding FX and M&amp;A</w:t>
            </w:r>
          </w:p>
        </w:tc>
        <w:tc>
          <w:tcPr>
            <w:tcW w:type="dxa" w:w="3168"/>
          </w:tcPr>
          <w:p>
            <w:r/>
            <w:r>
              <w:rPr>
                <w:rFonts w:ascii="Calibri" w:hAnsi="Calibri"/>
                <w:color w:val="333333"/>
                <w:sz w:val="18"/>
              </w:rPr>
              <w:t>Top-line revenue momentum</w:t>
            </w:r>
          </w:p>
        </w:tc>
      </w:tr>
      <w:tr>
        <w:tc>
          <w:tcPr>
            <w:tcW w:type="dxa" w:w="2592"/>
            <w:shd w:fill="F2F6FC"/>
          </w:tcPr>
          <w:p>
            <w:r/>
            <w:r>
              <w:rPr>
                <w:rFonts w:ascii="Calibri" w:hAnsi="Calibri"/>
                <w:color w:val="333333"/>
                <w:sz w:val="18"/>
              </w:rPr>
              <w:t>MAC Shape %</w:t>
            </w:r>
          </w:p>
        </w:tc>
        <w:tc>
          <w:tcPr>
            <w:tcW w:type="dxa" w:w="3600"/>
            <w:shd w:fill="F2F6FC"/>
          </w:tcPr>
          <w:p>
            <w:r/>
            <w:r>
              <w:rPr>
                <w:rFonts w:ascii="Calibri" w:hAnsi="Calibri"/>
                <w:color w:val="333333"/>
                <w:sz w:val="18"/>
              </w:rPr>
              <w:t>Margin After Conversion / Net Sales</w:t>
            </w:r>
          </w:p>
        </w:tc>
        <w:tc>
          <w:tcPr>
            <w:tcW w:type="dxa" w:w="3168"/>
            <w:shd w:fill="F2F6FC"/>
          </w:tcPr>
          <w:p>
            <w:r/>
            <w:r>
              <w:rPr>
                <w:rFonts w:ascii="Calibri" w:hAnsi="Calibri"/>
                <w:color w:val="333333"/>
                <w:sz w:val="18"/>
              </w:rPr>
              <w:t>Gross-to-net conversion efficiency</w:t>
            </w:r>
          </w:p>
        </w:tc>
      </w:tr>
      <w:tr>
        <w:tc>
          <w:tcPr>
            <w:tcW w:type="dxa" w:w="2592"/>
          </w:tcPr>
          <w:p>
            <w:r/>
            <w:r>
              <w:rPr>
                <w:rFonts w:ascii="Calibri" w:hAnsi="Calibri"/>
                <w:color w:val="333333"/>
                <w:sz w:val="18"/>
              </w:rPr>
              <w:t>A&amp;CP Shape %</w:t>
            </w:r>
          </w:p>
        </w:tc>
        <w:tc>
          <w:tcPr>
            <w:tcW w:type="dxa" w:w="3600"/>
          </w:tcPr>
          <w:p>
            <w:r/>
            <w:r>
              <w:rPr>
                <w:rFonts w:ascii="Calibri" w:hAnsi="Calibri"/>
                <w:color w:val="333333"/>
                <w:sz w:val="18"/>
              </w:rPr>
              <w:t>Advertising &amp; Consumer Promotions / GSV 3rd Party</w:t>
            </w:r>
          </w:p>
        </w:tc>
        <w:tc>
          <w:tcPr>
            <w:tcW w:type="dxa" w:w="3168"/>
          </w:tcPr>
          <w:p>
            <w:r/>
            <w:r>
              <w:rPr>
                <w:rFonts w:ascii="Calibri" w:hAnsi="Calibri"/>
                <w:color w:val="333333"/>
                <w:sz w:val="18"/>
              </w:rPr>
              <w:t>Promotional spend as % of gross sales</w:t>
            </w:r>
          </w:p>
        </w:tc>
      </w:tr>
      <w:tr>
        <w:tc>
          <w:tcPr>
            <w:tcW w:type="dxa" w:w="2592"/>
            <w:shd w:fill="F2F6FC"/>
          </w:tcPr>
          <w:p>
            <w:r/>
            <w:r>
              <w:rPr>
                <w:rFonts w:ascii="Calibri" w:hAnsi="Calibri"/>
                <w:color w:val="333333"/>
                <w:sz w:val="18"/>
              </w:rPr>
              <w:t>CE Shape %</w:t>
            </w:r>
          </w:p>
        </w:tc>
        <w:tc>
          <w:tcPr>
            <w:tcW w:type="dxa" w:w="3600"/>
            <w:shd w:fill="F2F6FC"/>
          </w:tcPr>
          <w:p>
            <w:r/>
            <w:r>
              <w:rPr>
                <w:rFonts w:ascii="Calibri" w:hAnsi="Calibri"/>
                <w:color w:val="333333"/>
                <w:sz w:val="18"/>
              </w:rPr>
              <w:t>Controllable Earnings / Net Sales Total</w:t>
            </w:r>
          </w:p>
        </w:tc>
        <w:tc>
          <w:tcPr>
            <w:tcW w:type="dxa" w:w="3168"/>
            <w:shd w:fill="F2F6FC"/>
          </w:tcPr>
          <w:p>
            <w:r/>
            <w:r>
              <w:rPr>
                <w:rFonts w:ascii="Calibri" w:hAnsi="Calibri"/>
                <w:color w:val="333333"/>
                <w:sz w:val="18"/>
              </w:rPr>
              <w:t>Bottom-line efficiency including overheads</w:t>
            </w:r>
          </w:p>
        </w:tc>
      </w:tr>
      <w:tr>
        <w:tc>
          <w:tcPr>
            <w:tcW w:type="dxa" w:w="2592"/>
          </w:tcPr>
          <w:p>
            <w:r/>
            <w:r>
              <w:rPr>
                <w:rFonts w:ascii="Calibri" w:hAnsi="Calibri"/>
                <w:color w:val="333333"/>
                <w:sz w:val="18"/>
              </w:rPr>
              <w:t>Controllable Overhead Shape %</w:t>
            </w:r>
          </w:p>
        </w:tc>
        <w:tc>
          <w:tcPr>
            <w:tcW w:type="dxa" w:w="3600"/>
          </w:tcPr>
          <w:p>
            <w:r/>
            <w:r>
              <w:rPr>
                <w:rFonts w:ascii="Calibri" w:hAnsi="Calibri"/>
                <w:color w:val="333333"/>
                <w:sz w:val="18"/>
              </w:rPr>
              <w:t>Controllable Overhead Costs / Net Sales Total</w:t>
            </w:r>
          </w:p>
        </w:tc>
        <w:tc>
          <w:tcPr>
            <w:tcW w:type="dxa" w:w="3168"/>
          </w:tcPr>
          <w:p>
            <w:r/>
            <w:r>
              <w:rPr>
                <w:rFonts w:ascii="Calibri" w:hAnsi="Calibri"/>
                <w:color w:val="333333"/>
                <w:sz w:val="18"/>
              </w:rPr>
              <w:t>Overhead cost management</w:t>
            </w:r>
          </w:p>
        </w:tc>
      </w:tr>
      <w:tr>
        <w:tc>
          <w:tcPr>
            <w:tcW w:type="dxa" w:w="2592"/>
            <w:shd w:fill="F2F6FC"/>
          </w:tcPr>
          <w:p>
            <w:r/>
            <w:r>
              <w:rPr>
                <w:rFonts w:ascii="Calibri" w:hAnsi="Calibri"/>
                <w:color w:val="333333"/>
                <w:sz w:val="18"/>
              </w:rPr>
              <w:t>Trade Shape %</w:t>
            </w:r>
          </w:p>
        </w:tc>
        <w:tc>
          <w:tcPr>
            <w:tcW w:type="dxa" w:w="3600"/>
            <w:shd w:fill="F2F6FC"/>
          </w:tcPr>
          <w:p>
            <w:r/>
            <w:r>
              <w:rPr>
                <w:rFonts w:ascii="Calibri" w:hAnsi="Calibri"/>
                <w:color w:val="333333"/>
                <w:sz w:val="18"/>
              </w:rPr>
              <w:t>Trade Expenditures / GSV 3rd Party</w:t>
            </w:r>
          </w:p>
        </w:tc>
        <w:tc>
          <w:tcPr>
            <w:tcW w:type="dxa" w:w="3168"/>
            <w:shd w:fill="F2F6FC"/>
          </w:tcPr>
          <w:p>
            <w:r/>
            <w:r>
              <w:rPr>
                <w:rFonts w:ascii="Calibri" w:hAnsi="Calibri"/>
                <w:color w:val="333333"/>
                <w:sz w:val="18"/>
              </w:rPr>
              <w:t>Trade spend as % of gross sales</w:t>
            </w:r>
          </w:p>
        </w:tc>
      </w:tr>
      <w:tr>
        <w:tc>
          <w:tcPr>
            <w:tcW w:type="dxa" w:w="2592"/>
          </w:tcPr>
          <w:p>
            <w:r/>
            <w:r>
              <w:rPr>
                <w:rFonts w:ascii="Calibri" w:hAnsi="Calibri"/>
                <w:color w:val="333333"/>
                <w:sz w:val="18"/>
              </w:rPr>
              <w:t>Total Growth Impact</w:t>
            </w:r>
          </w:p>
        </w:tc>
        <w:tc>
          <w:tcPr>
            <w:tcW w:type="dxa" w:w="3600"/>
          </w:tcPr>
          <w:p>
            <w:r/>
            <w:r>
              <w:rPr>
                <w:rFonts w:ascii="Calibri" w:hAnsi="Calibri"/>
                <w:color w:val="333333"/>
                <w:sz w:val="18"/>
              </w:rPr>
              <w:t>Net Sales Total x Growth % (3rd pty organic)</w:t>
            </w:r>
          </w:p>
        </w:tc>
        <w:tc>
          <w:tcPr>
            <w:tcW w:type="dxa" w:w="3168"/>
          </w:tcPr>
          <w:p>
            <w:r/>
            <w:r>
              <w:rPr>
                <w:rFonts w:ascii="Calibri" w:hAnsi="Calibri"/>
                <w:color w:val="333333"/>
                <w:sz w:val="18"/>
              </w:rPr>
              <w:t>Dollar impact of organic growth</w:t>
            </w:r>
          </w:p>
        </w:tc>
      </w:tr>
      <w:tr>
        <w:tc>
          <w:tcPr>
            <w:tcW w:type="dxa" w:w="2592"/>
            <w:shd w:fill="F2F6FC"/>
          </w:tcPr>
          <w:p>
            <w:r/>
            <w:r>
              <w:rPr>
                <w:rFonts w:ascii="Calibri" w:hAnsi="Calibri"/>
                <w:color w:val="333333"/>
                <w:sz w:val="18"/>
              </w:rPr>
              <w:t>Periodic vs LY %</w:t>
            </w:r>
          </w:p>
        </w:tc>
        <w:tc>
          <w:tcPr>
            <w:tcW w:type="dxa" w:w="3600"/>
            <w:shd w:fill="F2F6FC"/>
          </w:tcPr>
          <w:p>
            <w:r/>
            <w:r>
              <w:rPr>
                <w:rFonts w:ascii="Calibri" w:hAnsi="Calibri"/>
                <w:color w:val="333333"/>
                <w:sz w:val="18"/>
              </w:rPr>
              <w:t>(CY - LY) / LY</w:t>
            </w:r>
          </w:p>
        </w:tc>
        <w:tc>
          <w:tcPr>
            <w:tcW w:type="dxa" w:w="3168"/>
            <w:shd w:fill="F2F6FC"/>
          </w:tcPr>
          <w:p>
            <w:r/>
            <w:r>
              <w:rPr>
                <w:rFonts w:ascii="Calibri" w:hAnsi="Calibri"/>
                <w:color w:val="333333"/>
                <w:sz w:val="18"/>
              </w:rPr>
              <w:t>Period-over-period growth rate</w:t>
            </w:r>
          </w:p>
        </w:tc>
      </w:tr>
      <w:tr>
        <w:tc>
          <w:tcPr>
            <w:tcW w:type="dxa" w:w="2592"/>
          </w:tcPr>
          <w:p>
            <w:r/>
            <w:r>
              <w:rPr>
                <w:rFonts w:ascii="Calibri" w:hAnsi="Calibri"/>
                <w:color w:val="333333"/>
                <w:sz w:val="18"/>
              </w:rPr>
              <w:t>YTD vs LY %</w:t>
            </w:r>
          </w:p>
        </w:tc>
        <w:tc>
          <w:tcPr>
            <w:tcW w:type="dxa" w:w="3600"/>
          </w:tcPr>
          <w:p>
            <w:r/>
            <w:r>
              <w:rPr>
                <w:rFonts w:ascii="Calibri" w:hAnsi="Calibri"/>
                <w:color w:val="333333"/>
                <w:sz w:val="18"/>
              </w:rPr>
              <w:t>(CY - LY) / LY</w:t>
            </w:r>
          </w:p>
        </w:tc>
        <w:tc>
          <w:tcPr>
            <w:tcW w:type="dxa" w:w="3168"/>
          </w:tcPr>
          <w:p>
            <w:r/>
            <w:r>
              <w:rPr>
                <w:rFonts w:ascii="Calibri" w:hAnsi="Calibri"/>
                <w:color w:val="333333"/>
                <w:sz w:val="18"/>
              </w:rPr>
              <w:t>Year-to-date growth rate</w:t>
            </w:r>
          </w:p>
        </w:tc>
      </w:tr>
    </w:tbl>
    <w:p/>
    <w:p>
      <w:pPr>
        <w:pStyle w:val="Heading2"/>
      </w:pPr>
      <w:r>
        <w:t>14.3 Reference: Current System Capabilities Being Replaced</w:t>
      </w:r>
    </w:p>
    <w:p>
      <w:pPr>
        <w:spacing w:after="120"/>
      </w:pPr>
      <w:r>
        <w:t>This section documents the capabilities of Mars's existing PES and CI systems that Amira FinIQ must replicate and enhance. All current capabilities are preserved in Phase 1; enhancements are additive.</w:t>
      </w:r>
    </w:p>
    <w:p>
      <w:pPr>
        <w:spacing w:after="120"/>
      </w:pPr>
      <w:r>
        <w:rPr>
          <w:b/>
        </w:rPr>
        <w:t>Period End Summary (Current)</w:t>
      </w:r>
    </w:p>
    <w:p>
      <w:pPr>
        <w:pStyle w:val="ListBullet"/>
        <w:spacing w:after="40"/>
      </w:pPr>
      <w:r>
        <w:t>Input: Preprocessed Excel workbooks with 4 sheets (P&amp;L, Product, Brand, NCFO)</w:t>
      </w:r>
    </w:p>
    <w:p>
      <w:pPr>
        <w:pStyle w:val="ListBullet"/>
        <w:spacing w:after="40"/>
      </w:pPr>
      <w:r>
        <w:t>Processing: 6 parallel GPT-4.1 pipelines with prompt engineering</w:t>
      </w:r>
    </w:p>
    <w:p>
      <w:pPr>
        <w:pStyle w:val="ListBullet"/>
        <w:spacing w:after="40"/>
      </w:pPr>
      <w:r>
        <w:t>Output: Markdown narratives with trend taglines and HTML KPI tables</w:t>
      </w:r>
    </w:p>
    <w:p>
      <w:pPr>
        <w:pStyle w:val="ListBullet"/>
        <w:spacing w:after="40"/>
      </w:pPr>
      <w:r>
        <w:t>Caching: Individual KPI JSONs in Azure Blob Storage</w:t>
      </w:r>
    </w:p>
    <w:p>
      <w:pPr>
        <w:pStyle w:val="ListBullet"/>
        <w:spacing w:after="40"/>
      </w:pPr>
      <w:r>
        <w:t>Performance: 10-15s first generation, &lt; 1s cached, 5-8s single KPI regeneration</w:t>
      </w:r>
    </w:p>
    <w:p>
      <w:pPr>
        <w:spacing w:after="120"/>
      </w:pPr>
      <w:r>
        <w:rPr>
          <w:b/>
        </w:rPr>
        <w:t>Competitive Intelligence (Current)</w:t>
      </w:r>
    </w:p>
    <w:p>
      <w:pPr>
        <w:pStyle w:val="ListBullet"/>
        <w:spacing w:after="40"/>
      </w:pPr>
      <w:r>
        <w:t>Input: PDF uploads (earnings releases, presentations, prepared remarks)</w:t>
      </w:r>
    </w:p>
    <w:p>
      <w:pPr>
        <w:pStyle w:val="ListBullet"/>
        <w:spacing w:after="40"/>
      </w:pPr>
      <w:r>
        <w:t>Pipeline: Parse &gt; Chunk &gt; Embed &gt; Index &gt; Summarize &gt; P2P Benchmark &gt; Notify</w:t>
      </w:r>
    </w:p>
    <w:p>
      <w:pPr>
        <w:pStyle w:val="ListBullet"/>
        <w:spacing w:after="40"/>
      </w:pPr>
      <w:r>
        <w:t>Output: Themed summaries with source links, P2P quantitative tables, Q&amp;A chat</w:t>
      </w:r>
    </w:p>
    <w:p>
      <w:pPr>
        <w:pStyle w:val="ListBullet"/>
        <w:spacing w:after="40"/>
      </w:pPr>
      <w:r>
        <w:t>Infrastructure: Azure Blob + Document Intelligence + OpenAI + AI Search + Cosmos DB</w:t>
      </w:r>
    </w:p>
    <w:p/>
    <w:p>
      <w:pPr>
        <w:jc w:val="center"/>
      </w:pPr>
      <w:r>
        <w:rPr>
          <w:i/>
          <w:color w:val="999999"/>
          <w:sz w:val="18"/>
        </w:rPr>
        <w:t>--- End of Document ---</w:t>
      </w:r>
    </w:p>
    <w:p>
      <w:pPr>
        <w:jc w:val="center"/>
      </w:pPr>
      <w:r>
        <w:rPr>
          <w:color w:val="999999"/>
          <w:sz w:val="16"/>
        </w:rPr>
        <w:t>Amira FinIQ SRS v1.0 | Confidential | Prepared for Mars, Incorporated</w:t>
      </w:r>
    </w:p>
    <w:sectPr w:rsidR="00FC693F" w:rsidRPr="0006063C" w:rsidSect="00034616">
      <w:pgSz w:w="12240" w:h="15840"/>
      <w:pgMar w:top="1440"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0A1F44"/>
      <w:sz w:val="44"/>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1A56DB"/>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56DB"/>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333333"/>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