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0A1F44"/>
          <w:sz w:val="72"/>
        </w:rPr>
        <w:t>Amira FinIQ</w:t>
      </w:r>
    </w:p>
    <w:p>
      <w:pPr>
        <w:jc w:val="center"/>
      </w:pPr>
      <w:r>
        <w:rPr>
          <w:rFonts w:ascii="Calibri" w:hAnsi="Calibri"/>
          <w:color w:val="1A56DB"/>
          <w:sz w:val="36"/>
        </w:rPr>
        <w:t>Unified Financial Analytics Hub</w:t>
      </w:r>
    </w:p>
    <w:p/>
    <w:p>
      <w:pPr>
        <w:jc w:val="center"/>
      </w:pPr>
      <w:r>
        <w:rPr>
          <w:rFonts w:ascii="Calibri" w:hAnsi="Calibri"/>
          <w:b/>
          <w:color w:val="0A1F44"/>
          <w:sz w:val="40"/>
        </w:rPr>
        <w:t>SRS Addendum A</w:t>
      </w:r>
    </w:p>
    <w:p>
      <w:pPr>
        <w:jc w:val="center"/>
      </w:pPr>
      <w:r>
        <w:rPr>
          <w:rFonts w:ascii="Calibri" w:hAnsi="Calibri"/>
          <w:color w:val="1A56DB"/>
          <w:sz w:val="32"/>
        </w:rPr>
        <w:t>Databricks / FinSight Data Layer Integration</w:t>
      </w:r>
    </w:p>
    <w:p>
      <w:pPr>
        <w:jc w:val="center"/>
      </w:pPr>
      <w:r>
        <w:rPr>
          <w:rFonts w:ascii="Calibri" w:hAnsi="Calibri"/>
          <w:i/>
          <w:color w:val="666666"/>
          <w:sz w:val="22"/>
        </w:rPr>
        <w:t>Amending Specs with Incremental Requirements</w:t>
      </w:r>
    </w:p>
    <w:p/>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Calibri" w:hAnsi="Calibri"/>
                <w:b/>
                <w:color w:val="333333"/>
                <w:sz w:val="20"/>
              </w:rPr>
              <w:t>Document Type</w:t>
            </w:r>
          </w:p>
        </w:tc>
        <w:tc>
          <w:tcPr>
            <w:tcW w:type="dxa" w:w="4680"/>
          </w:tcPr>
          <w:p>
            <w:pPr>
              <w:jc w:val="center"/>
            </w:pPr>
            <w:r/>
            <w:r>
              <w:rPr>
                <w:rFonts w:ascii="Calibri" w:hAnsi="Calibri"/>
                <w:color w:val="333333"/>
                <w:sz w:val="20"/>
              </w:rPr>
              <w:t>SRS Addendum (Incremental Amendment)</w:t>
            </w:r>
          </w:p>
        </w:tc>
      </w:tr>
      <w:tr>
        <w:tc>
          <w:tcPr>
            <w:tcW w:type="dxa" w:w="4680"/>
          </w:tcPr>
          <w:p>
            <w:pPr>
              <w:jc w:val="center"/>
            </w:pPr>
            <w:r/>
            <w:r>
              <w:rPr>
                <w:rFonts w:ascii="Calibri" w:hAnsi="Calibri"/>
                <w:b/>
                <w:color w:val="333333"/>
                <w:sz w:val="20"/>
              </w:rPr>
              <w:t>Addendum ID</w:t>
            </w:r>
          </w:p>
        </w:tc>
        <w:tc>
          <w:tcPr>
            <w:tcW w:type="dxa" w:w="4680"/>
          </w:tcPr>
          <w:p>
            <w:pPr>
              <w:jc w:val="center"/>
            </w:pPr>
            <w:r/>
            <w:r>
              <w:rPr>
                <w:rFonts w:ascii="Calibri" w:hAnsi="Calibri"/>
                <w:color w:val="333333"/>
                <w:sz w:val="20"/>
              </w:rPr>
              <w:t>A</w:t>
            </w:r>
          </w:p>
        </w:tc>
      </w:tr>
      <w:tr>
        <w:tc>
          <w:tcPr>
            <w:tcW w:type="dxa" w:w="4680"/>
          </w:tcPr>
          <w:p>
            <w:pPr>
              <w:jc w:val="center"/>
            </w:pPr>
            <w:r/>
            <w:r>
              <w:rPr>
                <w:rFonts w:ascii="Calibri" w:hAnsi="Calibri"/>
                <w:b/>
                <w:color w:val="333333"/>
                <w:sz w:val="20"/>
              </w:rPr>
              <w:t>Base Document</w:t>
            </w:r>
          </w:p>
        </w:tc>
        <w:tc>
          <w:tcPr>
            <w:tcW w:type="dxa" w:w="4680"/>
          </w:tcPr>
          <w:p>
            <w:pPr>
              <w:jc w:val="center"/>
            </w:pPr>
            <w:r/>
            <w:r>
              <w:rPr>
                <w:rFonts w:ascii="Calibri" w:hAnsi="Calibri"/>
                <w:color w:val="333333"/>
                <w:sz w:val="20"/>
              </w:rPr>
              <w:t>Amira FinIQ SRS v2.1 (IEEE 830 Format)</w:t>
            </w:r>
          </w:p>
        </w:tc>
      </w:tr>
      <w:tr>
        <w:tc>
          <w:tcPr>
            <w:tcW w:type="dxa" w:w="4680"/>
          </w:tcPr>
          <w:p>
            <w:pPr>
              <w:jc w:val="center"/>
            </w:pPr>
            <w:r/>
            <w:r>
              <w:rPr>
                <w:rFonts w:ascii="Calibri" w:hAnsi="Calibri"/>
                <w:b/>
                <w:color w:val="333333"/>
                <w:sz w:val="20"/>
              </w:rPr>
              <w:t>Base Document Date</w:t>
            </w:r>
          </w:p>
        </w:tc>
        <w:tc>
          <w:tcPr>
            <w:tcW w:type="dxa" w:w="4680"/>
          </w:tcPr>
          <w:p>
            <w:pPr>
              <w:jc w:val="center"/>
            </w:pPr>
            <w:r/>
            <w:r>
              <w:rPr>
                <w:rFonts w:ascii="Calibri" w:hAnsi="Calibri"/>
                <w:color w:val="333333"/>
                <w:sz w:val="20"/>
              </w:rPr>
              <w:t>March 25, 2026</w:t>
            </w:r>
          </w:p>
        </w:tc>
      </w:tr>
      <w:tr>
        <w:tc>
          <w:tcPr>
            <w:tcW w:type="dxa" w:w="4680"/>
          </w:tcPr>
          <w:p>
            <w:pPr>
              <w:jc w:val="center"/>
            </w:pPr>
            <w:r/>
            <w:r>
              <w:rPr>
                <w:rFonts w:ascii="Calibri" w:hAnsi="Calibri"/>
                <w:b/>
                <w:color w:val="333333"/>
                <w:sz w:val="20"/>
              </w:rPr>
              <w:t>Source Material</w:t>
            </w:r>
          </w:p>
        </w:tc>
        <w:tc>
          <w:tcPr>
            <w:tcW w:type="dxa" w:w="4680"/>
          </w:tcPr>
          <w:p>
            <w:pPr>
              <w:jc w:val="center"/>
            </w:pPr>
            <w:r/>
            <w:r>
              <w:rPr>
                <w:rFonts w:ascii="Calibri" w:hAnsi="Calibri"/>
                <w:color w:val="333333"/>
                <w:sz w:val="20"/>
              </w:rPr>
              <w:t>FinIQ UC Documentation (Databricks schema, 46 pages)</w:t>
            </w:r>
          </w:p>
        </w:tc>
      </w:tr>
      <w:tr>
        <w:tc>
          <w:tcPr>
            <w:tcW w:type="dxa" w:w="4680"/>
          </w:tcPr>
          <w:p>
            <w:pPr>
              <w:jc w:val="center"/>
            </w:pPr>
            <w:r/>
            <w:r>
              <w:rPr>
                <w:rFonts w:ascii="Calibri" w:hAnsi="Calibri"/>
                <w:b/>
                <w:color w:val="333333"/>
                <w:sz w:val="20"/>
              </w:rPr>
              <w:t>Source Author</w:t>
            </w:r>
          </w:p>
        </w:tc>
        <w:tc>
          <w:tcPr>
            <w:tcW w:type="dxa" w:w="4680"/>
          </w:tcPr>
          <w:p>
            <w:pPr>
              <w:jc w:val="center"/>
            </w:pPr>
            <w:r/>
            <w:r>
              <w:rPr>
                <w:rFonts w:ascii="Calibri" w:hAnsi="Calibri"/>
                <w:color w:val="333333"/>
                <w:sz w:val="20"/>
              </w:rPr>
              <w:t>dipendra.das@effem.com (Mars / Effem)</w:t>
            </w:r>
          </w:p>
        </w:tc>
      </w:tr>
      <w:tr>
        <w:tc>
          <w:tcPr>
            <w:tcW w:type="dxa" w:w="4680"/>
          </w:tcPr>
          <w:p>
            <w:pPr>
              <w:jc w:val="center"/>
            </w:pPr>
            <w:r/>
            <w:r>
              <w:rPr>
                <w:rFonts w:ascii="Calibri" w:hAnsi="Calibri"/>
                <w:b/>
                <w:color w:val="333333"/>
                <w:sz w:val="20"/>
              </w:rPr>
              <w:t>Addendum Date</w:t>
            </w:r>
          </w:p>
        </w:tc>
        <w:tc>
          <w:tcPr>
            <w:tcW w:type="dxa" w:w="4680"/>
          </w:tcPr>
          <w:p>
            <w:pPr>
              <w:jc w:val="center"/>
            </w:pPr>
            <w:r/>
            <w:r>
              <w:rPr>
                <w:rFonts w:ascii="Calibri" w:hAnsi="Calibri"/>
                <w:color w:val="333333"/>
                <w:sz w:val="20"/>
              </w:rPr>
              <w:t>March 26, 2026</w:t>
            </w:r>
          </w:p>
        </w:tc>
      </w:tr>
      <w:tr>
        <w:tc>
          <w:tcPr>
            <w:tcW w:type="dxa" w:w="4680"/>
          </w:tcPr>
          <w:p>
            <w:pPr>
              <w:jc w:val="center"/>
            </w:pPr>
            <w:r/>
            <w:r>
              <w:rPr>
                <w:rFonts w:ascii="Calibri" w:hAnsi="Calibri"/>
                <w:b/>
                <w:color w:val="333333"/>
                <w:sz w:val="20"/>
              </w:rPr>
              <w:t>Classification</w:t>
            </w:r>
          </w:p>
        </w:tc>
        <w:tc>
          <w:tcPr>
            <w:tcW w:type="dxa" w:w="4680"/>
          </w:tcPr>
          <w:p>
            <w:pPr>
              <w:jc w:val="center"/>
            </w:pPr>
            <w:r/>
            <w:r>
              <w:rPr>
                <w:rFonts w:ascii="Calibri" w:hAnsi="Calibri"/>
                <w:color w:val="333333"/>
                <w:sz w:val="20"/>
              </w:rPr>
              <w:t>Confidential</w:t>
            </w:r>
          </w:p>
        </w:tc>
      </w:tr>
      <w:tr>
        <w:tc>
          <w:tcPr>
            <w:tcW w:type="dxa" w:w="4680"/>
          </w:tcPr>
          <w:p>
            <w:pPr>
              <w:jc w:val="center"/>
            </w:pPr>
            <w:r/>
            <w:r>
              <w:rPr>
                <w:rFonts w:ascii="Calibri" w:hAnsi="Calibri"/>
                <w:b/>
                <w:color w:val="333333"/>
                <w:sz w:val="20"/>
              </w:rPr>
              <w:t>Prepared For</w:t>
            </w:r>
          </w:p>
        </w:tc>
        <w:tc>
          <w:tcPr>
            <w:tcW w:type="dxa" w:w="4680"/>
          </w:tcPr>
          <w:p>
            <w:pPr>
              <w:jc w:val="center"/>
            </w:pPr>
            <w:r/>
            <w:r>
              <w:rPr>
                <w:rFonts w:ascii="Calibri" w:hAnsi="Calibri"/>
                <w:color w:val="333333"/>
                <w:sz w:val="20"/>
              </w:rPr>
              <w:t>Mars, Incorporated</w:t>
            </w:r>
          </w:p>
        </w:tc>
      </w:tr>
      <w:tr>
        <w:tc>
          <w:tcPr>
            <w:tcW w:type="dxa" w:w="4680"/>
          </w:tcPr>
          <w:p>
            <w:pPr>
              <w:jc w:val="center"/>
            </w:pPr>
            <w:r/>
            <w:r>
              <w:rPr>
                <w:rFonts w:ascii="Calibri" w:hAnsi="Calibri"/>
                <w:b/>
                <w:color w:val="333333"/>
                <w:sz w:val="20"/>
              </w:rPr>
              <w:t>Prepared By</w:t>
            </w:r>
          </w:p>
        </w:tc>
        <w:tc>
          <w:tcPr>
            <w:tcW w:type="dxa" w:w="4680"/>
          </w:tcPr>
          <w:p>
            <w:pPr>
              <w:jc w:val="center"/>
            </w:pPr>
            <w:r/>
            <w:r>
              <w:rPr>
                <w:rFonts w:ascii="Calibri" w:hAnsi="Calibri"/>
                <w:color w:val="333333"/>
                <w:sz w:val="20"/>
              </w:rPr>
              <w:t>Amira Technologies</w:t>
            </w:r>
          </w:p>
        </w:tc>
      </w:tr>
    </w:tbl>
    <w:p>
      <w:r>
        <w:br w:type="page"/>
      </w:r>
    </w:p>
    <w:p>
      <w:pPr>
        <w:pStyle w:val="Heading1"/>
      </w:pPr>
      <w:r>
        <w:t>1. Addendum Purpose and Scope</w:t>
      </w:r>
    </w:p>
    <w:p>
      <w:pPr>
        <w:pStyle w:val="Heading2"/>
      </w:pPr>
      <w:r>
        <w:t>1.1 Purpose</w:t>
      </w:r>
    </w:p>
    <w:p>
      <w:pPr>
        <w:spacing w:after="120"/>
      </w:pPr>
      <w:r>
        <w:t>This addendum amends the Amira FinIQ Software Requirements Specification v2.1 (the 'Base SRS') based on new source material: the FinIQ UC Documentation provided by Matt Hutton's team at Mars. This documentation describes the Databricks / FinSight data layer (20 tables and views in the finsight_core_model_mvp3 schema) that will serve as FinIQ's primary data source for internal financial analytics.</w:t>
      </w:r>
    </w:p>
    <w:p>
      <w:pPr>
        <w:spacing w:after="120"/>
      </w:pPr>
      <w:r>
        <w:t>This addendum follows the process of 'Amending specs with incremental requirements' — the Base SRS remains frozen and unchanged; this document specifies only the amendments, extensions, and new requirements derived from the Databricks schema analysis.</w:t>
      </w:r>
    </w:p>
    <w:p>
      <w:pPr>
        <w:pStyle w:val="Heading2"/>
      </w:pPr>
      <w:r>
        <w:t>1.2 Scope of Changes</w:t>
      </w:r>
    </w:p>
    <w:p>
      <w:pPr>
        <w:spacing w:after="120"/>
      </w:pPr>
      <w:r>
        <w:t>This addendum affects the following sections of the Base SRS: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880"/>
            <w:shd w:fill="1A56DB"/>
          </w:tcPr>
          <w:p>
            <w:r/>
            <w:r>
              <w:rPr>
                <w:rFonts w:ascii="Calibri" w:hAnsi="Calibri"/>
                <w:b/>
                <w:color w:val="FFFFFF"/>
                <w:sz w:val="20"/>
              </w:rPr>
              <w:t>Base SRS Section</w:t>
            </w:r>
          </w:p>
        </w:tc>
        <w:tc>
          <w:tcPr>
            <w:tcW w:type="dxa" w:w="1728"/>
            <w:shd w:fill="1A56DB"/>
          </w:tcPr>
          <w:p>
            <w:r/>
            <w:r>
              <w:rPr>
                <w:rFonts w:ascii="Calibri" w:hAnsi="Calibri"/>
                <w:b/>
                <w:color w:val="FFFFFF"/>
                <w:sz w:val="20"/>
              </w:rPr>
              <w:t>Change Type</w:t>
            </w:r>
          </w:p>
        </w:tc>
        <w:tc>
          <w:tcPr>
            <w:tcW w:type="dxa" w:w="4752"/>
            <w:shd w:fill="1A56DB"/>
          </w:tcPr>
          <w:p>
            <w:r/>
            <w:r>
              <w:rPr>
                <w:rFonts w:ascii="Calibri" w:hAnsi="Calibri"/>
                <w:b/>
                <w:color w:val="FFFFFF"/>
                <w:sz w:val="20"/>
              </w:rPr>
              <w:t>Summary</w:t>
            </w:r>
          </w:p>
        </w:tc>
      </w:tr>
      <w:tr>
        <w:tc>
          <w:tcPr>
            <w:tcW w:type="dxa" w:w="2880"/>
          </w:tcPr>
          <w:p>
            <w:r/>
            <w:r>
              <w:rPr>
                <w:rFonts w:ascii="Calibri" w:hAnsi="Calibri"/>
                <w:color w:val="333333"/>
                <w:sz w:val="18"/>
              </w:rPr>
              <w:t>1.2.2 Out of Scope</w:t>
            </w:r>
          </w:p>
        </w:tc>
        <w:tc>
          <w:tcPr>
            <w:tcW w:type="dxa" w:w="1728"/>
          </w:tcPr>
          <w:p>
            <w:r/>
            <w:r>
              <w:rPr>
                <w:rFonts w:ascii="Calibri" w:hAnsi="Calibri"/>
                <w:color w:val="333333"/>
                <w:sz w:val="18"/>
              </w:rPr>
              <w:t>AMENDED</w:t>
            </w:r>
          </w:p>
        </w:tc>
        <w:tc>
          <w:tcPr>
            <w:tcW w:type="dxa" w:w="4752"/>
          </w:tcPr>
          <w:p>
            <w:r/>
            <w:r>
              <w:rPr>
                <w:rFonts w:ascii="Calibri" w:hAnsi="Calibri"/>
                <w:color w:val="333333"/>
                <w:sz w:val="18"/>
              </w:rPr>
              <w:t>Remove 'no direct SAP/ERP integration' — Databricks connectivity is now in scope</w:t>
            </w:r>
          </w:p>
        </w:tc>
      </w:tr>
      <w:tr>
        <w:tc>
          <w:tcPr>
            <w:tcW w:type="dxa" w:w="2880"/>
            <w:shd w:fill="F2F6FC"/>
          </w:tcPr>
          <w:p>
            <w:r/>
            <w:r>
              <w:rPr>
                <w:rFonts w:ascii="Calibri" w:hAnsi="Calibri"/>
                <w:color w:val="333333"/>
                <w:sz w:val="18"/>
              </w:rPr>
              <w:t>1.3 Definitions</w:t>
            </w:r>
          </w:p>
        </w:tc>
        <w:tc>
          <w:tcPr>
            <w:tcW w:type="dxa" w:w="1728"/>
            <w:shd w:fill="F2F6FC"/>
          </w:tcPr>
          <w:p>
            <w:r/>
            <w:r>
              <w:rPr>
                <w:rFonts w:ascii="Calibri" w:hAnsi="Calibri"/>
                <w:color w:val="333333"/>
                <w:sz w:val="18"/>
              </w:rPr>
              <w:t>EXTENDED</w:t>
            </w:r>
          </w:p>
        </w:tc>
        <w:tc>
          <w:tcPr>
            <w:tcW w:type="dxa" w:w="4752"/>
            <w:shd w:fill="F2F6FC"/>
          </w:tcPr>
          <w:p>
            <w:r/>
            <w:r>
              <w:rPr>
                <w:rFonts w:ascii="Calibri" w:hAnsi="Calibri"/>
                <w:color w:val="333333"/>
                <w:sz w:val="18"/>
              </w:rPr>
              <w:t>Add Databricks/FinSight-specific terminology</w:t>
            </w:r>
          </w:p>
        </w:tc>
      </w:tr>
      <w:tr>
        <w:tc>
          <w:tcPr>
            <w:tcW w:type="dxa" w:w="2880"/>
          </w:tcPr>
          <w:p>
            <w:r/>
            <w:r>
              <w:rPr>
                <w:rFonts w:ascii="Calibri" w:hAnsi="Calibri"/>
                <w:color w:val="333333"/>
                <w:sz w:val="18"/>
              </w:rPr>
              <w:t>1.4 References</w:t>
            </w:r>
          </w:p>
        </w:tc>
        <w:tc>
          <w:tcPr>
            <w:tcW w:type="dxa" w:w="1728"/>
          </w:tcPr>
          <w:p>
            <w:r/>
            <w:r>
              <w:rPr>
                <w:rFonts w:ascii="Calibri" w:hAnsi="Calibri"/>
                <w:color w:val="333333"/>
                <w:sz w:val="18"/>
              </w:rPr>
              <w:t>EXTENDED</w:t>
            </w:r>
          </w:p>
        </w:tc>
        <w:tc>
          <w:tcPr>
            <w:tcW w:type="dxa" w:w="4752"/>
          </w:tcPr>
          <w:p>
            <w:r/>
            <w:r>
              <w:rPr>
                <w:rFonts w:ascii="Calibri" w:hAnsi="Calibri"/>
                <w:color w:val="333333"/>
                <w:sz w:val="18"/>
              </w:rPr>
              <w:t>Add FinIQ UC Documentation as a reference</w:t>
            </w:r>
          </w:p>
        </w:tc>
      </w:tr>
      <w:tr>
        <w:tc>
          <w:tcPr>
            <w:tcW w:type="dxa" w:w="2880"/>
            <w:shd w:fill="F2F6FC"/>
          </w:tcPr>
          <w:p>
            <w:r/>
            <w:r>
              <w:rPr>
                <w:rFonts w:ascii="Calibri" w:hAnsi="Calibri"/>
                <w:color w:val="333333"/>
                <w:sz w:val="18"/>
              </w:rPr>
              <w:t>2.1 Product Perspective</w:t>
            </w:r>
          </w:p>
        </w:tc>
        <w:tc>
          <w:tcPr>
            <w:tcW w:type="dxa" w:w="1728"/>
            <w:shd w:fill="F2F6FC"/>
          </w:tcPr>
          <w:p>
            <w:r/>
            <w:r>
              <w:rPr>
                <w:rFonts w:ascii="Calibri" w:hAnsi="Calibri"/>
                <w:color w:val="333333"/>
                <w:sz w:val="18"/>
              </w:rPr>
              <w:t>EXTENDED</w:t>
            </w:r>
          </w:p>
        </w:tc>
        <w:tc>
          <w:tcPr>
            <w:tcW w:type="dxa" w:w="4752"/>
            <w:shd w:fill="F2F6FC"/>
          </w:tcPr>
          <w:p>
            <w:r/>
            <w:r>
              <w:rPr>
                <w:rFonts w:ascii="Calibri" w:hAnsi="Calibri"/>
                <w:color w:val="333333"/>
                <w:sz w:val="18"/>
              </w:rPr>
              <w:t>Add FinSight data layer as current-state context</w:t>
            </w:r>
          </w:p>
        </w:tc>
      </w:tr>
      <w:tr>
        <w:tc>
          <w:tcPr>
            <w:tcW w:type="dxa" w:w="2880"/>
          </w:tcPr>
          <w:p>
            <w:r/>
            <w:r>
              <w:rPr>
                <w:rFonts w:ascii="Calibri" w:hAnsi="Calibri"/>
                <w:color w:val="333333"/>
                <w:sz w:val="18"/>
              </w:rPr>
              <w:t>2.4 Constraints</w:t>
            </w:r>
          </w:p>
        </w:tc>
        <w:tc>
          <w:tcPr>
            <w:tcW w:type="dxa" w:w="1728"/>
          </w:tcPr>
          <w:p>
            <w:r/>
            <w:r>
              <w:rPr>
                <w:rFonts w:ascii="Calibri" w:hAnsi="Calibri"/>
                <w:color w:val="333333"/>
                <w:sz w:val="18"/>
              </w:rPr>
              <w:t>AMENDED</w:t>
            </w:r>
          </w:p>
        </w:tc>
        <w:tc>
          <w:tcPr>
            <w:tcW w:type="dxa" w:w="4752"/>
          </w:tcPr>
          <w:p>
            <w:r/>
            <w:r>
              <w:rPr>
                <w:rFonts w:ascii="Calibri" w:hAnsi="Calibri"/>
                <w:color w:val="333333"/>
                <w:sz w:val="18"/>
              </w:rPr>
              <w:t>Update data source constraint from Excel-only to Databricks-primary</w:t>
            </w:r>
          </w:p>
        </w:tc>
      </w:tr>
      <w:tr>
        <w:tc>
          <w:tcPr>
            <w:tcW w:type="dxa" w:w="2880"/>
            <w:shd w:fill="F2F6FC"/>
          </w:tcPr>
          <w:p>
            <w:r/>
            <w:r>
              <w:rPr>
                <w:rFonts w:ascii="Calibri" w:hAnsi="Calibri"/>
                <w:color w:val="333333"/>
                <w:sz w:val="18"/>
              </w:rPr>
              <w:t>2.5 Assumptions</w:t>
            </w:r>
          </w:p>
        </w:tc>
        <w:tc>
          <w:tcPr>
            <w:tcW w:type="dxa" w:w="1728"/>
            <w:shd w:fill="F2F6FC"/>
          </w:tcPr>
          <w:p>
            <w:r/>
            <w:r>
              <w:rPr>
                <w:rFonts w:ascii="Calibri" w:hAnsi="Calibri"/>
                <w:color w:val="333333"/>
                <w:sz w:val="18"/>
              </w:rPr>
              <w:t>AMENDED</w:t>
            </w:r>
          </w:p>
        </w:tc>
        <w:tc>
          <w:tcPr>
            <w:tcW w:type="dxa" w:w="4752"/>
            <w:shd w:fill="F2F6FC"/>
          </w:tcPr>
          <w:p>
            <w:r/>
            <w:r>
              <w:rPr>
                <w:rFonts w:ascii="Calibri" w:hAnsi="Calibri"/>
                <w:color w:val="333333"/>
                <w:sz w:val="18"/>
              </w:rPr>
              <w:t>Update data availability assumptions</w:t>
            </w:r>
          </w:p>
        </w:tc>
      </w:tr>
      <w:tr>
        <w:tc>
          <w:tcPr>
            <w:tcW w:type="dxa" w:w="2880"/>
          </w:tcPr>
          <w:p>
            <w:r/>
            <w:r>
              <w:rPr>
                <w:rFonts w:ascii="Calibri" w:hAnsi="Calibri"/>
                <w:color w:val="333333"/>
                <w:sz w:val="18"/>
              </w:rPr>
              <w:t>3.2.1 FR1: Data Ingestion</w:t>
            </w:r>
          </w:p>
        </w:tc>
        <w:tc>
          <w:tcPr>
            <w:tcW w:type="dxa" w:w="1728"/>
          </w:tcPr>
          <w:p>
            <w:r/>
            <w:r>
              <w:rPr>
                <w:rFonts w:ascii="Calibri" w:hAnsi="Calibri"/>
                <w:color w:val="333333"/>
                <w:sz w:val="18"/>
              </w:rPr>
              <w:t>AMENDED</w:t>
            </w:r>
          </w:p>
        </w:tc>
        <w:tc>
          <w:tcPr>
            <w:tcW w:type="dxa" w:w="4752"/>
          </w:tcPr>
          <w:p>
            <w:r/>
            <w:r>
              <w:rPr>
                <w:rFonts w:ascii="Calibri" w:hAnsi="Calibri"/>
                <w:color w:val="333333"/>
                <w:sz w:val="18"/>
              </w:rPr>
              <w:t>FR1.1 amended from Excel to Databricks; new FR1.6 added</w:t>
            </w:r>
          </w:p>
        </w:tc>
      </w:tr>
      <w:tr>
        <w:tc>
          <w:tcPr>
            <w:tcW w:type="dxa" w:w="2880"/>
            <w:shd w:fill="F2F6FC"/>
          </w:tcPr>
          <w:p>
            <w:r/>
            <w:r>
              <w:rPr>
                <w:rFonts w:ascii="Calibri" w:hAnsi="Calibri"/>
                <w:color w:val="333333"/>
                <w:sz w:val="18"/>
              </w:rPr>
              <w:t>3.2.2 FR2: Analytics</w:t>
            </w:r>
          </w:p>
        </w:tc>
        <w:tc>
          <w:tcPr>
            <w:tcW w:type="dxa" w:w="1728"/>
            <w:shd w:fill="F2F6FC"/>
          </w:tcPr>
          <w:p>
            <w:r/>
            <w:r>
              <w:rPr>
                <w:rFonts w:ascii="Calibri" w:hAnsi="Calibri"/>
                <w:color w:val="333333"/>
                <w:sz w:val="18"/>
              </w:rPr>
              <w:t>EXTENDED</w:t>
            </w:r>
          </w:p>
        </w:tc>
        <w:tc>
          <w:tcPr>
            <w:tcW w:type="dxa" w:w="4752"/>
            <w:shd w:fill="F2F6FC"/>
          </w:tcPr>
          <w:p>
            <w:r/>
            <w:r>
              <w:rPr>
                <w:rFonts w:ascii="Calibri" w:hAnsi="Calibri"/>
                <w:color w:val="333333"/>
                <w:sz w:val="18"/>
              </w:rPr>
              <w:t>Precomputed views enable direct analytics; new FR2.7 added</w:t>
            </w:r>
          </w:p>
        </w:tc>
      </w:tr>
      <w:tr>
        <w:tc>
          <w:tcPr>
            <w:tcW w:type="dxa" w:w="2880"/>
          </w:tcPr>
          <w:p>
            <w:r/>
            <w:r>
              <w:rPr>
                <w:rFonts w:ascii="Calibri" w:hAnsi="Calibri"/>
                <w:color w:val="333333"/>
                <w:sz w:val="18"/>
              </w:rPr>
              <w:t>3.2.6 FR6: Integration</w:t>
            </w:r>
          </w:p>
        </w:tc>
        <w:tc>
          <w:tcPr>
            <w:tcW w:type="dxa" w:w="1728"/>
          </w:tcPr>
          <w:p>
            <w:r/>
            <w:r>
              <w:rPr>
                <w:rFonts w:ascii="Calibri" w:hAnsi="Calibri"/>
                <w:color w:val="333333"/>
                <w:sz w:val="18"/>
              </w:rPr>
              <w:t>EXTENDED</w:t>
            </w:r>
          </w:p>
        </w:tc>
        <w:tc>
          <w:tcPr>
            <w:tcW w:type="dxa" w:w="4752"/>
          </w:tcPr>
          <w:p>
            <w:r/>
            <w:r>
              <w:rPr>
                <w:rFonts w:ascii="Calibri" w:hAnsi="Calibri"/>
                <w:color w:val="333333"/>
                <w:sz w:val="18"/>
              </w:rPr>
              <w:t>FR6.1 strengthened with replan data; new FR6.5 added</w:t>
            </w:r>
          </w:p>
        </w:tc>
      </w:tr>
      <w:tr>
        <w:tc>
          <w:tcPr>
            <w:tcW w:type="dxa" w:w="2880"/>
            <w:shd w:fill="F2F6FC"/>
          </w:tcPr>
          <w:p>
            <w:r/>
            <w:r>
              <w:rPr>
                <w:rFonts w:ascii="Calibri" w:hAnsi="Calibri"/>
                <w:color w:val="333333"/>
                <w:sz w:val="18"/>
              </w:rPr>
              <w:t>3.2.7 FR7: Admin</w:t>
            </w:r>
          </w:p>
        </w:tc>
        <w:tc>
          <w:tcPr>
            <w:tcW w:type="dxa" w:w="1728"/>
            <w:shd w:fill="F2F6FC"/>
          </w:tcPr>
          <w:p>
            <w:r/>
            <w:r>
              <w:rPr>
                <w:rFonts w:ascii="Calibri" w:hAnsi="Calibri"/>
                <w:color w:val="333333"/>
                <w:sz w:val="18"/>
              </w:rPr>
              <w:t>EXTENDED</w:t>
            </w:r>
          </w:p>
        </w:tc>
        <w:tc>
          <w:tcPr>
            <w:tcW w:type="dxa" w:w="4752"/>
            <w:shd w:fill="F2F6FC"/>
          </w:tcPr>
          <w:p>
            <w:r/>
            <w:r>
              <w:rPr>
                <w:rFonts w:ascii="Calibri" w:hAnsi="Calibri"/>
                <w:color w:val="333333"/>
                <w:sz w:val="18"/>
              </w:rPr>
              <w:t>New FR7.6 for Databricks connection management</w:t>
            </w:r>
          </w:p>
        </w:tc>
      </w:tr>
      <w:tr>
        <w:tc>
          <w:tcPr>
            <w:tcW w:type="dxa" w:w="2880"/>
          </w:tcPr>
          <w:p>
            <w:r/>
            <w:r>
              <w:rPr>
                <w:rFonts w:ascii="Calibri" w:hAnsi="Calibri"/>
                <w:color w:val="333333"/>
                <w:sz w:val="18"/>
              </w:rPr>
              <w:t>4. Data Model</w:t>
            </w:r>
          </w:p>
        </w:tc>
        <w:tc>
          <w:tcPr>
            <w:tcW w:type="dxa" w:w="1728"/>
          </w:tcPr>
          <w:p>
            <w:r/>
            <w:r>
              <w:rPr>
                <w:rFonts w:ascii="Calibri" w:hAnsi="Calibri"/>
                <w:color w:val="333333"/>
                <w:sz w:val="18"/>
              </w:rPr>
              <w:t>AMENDED</w:t>
            </w:r>
          </w:p>
        </w:tc>
        <w:tc>
          <w:tcPr>
            <w:tcW w:type="dxa" w:w="4752"/>
          </w:tcPr>
          <w:p>
            <w:r/>
            <w:r>
              <w:rPr>
                <w:rFonts w:ascii="Calibri" w:hAnsi="Calibri"/>
                <w:color w:val="333333"/>
                <w:sz w:val="18"/>
              </w:rPr>
              <w:t>Replace conceptual entities with actual Databricks schema</w:t>
            </w:r>
          </w:p>
        </w:tc>
      </w:tr>
      <w:tr>
        <w:tc>
          <w:tcPr>
            <w:tcW w:type="dxa" w:w="2880"/>
            <w:shd w:fill="F2F6FC"/>
          </w:tcPr>
          <w:p>
            <w:r/>
            <w:r>
              <w:rPr>
                <w:rFonts w:ascii="Calibri" w:hAnsi="Calibri"/>
                <w:color w:val="333333"/>
                <w:sz w:val="18"/>
              </w:rPr>
              <w:t>5. System Architecture</w:t>
            </w:r>
          </w:p>
        </w:tc>
        <w:tc>
          <w:tcPr>
            <w:tcW w:type="dxa" w:w="1728"/>
            <w:shd w:fill="F2F6FC"/>
          </w:tcPr>
          <w:p>
            <w:r/>
            <w:r>
              <w:rPr>
                <w:rFonts w:ascii="Calibri" w:hAnsi="Calibri"/>
                <w:color w:val="333333"/>
                <w:sz w:val="18"/>
              </w:rPr>
              <w:t>AMENDED</w:t>
            </w:r>
          </w:p>
        </w:tc>
        <w:tc>
          <w:tcPr>
            <w:tcW w:type="dxa" w:w="4752"/>
            <w:shd w:fill="F2F6FC"/>
          </w:tcPr>
          <w:p>
            <w:r/>
            <w:r>
              <w:rPr>
                <w:rFonts w:ascii="Calibri" w:hAnsi="Calibri"/>
                <w:color w:val="333333"/>
                <w:sz w:val="18"/>
              </w:rPr>
              <w:t>Add Databricks connector to Layer 4; amend data flows</w:t>
            </w:r>
          </w:p>
        </w:tc>
      </w:tr>
      <w:tr>
        <w:tc>
          <w:tcPr>
            <w:tcW w:type="dxa" w:w="2880"/>
          </w:tcPr>
          <w:p>
            <w:r/>
            <w:r>
              <w:rPr>
                <w:rFonts w:ascii="Calibri" w:hAnsi="Calibri"/>
                <w:color w:val="333333"/>
                <w:sz w:val="18"/>
              </w:rPr>
              <w:t>8. Acceptance Criteria</w:t>
            </w:r>
          </w:p>
        </w:tc>
        <w:tc>
          <w:tcPr>
            <w:tcW w:type="dxa" w:w="1728"/>
          </w:tcPr>
          <w:p>
            <w:r/>
            <w:r>
              <w:rPr>
                <w:rFonts w:ascii="Calibri" w:hAnsi="Calibri"/>
                <w:color w:val="333333"/>
                <w:sz w:val="18"/>
              </w:rPr>
              <w:t>EXTENDED</w:t>
            </w:r>
          </w:p>
        </w:tc>
        <w:tc>
          <w:tcPr>
            <w:tcW w:type="dxa" w:w="4752"/>
          </w:tcPr>
          <w:p>
            <w:r/>
            <w:r>
              <w:rPr>
                <w:rFonts w:ascii="Calibri" w:hAnsi="Calibri"/>
                <w:color w:val="333333"/>
                <w:sz w:val="18"/>
              </w:rPr>
              <w:t>Add criteria for Databricks integration</w:t>
            </w:r>
          </w:p>
        </w:tc>
      </w:tr>
    </w:tbl>
    <w:p/>
    <w:p>
      <w:pPr>
        <w:pStyle w:val="Heading2"/>
      </w:pPr>
      <w:r>
        <w:t>1.3 Change Type Legend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160"/>
            <w:shd w:fill="1A56DB"/>
          </w:tcPr>
          <w:p>
            <w:r/>
            <w:r>
              <w:rPr>
                <w:rFonts w:ascii="Calibri" w:hAnsi="Calibri"/>
                <w:b/>
                <w:color w:val="FFFFFF"/>
                <w:sz w:val="20"/>
              </w:rPr>
              <w:t>Marker</w:t>
            </w:r>
          </w:p>
        </w:tc>
        <w:tc>
          <w:tcPr>
            <w:tcW w:type="dxa" w:w="7200"/>
            <w:shd w:fill="1A56DB"/>
          </w:tcPr>
          <w:p>
            <w:r/>
            <w:r>
              <w:rPr>
                <w:rFonts w:ascii="Calibri" w:hAnsi="Calibri"/>
                <w:b/>
                <w:color w:val="FFFFFF"/>
                <w:sz w:val="20"/>
              </w:rPr>
              <w:t>Meaning</w:t>
            </w:r>
          </w:p>
        </w:tc>
      </w:tr>
      <w:tr>
        <w:tc>
          <w:tcPr>
            <w:tcW w:type="dxa" w:w="2160"/>
          </w:tcPr>
          <w:p>
            <w:r/>
            <w:r>
              <w:rPr>
                <w:rFonts w:ascii="Calibri" w:hAnsi="Calibri"/>
                <w:color w:val="333333"/>
                <w:sz w:val="18"/>
              </w:rPr>
              <w:t>[AMENDED]</w:t>
            </w:r>
          </w:p>
        </w:tc>
        <w:tc>
          <w:tcPr>
            <w:tcW w:type="dxa" w:w="7200"/>
          </w:tcPr>
          <w:p>
            <w:r/>
            <w:r>
              <w:rPr>
                <w:rFonts w:ascii="Calibri" w:hAnsi="Calibri"/>
                <w:color w:val="333333"/>
                <w:sz w:val="18"/>
              </w:rPr>
              <w:t>An existing base SRS requirement is modified. The addendum text supersedes the base text for that requirement.</w:t>
            </w:r>
          </w:p>
        </w:tc>
      </w:tr>
      <w:tr>
        <w:tc>
          <w:tcPr>
            <w:tcW w:type="dxa" w:w="2160"/>
            <w:shd w:fill="F2F6FC"/>
          </w:tcPr>
          <w:p>
            <w:r/>
            <w:r>
              <w:rPr>
                <w:rFonts w:ascii="Calibri" w:hAnsi="Calibri"/>
                <w:color w:val="333333"/>
                <w:sz w:val="18"/>
              </w:rPr>
              <w:t>[EXTENDED]</w:t>
            </w:r>
          </w:p>
        </w:tc>
        <w:tc>
          <w:tcPr>
            <w:tcW w:type="dxa" w:w="7200"/>
            <w:shd w:fill="F2F6FC"/>
          </w:tcPr>
          <w:p>
            <w:r/>
            <w:r>
              <w:rPr>
                <w:rFonts w:ascii="Calibri" w:hAnsi="Calibri"/>
                <w:color w:val="333333"/>
                <w:sz w:val="18"/>
              </w:rPr>
              <w:t>An existing base SRS section receives additional content. The base text remains valid; this addendum adds to it.</w:t>
            </w:r>
          </w:p>
        </w:tc>
      </w:tr>
      <w:tr>
        <w:tc>
          <w:tcPr>
            <w:tcW w:type="dxa" w:w="2160"/>
          </w:tcPr>
          <w:p>
            <w:r/>
            <w:r>
              <w:rPr>
                <w:rFonts w:ascii="Calibri" w:hAnsi="Calibri"/>
                <w:color w:val="333333"/>
                <w:sz w:val="18"/>
              </w:rPr>
              <w:t>[NEW]</w:t>
            </w:r>
          </w:p>
        </w:tc>
        <w:tc>
          <w:tcPr>
            <w:tcW w:type="dxa" w:w="7200"/>
          </w:tcPr>
          <w:p>
            <w:r/>
            <w:r>
              <w:rPr>
                <w:rFonts w:ascii="Calibri" w:hAnsi="Calibri"/>
                <w:color w:val="333333"/>
                <w:sz w:val="18"/>
              </w:rPr>
              <w:t>A new requirement not present in the base SRS. Adds net-new functionality or specifications.</w:t>
            </w:r>
          </w:p>
        </w:tc>
      </w:tr>
    </w:tbl>
    <w:p/>
    <w:p>
      <w:r>
        <w:br w:type="page"/>
      </w:r>
    </w:p>
    <w:p>
      <w:pPr>
        <w:pStyle w:val="Heading1"/>
      </w:pPr>
      <w:r>
        <w:t>2. Source Material: FinSight Databricks Schema</w:t>
      </w:r>
    </w:p>
    <w:p>
      <w:pPr>
        <w:pStyle w:val="Heading2"/>
      </w:pPr>
      <w:r>
        <w:t>2.1 Schema Identity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fill="1A56DB"/>
          </w:tcPr>
          <w:p>
            <w:r/>
            <w:r>
              <w:rPr>
                <w:rFonts w:ascii="Calibri" w:hAnsi="Calibri"/>
                <w:b/>
                <w:color w:val="FFFFFF"/>
                <w:sz w:val="20"/>
              </w:rPr>
              <w:t>Property</w:t>
            </w:r>
          </w:p>
        </w:tc>
        <w:tc>
          <w:tcPr>
            <w:tcW w:type="dxa" w:w="6480"/>
            <w:shd w:fill="1A56DB"/>
          </w:tcPr>
          <w:p>
            <w:r/>
            <w:r>
              <w:rPr>
                <w:rFonts w:ascii="Calibri" w:hAnsi="Calibri"/>
                <w:b/>
                <w:color w:val="FFFFFF"/>
                <w:sz w:val="20"/>
              </w:rPr>
              <w:t>Value</w:t>
            </w:r>
          </w:p>
        </w:tc>
      </w:tr>
      <w:tr>
        <w:tc>
          <w:tcPr>
            <w:tcW w:type="dxa" w:w="2880"/>
          </w:tcPr>
          <w:p>
            <w:r/>
            <w:r>
              <w:rPr>
                <w:rFonts w:ascii="Calibri" w:hAnsi="Calibri"/>
                <w:color w:val="333333"/>
                <w:sz w:val="18"/>
              </w:rPr>
              <w:t>Databricks Catalog</w:t>
            </w:r>
          </w:p>
        </w:tc>
        <w:tc>
          <w:tcPr>
            <w:tcW w:type="dxa" w:w="6480"/>
          </w:tcPr>
          <w:p>
            <w:r/>
            <w:r>
              <w:rPr>
                <w:rFonts w:ascii="Calibri" w:hAnsi="Calibri"/>
                <w:color w:val="333333"/>
                <w:sz w:val="18"/>
              </w:rPr>
              <w:t>corporate_finance_analytics_dev</w:t>
            </w:r>
          </w:p>
        </w:tc>
      </w:tr>
      <w:tr>
        <w:tc>
          <w:tcPr>
            <w:tcW w:type="dxa" w:w="2880"/>
            <w:shd w:fill="F2F6FC"/>
          </w:tcPr>
          <w:p>
            <w:r/>
            <w:r>
              <w:rPr>
                <w:rFonts w:ascii="Calibri" w:hAnsi="Calibri"/>
                <w:color w:val="333333"/>
                <w:sz w:val="18"/>
              </w:rPr>
              <w:t>Schema (Database)</w:t>
            </w:r>
          </w:p>
        </w:tc>
        <w:tc>
          <w:tcPr>
            <w:tcW w:type="dxa" w:w="6480"/>
            <w:shd w:fill="F2F6FC"/>
          </w:tcPr>
          <w:p>
            <w:r/>
            <w:r>
              <w:rPr>
                <w:rFonts w:ascii="Calibri" w:hAnsi="Calibri"/>
                <w:color w:val="333333"/>
                <w:sz w:val="18"/>
              </w:rPr>
              <w:t>finsight_core_model_mvp3</w:t>
            </w:r>
          </w:p>
        </w:tc>
      </w:tr>
      <w:tr>
        <w:tc>
          <w:tcPr>
            <w:tcW w:type="dxa" w:w="2880"/>
          </w:tcPr>
          <w:p>
            <w:r/>
            <w:r>
              <w:rPr>
                <w:rFonts w:ascii="Calibri" w:hAnsi="Calibri"/>
                <w:color w:val="333333"/>
                <w:sz w:val="18"/>
              </w:rPr>
              <w:t>Table/View Prefix</w:t>
            </w:r>
          </w:p>
        </w:tc>
        <w:tc>
          <w:tcPr>
            <w:tcW w:type="dxa" w:w="6480"/>
          </w:tcPr>
          <w:p>
            <w:r/>
            <w:r>
              <w:rPr>
                <w:rFonts w:ascii="Calibri" w:hAnsi="Calibri"/>
                <w:color w:val="333333"/>
                <w:sz w:val="18"/>
              </w:rPr>
              <w:t>finiq</w:t>
            </w:r>
          </w:p>
        </w:tc>
      </w:tr>
      <w:tr>
        <w:tc>
          <w:tcPr>
            <w:tcW w:type="dxa" w:w="2880"/>
            <w:shd w:fill="F2F6FC"/>
          </w:tcPr>
          <w:p>
            <w:r/>
            <w:r>
              <w:rPr>
                <w:rFonts w:ascii="Calibri" w:hAnsi="Calibri"/>
                <w:color w:val="333333"/>
                <w:sz w:val="18"/>
              </w:rPr>
              <w:t>Storage Format</w:t>
            </w:r>
          </w:p>
        </w:tc>
        <w:tc>
          <w:tcPr>
            <w:tcW w:type="dxa" w:w="6480"/>
            <w:shd w:fill="F2F6FC"/>
          </w:tcPr>
          <w:p>
            <w:r/>
            <w:r>
              <w:rPr>
                <w:rFonts w:ascii="Calibri" w:hAnsi="Calibri"/>
                <w:color w:val="333333"/>
                <w:sz w:val="18"/>
              </w:rPr>
              <w:t>Delta Lake</w:t>
            </w:r>
          </w:p>
        </w:tc>
      </w:tr>
      <w:tr>
        <w:tc>
          <w:tcPr>
            <w:tcW w:type="dxa" w:w="2880"/>
          </w:tcPr>
          <w:p>
            <w:r/>
            <w:r>
              <w:rPr>
                <w:rFonts w:ascii="Calibri" w:hAnsi="Calibri"/>
                <w:color w:val="333333"/>
                <w:sz w:val="18"/>
              </w:rPr>
              <w:t>Storage Location</w:t>
            </w:r>
          </w:p>
        </w:tc>
        <w:tc>
          <w:tcPr>
            <w:tcW w:type="dxa" w:w="6480"/>
          </w:tcPr>
          <w:p>
            <w:r/>
            <w:r>
              <w:rPr>
                <w:rFonts w:ascii="Calibri" w:hAnsi="Calibri"/>
                <w:color w:val="333333"/>
                <w:sz w:val="18"/>
              </w:rPr>
              <w:t>abfss://output@finsightmvp31218devsa.dfs.core.windows.net/</w:t>
            </w:r>
          </w:p>
        </w:tc>
      </w:tr>
      <w:tr>
        <w:tc>
          <w:tcPr>
            <w:tcW w:type="dxa" w:w="2880"/>
            <w:shd w:fill="F2F6FC"/>
          </w:tcPr>
          <w:p>
            <w:r/>
            <w:r>
              <w:rPr>
                <w:rFonts w:ascii="Calibri" w:hAnsi="Calibri"/>
                <w:color w:val="333333"/>
                <w:sz w:val="18"/>
              </w:rPr>
              <w:t>Owner Group</w:t>
            </w:r>
          </w:p>
        </w:tc>
        <w:tc>
          <w:tcPr>
            <w:tcW w:type="dxa" w:w="6480"/>
            <w:shd w:fill="F2F6FC"/>
          </w:tcPr>
          <w:p>
            <w:r/>
            <w:r>
              <w:rPr>
                <w:rFonts w:ascii="Calibri" w:hAnsi="Calibri"/>
                <w:color w:val="333333"/>
                <w:sz w:val="18"/>
              </w:rPr>
              <w:t>Finsight-Group-Mvp3</w:t>
            </w:r>
          </w:p>
        </w:tc>
      </w:tr>
      <w:tr>
        <w:tc>
          <w:tcPr>
            <w:tcW w:type="dxa" w:w="2880"/>
          </w:tcPr>
          <w:p>
            <w:r/>
            <w:r>
              <w:rPr>
                <w:rFonts w:ascii="Calibri" w:hAnsi="Calibri"/>
                <w:color w:val="333333"/>
                <w:sz w:val="18"/>
              </w:rPr>
              <w:t>Documentation Source</w:t>
            </w:r>
          </w:p>
        </w:tc>
        <w:tc>
          <w:tcPr>
            <w:tcW w:type="dxa" w:w="6480"/>
          </w:tcPr>
          <w:p>
            <w:r/>
            <w:r>
              <w:rPr>
                <w:rFonts w:ascii="Calibri" w:hAnsi="Calibri"/>
                <w:color w:val="333333"/>
                <w:sz w:val="18"/>
              </w:rPr>
              <w:t>FinIQ UC Documentation, generated 2026-03-25 by dipendra.das@effem.com</w:t>
            </w:r>
          </w:p>
        </w:tc>
      </w:tr>
      <w:tr>
        <w:tc>
          <w:tcPr>
            <w:tcW w:type="dxa" w:w="2880"/>
            <w:shd w:fill="F2F6FC"/>
          </w:tcPr>
          <w:p>
            <w:r/>
            <w:r>
              <w:rPr>
                <w:rFonts w:ascii="Calibri" w:hAnsi="Calibri"/>
                <w:color w:val="333333"/>
                <w:sz w:val="18"/>
              </w:rPr>
              <w:t>Total Objects</w:t>
            </w:r>
          </w:p>
        </w:tc>
        <w:tc>
          <w:tcPr>
            <w:tcW w:type="dxa" w:w="6480"/>
            <w:shd w:fill="F2F6FC"/>
          </w:tcPr>
          <w:p>
            <w:r/>
            <w:r>
              <w:rPr>
                <w:rFonts w:ascii="Calibri" w:hAnsi="Calibri"/>
                <w:color w:val="333333"/>
                <w:sz w:val="18"/>
              </w:rPr>
              <w:t>20 (17 tables + 3 views)</w:t>
            </w:r>
          </w:p>
        </w:tc>
      </w:tr>
    </w:tbl>
    <w:p/>
    <w:p>
      <w:pPr>
        <w:pStyle w:val="Heading2"/>
      </w:pPr>
      <w:r>
        <w:t>2.2 Object Inventory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432"/>
            <w:shd w:fill="1A56DB"/>
          </w:tcPr>
          <w:p>
            <w:r/>
            <w:r>
              <w:rPr>
                <w:rFonts w:ascii="Calibri" w:hAnsi="Calibri"/>
                <w:b/>
                <w:color w:val="FFFFFF"/>
                <w:sz w:val="20"/>
              </w:rPr>
              <w:t>#</w:t>
            </w:r>
          </w:p>
        </w:tc>
        <w:tc>
          <w:tcPr>
            <w:tcW w:type="dxa" w:w="3312"/>
            <w:shd w:fill="1A56DB"/>
          </w:tcPr>
          <w:p>
            <w:r/>
            <w:r>
              <w:rPr>
                <w:rFonts w:ascii="Calibri" w:hAnsi="Calibri"/>
                <w:b/>
                <w:color w:val="FFFFFF"/>
                <w:sz w:val="20"/>
              </w:rPr>
              <w:t>Object Name</w:t>
            </w:r>
          </w:p>
        </w:tc>
        <w:tc>
          <w:tcPr>
            <w:tcW w:type="dxa" w:w="864"/>
            <w:shd w:fill="1A56DB"/>
          </w:tcPr>
          <w:p>
            <w:r/>
            <w:r>
              <w:rPr>
                <w:rFonts w:ascii="Calibri" w:hAnsi="Calibri"/>
                <w:b/>
                <w:color w:val="FFFFFF"/>
                <w:sz w:val="20"/>
              </w:rPr>
              <w:t>Type</w:t>
            </w:r>
          </w:p>
        </w:tc>
        <w:tc>
          <w:tcPr>
            <w:tcW w:type="dxa" w:w="720"/>
            <w:shd w:fill="1A56DB"/>
          </w:tcPr>
          <w:p>
            <w:r/>
            <w:r>
              <w:rPr>
                <w:rFonts w:ascii="Calibri" w:hAnsi="Calibri"/>
                <w:b/>
                <w:color w:val="FFFFFF"/>
                <w:sz w:val="20"/>
              </w:rPr>
              <w:t>Cols</w:t>
            </w:r>
          </w:p>
        </w:tc>
        <w:tc>
          <w:tcPr>
            <w:tcW w:type="dxa" w:w="4032"/>
            <w:shd w:fill="1A56DB"/>
          </w:tcPr>
          <w:p>
            <w:r/>
            <w:r>
              <w:rPr>
                <w:rFonts w:ascii="Calibri" w:hAnsi="Calibri"/>
                <w:b/>
                <w:color w:val="FFFFFF"/>
                <w:sz w:val="20"/>
              </w:rPr>
              <w:t>Category</w:t>
            </w:r>
          </w:p>
        </w:tc>
      </w:tr>
      <w:tr>
        <w:tc>
          <w:tcPr>
            <w:tcW w:type="dxa" w:w="432"/>
          </w:tcPr>
          <w:p>
            <w:r/>
            <w:r>
              <w:rPr>
                <w:rFonts w:ascii="Calibri" w:hAnsi="Calibri"/>
                <w:color w:val="333333"/>
                <w:sz w:val="18"/>
              </w:rPr>
              <w:t>1</w:t>
            </w:r>
          </w:p>
        </w:tc>
        <w:tc>
          <w:tcPr>
            <w:tcW w:type="dxa" w:w="3312"/>
          </w:tcPr>
          <w:p>
            <w:r/>
            <w:r>
              <w:rPr>
                <w:rFonts w:ascii="Calibri" w:hAnsi="Calibri"/>
                <w:color w:val="333333"/>
                <w:sz w:val="18"/>
              </w:rPr>
              <w:t>finiq_account_formula</w:t>
            </w:r>
          </w:p>
        </w:tc>
        <w:tc>
          <w:tcPr>
            <w:tcW w:type="dxa" w:w="864"/>
          </w:tcPr>
          <w:p>
            <w:r/>
            <w:r>
              <w:rPr>
                <w:rFonts w:ascii="Calibri" w:hAnsi="Calibri"/>
                <w:color w:val="333333"/>
                <w:sz w:val="18"/>
              </w:rPr>
              <w:t>TABLE</w:t>
            </w:r>
          </w:p>
        </w:tc>
        <w:tc>
          <w:tcPr>
            <w:tcW w:type="dxa" w:w="720"/>
          </w:tcPr>
          <w:p>
            <w:r/>
            <w:r>
              <w:rPr>
                <w:rFonts w:ascii="Calibri" w:hAnsi="Calibri"/>
                <w:color w:val="333333"/>
                <w:sz w:val="18"/>
              </w:rPr>
              <w:t>4</w:t>
            </w:r>
          </w:p>
        </w:tc>
        <w:tc>
          <w:tcPr>
            <w:tcW w:type="dxa" w:w="4032"/>
          </w:tcPr>
          <w:p>
            <w:r/>
            <w:r>
              <w:rPr>
                <w:rFonts w:ascii="Calibri" w:hAnsi="Calibri"/>
                <w:color w:val="333333"/>
                <w:sz w:val="18"/>
              </w:rPr>
              <w:t>Dimension — Account Metadata</w:t>
            </w:r>
          </w:p>
        </w:tc>
      </w:tr>
      <w:tr>
        <w:tc>
          <w:tcPr>
            <w:tcW w:type="dxa" w:w="432"/>
            <w:shd w:fill="F2F6FC"/>
          </w:tcPr>
          <w:p>
            <w:r/>
            <w:r>
              <w:rPr>
                <w:rFonts w:ascii="Calibri" w:hAnsi="Calibri"/>
                <w:color w:val="333333"/>
                <w:sz w:val="18"/>
              </w:rPr>
              <w:t>2</w:t>
            </w:r>
          </w:p>
        </w:tc>
        <w:tc>
          <w:tcPr>
            <w:tcW w:type="dxa" w:w="3312"/>
            <w:shd w:fill="F2F6FC"/>
          </w:tcPr>
          <w:p>
            <w:r/>
            <w:r>
              <w:rPr>
                <w:rFonts w:ascii="Calibri" w:hAnsi="Calibri"/>
                <w:color w:val="333333"/>
                <w:sz w:val="18"/>
              </w:rPr>
              <w:t>finiq_account_input</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3</w:t>
            </w:r>
          </w:p>
        </w:tc>
        <w:tc>
          <w:tcPr>
            <w:tcW w:type="dxa" w:w="4032"/>
            <w:shd w:fill="F2F6FC"/>
          </w:tcPr>
          <w:p>
            <w:r/>
            <w:r>
              <w:rPr>
                <w:rFonts w:ascii="Calibri" w:hAnsi="Calibri"/>
                <w:color w:val="333333"/>
                <w:sz w:val="18"/>
              </w:rPr>
              <w:t>Dimension — Account Metadata</w:t>
            </w:r>
          </w:p>
        </w:tc>
      </w:tr>
      <w:tr>
        <w:tc>
          <w:tcPr>
            <w:tcW w:type="dxa" w:w="432"/>
          </w:tcPr>
          <w:p>
            <w:r/>
            <w:r>
              <w:rPr>
                <w:rFonts w:ascii="Calibri" w:hAnsi="Calibri"/>
                <w:color w:val="333333"/>
                <w:sz w:val="18"/>
              </w:rPr>
              <w:t>3</w:t>
            </w:r>
          </w:p>
        </w:tc>
        <w:tc>
          <w:tcPr>
            <w:tcW w:type="dxa" w:w="3312"/>
          </w:tcPr>
          <w:p>
            <w:r/>
            <w:r>
              <w:rPr>
                <w:rFonts w:ascii="Calibri" w:hAnsi="Calibri"/>
                <w:color w:val="333333"/>
                <w:sz w:val="18"/>
              </w:rPr>
              <w:t>finiq_composite_item</w:t>
            </w:r>
          </w:p>
        </w:tc>
        <w:tc>
          <w:tcPr>
            <w:tcW w:type="dxa" w:w="864"/>
          </w:tcPr>
          <w:p>
            <w:r/>
            <w:r>
              <w:rPr>
                <w:rFonts w:ascii="Calibri" w:hAnsi="Calibri"/>
                <w:color w:val="333333"/>
                <w:sz w:val="18"/>
              </w:rPr>
              <w:t>TABLE</w:t>
            </w:r>
          </w:p>
        </w:tc>
        <w:tc>
          <w:tcPr>
            <w:tcW w:type="dxa" w:w="720"/>
          </w:tcPr>
          <w:p>
            <w:r/>
            <w:r>
              <w:rPr>
                <w:rFonts w:ascii="Calibri" w:hAnsi="Calibri"/>
                <w:color w:val="333333"/>
                <w:sz w:val="18"/>
              </w:rPr>
              <w:t>12</w:t>
            </w:r>
          </w:p>
        </w:tc>
        <w:tc>
          <w:tcPr>
            <w:tcW w:type="dxa" w:w="4032"/>
          </w:tcPr>
          <w:p>
            <w:r/>
            <w:r>
              <w:rPr>
                <w:rFonts w:ascii="Calibri" w:hAnsi="Calibri"/>
                <w:color w:val="333333"/>
                <w:sz w:val="18"/>
              </w:rPr>
              <w:t>Dimension — Product Taxonomy</w:t>
            </w:r>
          </w:p>
        </w:tc>
      </w:tr>
      <w:tr>
        <w:tc>
          <w:tcPr>
            <w:tcW w:type="dxa" w:w="432"/>
            <w:shd w:fill="F2F6FC"/>
          </w:tcPr>
          <w:p>
            <w:r/>
            <w:r>
              <w:rPr>
                <w:rFonts w:ascii="Calibri" w:hAnsi="Calibri"/>
                <w:color w:val="333333"/>
                <w:sz w:val="18"/>
              </w:rPr>
              <w:t>4</w:t>
            </w:r>
          </w:p>
        </w:tc>
        <w:tc>
          <w:tcPr>
            <w:tcW w:type="dxa" w:w="3312"/>
            <w:shd w:fill="F2F6FC"/>
          </w:tcPr>
          <w:p>
            <w:r/>
            <w:r>
              <w:rPr>
                <w:rFonts w:ascii="Calibri" w:hAnsi="Calibri"/>
                <w:color w:val="333333"/>
                <w:sz w:val="18"/>
              </w:rPr>
              <w:t>finiq_customer</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11</w:t>
            </w:r>
          </w:p>
        </w:tc>
        <w:tc>
          <w:tcPr>
            <w:tcW w:type="dxa" w:w="4032"/>
            <w:shd w:fill="F2F6FC"/>
          </w:tcPr>
          <w:p>
            <w:r/>
            <w:r>
              <w:rPr>
                <w:rFonts w:ascii="Calibri" w:hAnsi="Calibri"/>
                <w:color w:val="333333"/>
                <w:sz w:val="18"/>
              </w:rPr>
              <w:t>Dimension — Customer</w:t>
            </w:r>
          </w:p>
        </w:tc>
      </w:tr>
      <w:tr>
        <w:tc>
          <w:tcPr>
            <w:tcW w:type="dxa" w:w="432"/>
          </w:tcPr>
          <w:p>
            <w:r/>
            <w:r>
              <w:rPr>
                <w:rFonts w:ascii="Calibri" w:hAnsi="Calibri"/>
                <w:color w:val="333333"/>
                <w:sz w:val="18"/>
              </w:rPr>
              <w:t>5</w:t>
            </w:r>
          </w:p>
        </w:tc>
        <w:tc>
          <w:tcPr>
            <w:tcW w:type="dxa" w:w="3312"/>
          </w:tcPr>
          <w:p>
            <w:r/>
            <w:r>
              <w:rPr>
                <w:rFonts w:ascii="Calibri" w:hAnsi="Calibri"/>
                <w:color w:val="333333"/>
                <w:sz w:val="18"/>
              </w:rPr>
              <w:t>finiq_customer_map</w:t>
            </w:r>
          </w:p>
        </w:tc>
        <w:tc>
          <w:tcPr>
            <w:tcW w:type="dxa" w:w="864"/>
          </w:tcPr>
          <w:p>
            <w:r/>
            <w:r>
              <w:rPr>
                <w:rFonts w:ascii="Calibri" w:hAnsi="Calibri"/>
                <w:color w:val="333333"/>
                <w:sz w:val="18"/>
              </w:rPr>
              <w:t>TABLE</w:t>
            </w:r>
          </w:p>
        </w:tc>
        <w:tc>
          <w:tcPr>
            <w:tcW w:type="dxa" w:w="720"/>
          </w:tcPr>
          <w:p>
            <w:r/>
            <w:r>
              <w:rPr>
                <w:rFonts w:ascii="Calibri" w:hAnsi="Calibri"/>
                <w:color w:val="333333"/>
                <w:sz w:val="18"/>
              </w:rPr>
              <w:t>5</w:t>
            </w:r>
          </w:p>
        </w:tc>
        <w:tc>
          <w:tcPr>
            <w:tcW w:type="dxa" w:w="4032"/>
          </w:tcPr>
          <w:p>
            <w:r/>
            <w:r>
              <w:rPr>
                <w:rFonts w:ascii="Calibri" w:hAnsi="Calibri"/>
                <w:color w:val="333333"/>
                <w:sz w:val="18"/>
              </w:rPr>
              <w:t>Dimension — Customer Hierarchy</w:t>
            </w:r>
          </w:p>
        </w:tc>
      </w:tr>
      <w:tr>
        <w:tc>
          <w:tcPr>
            <w:tcW w:type="dxa" w:w="432"/>
            <w:shd w:fill="F2F6FC"/>
          </w:tcPr>
          <w:p>
            <w:r/>
            <w:r>
              <w:rPr>
                <w:rFonts w:ascii="Calibri" w:hAnsi="Calibri"/>
                <w:color w:val="333333"/>
                <w:sz w:val="18"/>
              </w:rPr>
              <w:t>6</w:t>
            </w:r>
          </w:p>
        </w:tc>
        <w:tc>
          <w:tcPr>
            <w:tcW w:type="dxa" w:w="3312"/>
            <w:shd w:fill="F2F6FC"/>
          </w:tcPr>
          <w:p>
            <w:r/>
            <w:r>
              <w:rPr>
                <w:rFonts w:ascii="Calibri" w:hAnsi="Calibri"/>
                <w:color w:val="333333"/>
                <w:sz w:val="18"/>
              </w:rPr>
              <w:t>finiq_date</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4</w:t>
            </w:r>
          </w:p>
        </w:tc>
        <w:tc>
          <w:tcPr>
            <w:tcW w:type="dxa" w:w="4032"/>
            <w:shd w:fill="F2F6FC"/>
          </w:tcPr>
          <w:p>
            <w:r/>
            <w:r>
              <w:rPr>
                <w:rFonts w:ascii="Calibri" w:hAnsi="Calibri"/>
                <w:color w:val="333333"/>
                <w:sz w:val="18"/>
              </w:rPr>
              <w:t>Dimension — Time</w:t>
            </w:r>
          </w:p>
        </w:tc>
      </w:tr>
      <w:tr>
        <w:tc>
          <w:tcPr>
            <w:tcW w:type="dxa" w:w="432"/>
          </w:tcPr>
          <w:p>
            <w:r/>
            <w:r>
              <w:rPr>
                <w:rFonts w:ascii="Calibri" w:hAnsi="Calibri"/>
                <w:color w:val="333333"/>
                <w:sz w:val="18"/>
              </w:rPr>
              <w:t>7</w:t>
            </w:r>
          </w:p>
        </w:tc>
        <w:tc>
          <w:tcPr>
            <w:tcW w:type="dxa" w:w="3312"/>
          </w:tcPr>
          <w:p>
            <w:r/>
            <w:r>
              <w:rPr>
                <w:rFonts w:ascii="Calibri" w:hAnsi="Calibri"/>
                <w:color w:val="333333"/>
                <w:sz w:val="18"/>
              </w:rPr>
              <w:t>finiq_dim_account</w:t>
            </w:r>
          </w:p>
        </w:tc>
        <w:tc>
          <w:tcPr>
            <w:tcW w:type="dxa" w:w="864"/>
          </w:tcPr>
          <w:p>
            <w:r/>
            <w:r>
              <w:rPr>
                <w:rFonts w:ascii="Calibri" w:hAnsi="Calibri"/>
                <w:color w:val="333333"/>
                <w:sz w:val="18"/>
              </w:rPr>
              <w:t>TABLE</w:t>
            </w:r>
          </w:p>
        </w:tc>
        <w:tc>
          <w:tcPr>
            <w:tcW w:type="dxa" w:w="720"/>
          </w:tcPr>
          <w:p>
            <w:r/>
            <w:r>
              <w:rPr>
                <w:rFonts w:ascii="Calibri" w:hAnsi="Calibri"/>
                <w:color w:val="333333"/>
                <w:sz w:val="18"/>
              </w:rPr>
              <w:t>6</w:t>
            </w:r>
          </w:p>
        </w:tc>
        <w:tc>
          <w:tcPr>
            <w:tcW w:type="dxa" w:w="4032"/>
          </w:tcPr>
          <w:p>
            <w:r/>
            <w:r>
              <w:rPr>
                <w:rFonts w:ascii="Calibri" w:hAnsi="Calibri"/>
                <w:color w:val="333333"/>
                <w:sz w:val="18"/>
              </w:rPr>
              <w:t>Dimension — Account Hierarchy</w:t>
            </w:r>
          </w:p>
        </w:tc>
      </w:tr>
      <w:tr>
        <w:tc>
          <w:tcPr>
            <w:tcW w:type="dxa" w:w="432"/>
            <w:shd w:fill="F2F6FC"/>
          </w:tcPr>
          <w:p>
            <w:r/>
            <w:r>
              <w:rPr>
                <w:rFonts w:ascii="Calibri" w:hAnsi="Calibri"/>
                <w:color w:val="333333"/>
                <w:sz w:val="18"/>
              </w:rPr>
              <w:t>8</w:t>
            </w:r>
          </w:p>
        </w:tc>
        <w:tc>
          <w:tcPr>
            <w:tcW w:type="dxa" w:w="3312"/>
            <w:shd w:fill="F2F6FC"/>
          </w:tcPr>
          <w:p>
            <w:r/>
            <w:r>
              <w:rPr>
                <w:rFonts w:ascii="Calibri" w:hAnsi="Calibri"/>
                <w:color w:val="333333"/>
                <w:sz w:val="18"/>
              </w:rPr>
              <w:t>finiq_dim_entity</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5</w:t>
            </w:r>
          </w:p>
        </w:tc>
        <w:tc>
          <w:tcPr>
            <w:tcW w:type="dxa" w:w="4032"/>
            <w:shd w:fill="F2F6FC"/>
          </w:tcPr>
          <w:p>
            <w:r/>
            <w:r>
              <w:rPr>
                <w:rFonts w:ascii="Calibri" w:hAnsi="Calibri"/>
                <w:color w:val="333333"/>
                <w:sz w:val="18"/>
              </w:rPr>
              <w:t>Dimension — Org Hierarchy</w:t>
            </w:r>
          </w:p>
        </w:tc>
      </w:tr>
      <w:tr>
        <w:tc>
          <w:tcPr>
            <w:tcW w:type="dxa" w:w="432"/>
          </w:tcPr>
          <w:p>
            <w:r/>
            <w:r>
              <w:rPr>
                <w:rFonts w:ascii="Calibri" w:hAnsi="Calibri"/>
                <w:color w:val="333333"/>
                <w:sz w:val="18"/>
              </w:rPr>
              <w:t>9</w:t>
            </w:r>
          </w:p>
        </w:tc>
        <w:tc>
          <w:tcPr>
            <w:tcW w:type="dxa" w:w="3312"/>
          </w:tcPr>
          <w:p>
            <w:r/>
            <w:r>
              <w:rPr>
                <w:rFonts w:ascii="Calibri" w:hAnsi="Calibri"/>
                <w:color w:val="333333"/>
                <w:sz w:val="18"/>
              </w:rPr>
              <w:t>finiq_economic_cell</w:t>
            </w:r>
          </w:p>
        </w:tc>
        <w:tc>
          <w:tcPr>
            <w:tcW w:type="dxa" w:w="864"/>
          </w:tcPr>
          <w:p>
            <w:r/>
            <w:r>
              <w:rPr>
                <w:rFonts w:ascii="Calibri" w:hAnsi="Calibri"/>
                <w:color w:val="333333"/>
                <w:sz w:val="18"/>
              </w:rPr>
              <w:t>TABLE</w:t>
            </w:r>
          </w:p>
        </w:tc>
        <w:tc>
          <w:tcPr>
            <w:tcW w:type="dxa" w:w="720"/>
          </w:tcPr>
          <w:p>
            <w:r/>
            <w:r>
              <w:rPr>
                <w:rFonts w:ascii="Calibri" w:hAnsi="Calibri"/>
                <w:color w:val="333333"/>
                <w:sz w:val="18"/>
              </w:rPr>
              <w:t>3</w:t>
            </w:r>
          </w:p>
        </w:tc>
        <w:tc>
          <w:tcPr>
            <w:tcW w:type="dxa" w:w="4032"/>
          </w:tcPr>
          <w:p>
            <w:r/>
            <w:r>
              <w:rPr>
                <w:rFonts w:ascii="Calibri" w:hAnsi="Calibri"/>
                <w:color w:val="333333"/>
                <w:sz w:val="18"/>
              </w:rPr>
              <w:t>Dimension — Economic Cell</w:t>
            </w:r>
          </w:p>
        </w:tc>
      </w:tr>
      <w:tr>
        <w:tc>
          <w:tcPr>
            <w:tcW w:type="dxa" w:w="432"/>
            <w:shd w:fill="F2F6FC"/>
          </w:tcPr>
          <w:p>
            <w:r/>
            <w:r>
              <w:rPr>
                <w:rFonts w:ascii="Calibri" w:hAnsi="Calibri"/>
                <w:color w:val="333333"/>
                <w:sz w:val="18"/>
              </w:rPr>
              <w:t>10</w:t>
            </w:r>
          </w:p>
        </w:tc>
        <w:tc>
          <w:tcPr>
            <w:tcW w:type="dxa" w:w="3312"/>
            <w:shd w:fill="F2F6FC"/>
          </w:tcPr>
          <w:p>
            <w:r/>
            <w:r>
              <w:rPr>
                <w:rFonts w:ascii="Calibri" w:hAnsi="Calibri"/>
                <w:color w:val="333333"/>
                <w:sz w:val="18"/>
              </w:rPr>
              <w:t>finiq_financial</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39</w:t>
            </w:r>
          </w:p>
        </w:tc>
        <w:tc>
          <w:tcPr>
            <w:tcW w:type="dxa" w:w="4032"/>
            <w:shd w:fill="F2F6FC"/>
          </w:tcPr>
          <w:p>
            <w:r/>
            <w:r>
              <w:rPr>
                <w:rFonts w:ascii="Calibri" w:hAnsi="Calibri"/>
                <w:color w:val="333333"/>
                <w:sz w:val="18"/>
              </w:rPr>
              <w:t>Fact — Denormalized (Wide)</w:t>
            </w:r>
          </w:p>
        </w:tc>
      </w:tr>
      <w:tr>
        <w:tc>
          <w:tcPr>
            <w:tcW w:type="dxa" w:w="432"/>
          </w:tcPr>
          <w:p>
            <w:r/>
            <w:r>
              <w:rPr>
                <w:rFonts w:ascii="Calibri" w:hAnsi="Calibri"/>
                <w:color w:val="333333"/>
                <w:sz w:val="18"/>
              </w:rPr>
              <w:t>11</w:t>
            </w:r>
          </w:p>
        </w:tc>
        <w:tc>
          <w:tcPr>
            <w:tcW w:type="dxa" w:w="3312"/>
          </w:tcPr>
          <w:p>
            <w:r/>
            <w:r>
              <w:rPr>
                <w:rFonts w:ascii="Calibri" w:hAnsi="Calibri"/>
                <w:color w:val="333333"/>
                <w:sz w:val="18"/>
              </w:rPr>
              <w:t>finiq_financial_base</w:t>
            </w:r>
          </w:p>
        </w:tc>
        <w:tc>
          <w:tcPr>
            <w:tcW w:type="dxa" w:w="864"/>
          </w:tcPr>
          <w:p>
            <w:r/>
            <w:r>
              <w:rPr>
                <w:rFonts w:ascii="Calibri" w:hAnsi="Calibri"/>
                <w:color w:val="333333"/>
                <w:sz w:val="18"/>
              </w:rPr>
              <w:t>TABLE</w:t>
            </w:r>
          </w:p>
        </w:tc>
        <w:tc>
          <w:tcPr>
            <w:tcW w:type="dxa" w:w="720"/>
          </w:tcPr>
          <w:p>
            <w:r/>
            <w:r>
              <w:rPr>
                <w:rFonts w:ascii="Calibri" w:hAnsi="Calibri"/>
                <w:color w:val="333333"/>
                <w:sz w:val="18"/>
              </w:rPr>
              <w:t>7</w:t>
            </w:r>
          </w:p>
        </w:tc>
        <w:tc>
          <w:tcPr>
            <w:tcW w:type="dxa" w:w="4032"/>
          </w:tcPr>
          <w:p>
            <w:r/>
            <w:r>
              <w:rPr>
                <w:rFonts w:ascii="Calibri" w:hAnsi="Calibri"/>
                <w:color w:val="333333"/>
                <w:sz w:val="18"/>
              </w:rPr>
              <w:t>Fact — Normalized (Base)</w:t>
            </w:r>
          </w:p>
        </w:tc>
      </w:tr>
      <w:tr>
        <w:tc>
          <w:tcPr>
            <w:tcW w:type="dxa" w:w="432"/>
            <w:shd w:fill="F2F6FC"/>
          </w:tcPr>
          <w:p>
            <w:r/>
            <w:r>
              <w:rPr>
                <w:rFonts w:ascii="Calibri" w:hAnsi="Calibri"/>
                <w:color w:val="333333"/>
                <w:sz w:val="18"/>
              </w:rPr>
              <w:t>12</w:t>
            </w:r>
          </w:p>
        </w:tc>
        <w:tc>
          <w:tcPr>
            <w:tcW w:type="dxa" w:w="3312"/>
            <w:shd w:fill="F2F6FC"/>
          </w:tcPr>
          <w:p>
            <w:r/>
            <w:r>
              <w:rPr>
                <w:rFonts w:ascii="Calibri" w:hAnsi="Calibri"/>
                <w:color w:val="333333"/>
                <w:sz w:val="18"/>
              </w:rPr>
              <w:t>finiq_financial_cons</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9</w:t>
            </w:r>
          </w:p>
        </w:tc>
        <w:tc>
          <w:tcPr>
            <w:tcW w:type="dxa" w:w="4032"/>
            <w:shd w:fill="F2F6FC"/>
          </w:tcPr>
          <w:p>
            <w:r/>
            <w:r>
              <w:rPr>
                <w:rFonts w:ascii="Calibri" w:hAnsi="Calibri"/>
                <w:color w:val="333333"/>
                <w:sz w:val="18"/>
              </w:rPr>
              <w:t>Fact — Consolidated</w:t>
            </w:r>
          </w:p>
        </w:tc>
      </w:tr>
      <w:tr>
        <w:tc>
          <w:tcPr>
            <w:tcW w:type="dxa" w:w="432"/>
          </w:tcPr>
          <w:p>
            <w:r/>
            <w:r>
              <w:rPr>
                <w:rFonts w:ascii="Calibri" w:hAnsi="Calibri"/>
                <w:color w:val="333333"/>
                <w:sz w:val="18"/>
              </w:rPr>
              <w:t>13</w:t>
            </w:r>
          </w:p>
        </w:tc>
        <w:tc>
          <w:tcPr>
            <w:tcW w:type="dxa" w:w="3312"/>
          </w:tcPr>
          <w:p>
            <w:r/>
            <w:r>
              <w:rPr>
                <w:rFonts w:ascii="Calibri" w:hAnsi="Calibri"/>
                <w:color w:val="333333"/>
                <w:sz w:val="18"/>
              </w:rPr>
              <w:t>finiq_financial_replan</w:t>
            </w:r>
          </w:p>
        </w:tc>
        <w:tc>
          <w:tcPr>
            <w:tcW w:type="dxa" w:w="864"/>
          </w:tcPr>
          <w:p>
            <w:r/>
            <w:r>
              <w:rPr>
                <w:rFonts w:ascii="Calibri" w:hAnsi="Calibri"/>
                <w:color w:val="333333"/>
                <w:sz w:val="18"/>
              </w:rPr>
              <w:t>TABLE</w:t>
            </w:r>
          </w:p>
        </w:tc>
        <w:tc>
          <w:tcPr>
            <w:tcW w:type="dxa" w:w="720"/>
          </w:tcPr>
          <w:p>
            <w:r/>
            <w:r>
              <w:rPr>
                <w:rFonts w:ascii="Calibri" w:hAnsi="Calibri"/>
                <w:color w:val="333333"/>
                <w:sz w:val="18"/>
              </w:rPr>
              <w:t>18</w:t>
            </w:r>
          </w:p>
        </w:tc>
        <w:tc>
          <w:tcPr>
            <w:tcW w:type="dxa" w:w="4032"/>
          </w:tcPr>
          <w:p>
            <w:r/>
            <w:r>
              <w:rPr>
                <w:rFonts w:ascii="Calibri" w:hAnsi="Calibri"/>
                <w:color w:val="333333"/>
                <w:sz w:val="18"/>
              </w:rPr>
              <w:t>Fact — Actual vs. Replan</w:t>
            </w:r>
          </w:p>
        </w:tc>
      </w:tr>
      <w:tr>
        <w:tc>
          <w:tcPr>
            <w:tcW w:type="dxa" w:w="432"/>
            <w:shd w:fill="F2F6FC"/>
          </w:tcPr>
          <w:p>
            <w:r/>
            <w:r>
              <w:rPr>
                <w:rFonts w:ascii="Calibri" w:hAnsi="Calibri"/>
                <w:color w:val="333333"/>
                <w:sz w:val="18"/>
              </w:rPr>
              <w:t>14</w:t>
            </w:r>
          </w:p>
        </w:tc>
        <w:tc>
          <w:tcPr>
            <w:tcW w:type="dxa" w:w="3312"/>
            <w:shd w:fill="F2F6FC"/>
          </w:tcPr>
          <w:p>
            <w:r/>
            <w:r>
              <w:rPr>
                <w:rFonts w:ascii="Calibri" w:hAnsi="Calibri"/>
                <w:color w:val="333333"/>
                <w:sz w:val="18"/>
              </w:rPr>
              <w:t>finiq_financial_replan_cons</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6</w:t>
            </w:r>
          </w:p>
        </w:tc>
        <w:tc>
          <w:tcPr>
            <w:tcW w:type="dxa" w:w="4032"/>
            <w:shd w:fill="F2F6FC"/>
          </w:tcPr>
          <w:p>
            <w:r/>
            <w:r>
              <w:rPr>
                <w:rFonts w:ascii="Calibri" w:hAnsi="Calibri"/>
                <w:color w:val="333333"/>
                <w:sz w:val="18"/>
              </w:rPr>
              <w:t>Fact — Consolidated Replan</w:t>
            </w:r>
          </w:p>
        </w:tc>
      </w:tr>
      <w:tr>
        <w:tc>
          <w:tcPr>
            <w:tcW w:type="dxa" w:w="432"/>
          </w:tcPr>
          <w:p>
            <w:r/>
            <w:r>
              <w:rPr>
                <w:rFonts w:ascii="Calibri" w:hAnsi="Calibri"/>
                <w:color w:val="333333"/>
                <w:sz w:val="18"/>
              </w:rPr>
              <w:t>15</w:t>
            </w:r>
          </w:p>
        </w:tc>
        <w:tc>
          <w:tcPr>
            <w:tcW w:type="dxa" w:w="3312"/>
          </w:tcPr>
          <w:p>
            <w:r/>
            <w:r>
              <w:rPr>
                <w:rFonts w:ascii="Calibri" w:hAnsi="Calibri"/>
                <w:color w:val="333333"/>
                <w:sz w:val="18"/>
              </w:rPr>
              <w:t>finiq_item</w:t>
            </w:r>
          </w:p>
        </w:tc>
        <w:tc>
          <w:tcPr>
            <w:tcW w:type="dxa" w:w="864"/>
          </w:tcPr>
          <w:p>
            <w:r/>
            <w:r>
              <w:rPr>
                <w:rFonts w:ascii="Calibri" w:hAnsi="Calibri"/>
                <w:color w:val="333333"/>
                <w:sz w:val="18"/>
              </w:rPr>
              <w:t>TABLE</w:t>
            </w:r>
          </w:p>
        </w:tc>
        <w:tc>
          <w:tcPr>
            <w:tcW w:type="dxa" w:w="720"/>
          </w:tcPr>
          <w:p>
            <w:r/>
            <w:r>
              <w:rPr>
                <w:rFonts w:ascii="Calibri" w:hAnsi="Calibri"/>
                <w:color w:val="333333"/>
                <w:sz w:val="18"/>
              </w:rPr>
              <w:t>15</w:t>
            </w:r>
          </w:p>
        </w:tc>
        <w:tc>
          <w:tcPr>
            <w:tcW w:type="dxa" w:w="4032"/>
          </w:tcPr>
          <w:p>
            <w:r/>
            <w:r>
              <w:rPr>
                <w:rFonts w:ascii="Calibri" w:hAnsi="Calibri"/>
                <w:color w:val="333333"/>
                <w:sz w:val="18"/>
              </w:rPr>
              <w:t>Dimension — Product (Granular)</w:t>
            </w:r>
          </w:p>
        </w:tc>
      </w:tr>
      <w:tr>
        <w:tc>
          <w:tcPr>
            <w:tcW w:type="dxa" w:w="432"/>
            <w:shd w:fill="F2F6FC"/>
          </w:tcPr>
          <w:p>
            <w:r/>
            <w:r>
              <w:rPr>
                <w:rFonts w:ascii="Calibri" w:hAnsi="Calibri"/>
                <w:color w:val="333333"/>
                <w:sz w:val="18"/>
              </w:rPr>
              <w:t>16</w:t>
            </w:r>
          </w:p>
        </w:tc>
        <w:tc>
          <w:tcPr>
            <w:tcW w:type="dxa" w:w="3312"/>
            <w:shd w:fill="F2F6FC"/>
          </w:tcPr>
          <w:p>
            <w:r/>
            <w:r>
              <w:rPr>
                <w:rFonts w:ascii="Calibri" w:hAnsi="Calibri"/>
                <w:color w:val="333333"/>
                <w:sz w:val="18"/>
              </w:rPr>
              <w:t>finiq_item_composite_item</w:t>
            </w:r>
          </w:p>
        </w:tc>
        <w:tc>
          <w:tcPr>
            <w:tcW w:type="dxa" w:w="864"/>
            <w:shd w:fill="F2F6FC"/>
          </w:tcPr>
          <w:p>
            <w:r/>
            <w:r>
              <w:rPr>
                <w:rFonts w:ascii="Calibri" w:hAnsi="Calibri"/>
                <w:color w:val="333333"/>
                <w:sz w:val="18"/>
              </w:rPr>
              <w:t>TABLE</w:t>
            </w:r>
          </w:p>
        </w:tc>
        <w:tc>
          <w:tcPr>
            <w:tcW w:type="dxa" w:w="720"/>
            <w:shd w:fill="F2F6FC"/>
          </w:tcPr>
          <w:p>
            <w:r/>
            <w:r>
              <w:rPr>
                <w:rFonts w:ascii="Calibri" w:hAnsi="Calibri"/>
                <w:color w:val="333333"/>
                <w:sz w:val="18"/>
              </w:rPr>
              <w:t>3</w:t>
            </w:r>
          </w:p>
        </w:tc>
        <w:tc>
          <w:tcPr>
            <w:tcW w:type="dxa" w:w="4032"/>
            <w:shd w:fill="F2F6FC"/>
          </w:tcPr>
          <w:p>
            <w:r/>
            <w:r>
              <w:rPr>
                <w:rFonts w:ascii="Calibri" w:hAnsi="Calibri"/>
                <w:color w:val="333333"/>
                <w:sz w:val="18"/>
              </w:rPr>
              <w:t>Dimension — Item Mapping</w:t>
            </w:r>
          </w:p>
        </w:tc>
      </w:tr>
      <w:tr>
        <w:tc>
          <w:tcPr>
            <w:tcW w:type="dxa" w:w="432"/>
          </w:tcPr>
          <w:p>
            <w:r/>
            <w:r>
              <w:rPr>
                <w:rFonts w:ascii="Calibri" w:hAnsi="Calibri"/>
                <w:color w:val="333333"/>
                <w:sz w:val="18"/>
              </w:rPr>
              <w:t>17</w:t>
            </w:r>
          </w:p>
        </w:tc>
        <w:tc>
          <w:tcPr>
            <w:tcW w:type="dxa" w:w="3312"/>
          </w:tcPr>
          <w:p>
            <w:r/>
            <w:r>
              <w:rPr>
                <w:rFonts w:ascii="Calibri" w:hAnsi="Calibri"/>
                <w:color w:val="333333"/>
                <w:sz w:val="18"/>
              </w:rPr>
              <w:t>finiq_rls_last_change</w:t>
            </w:r>
          </w:p>
        </w:tc>
        <w:tc>
          <w:tcPr>
            <w:tcW w:type="dxa" w:w="864"/>
          </w:tcPr>
          <w:p>
            <w:r/>
            <w:r>
              <w:rPr>
                <w:rFonts w:ascii="Calibri" w:hAnsi="Calibri"/>
                <w:color w:val="333333"/>
                <w:sz w:val="18"/>
              </w:rPr>
              <w:t>TABLE</w:t>
            </w:r>
          </w:p>
        </w:tc>
        <w:tc>
          <w:tcPr>
            <w:tcW w:type="dxa" w:w="720"/>
          </w:tcPr>
          <w:p>
            <w:r/>
            <w:r>
              <w:rPr>
                <w:rFonts w:ascii="Calibri" w:hAnsi="Calibri"/>
                <w:color w:val="333333"/>
                <w:sz w:val="18"/>
              </w:rPr>
              <w:t>2</w:t>
            </w:r>
          </w:p>
        </w:tc>
        <w:tc>
          <w:tcPr>
            <w:tcW w:type="dxa" w:w="4032"/>
          </w:tcPr>
          <w:p>
            <w:r/>
            <w:r>
              <w:rPr>
                <w:rFonts w:ascii="Calibri" w:hAnsi="Calibri"/>
                <w:color w:val="333333"/>
                <w:sz w:val="18"/>
              </w:rPr>
              <w:t>System — Row-Level Security</w:t>
            </w:r>
          </w:p>
        </w:tc>
      </w:tr>
      <w:tr>
        <w:tc>
          <w:tcPr>
            <w:tcW w:type="dxa" w:w="432"/>
            <w:shd w:fill="F2F6FC"/>
          </w:tcPr>
          <w:p>
            <w:r/>
            <w:r>
              <w:rPr>
                <w:rFonts w:ascii="Calibri" w:hAnsi="Calibri"/>
                <w:color w:val="333333"/>
                <w:sz w:val="18"/>
              </w:rPr>
              <w:t>18</w:t>
            </w:r>
          </w:p>
        </w:tc>
        <w:tc>
          <w:tcPr>
            <w:tcW w:type="dxa" w:w="3312"/>
            <w:shd w:fill="F2F6FC"/>
          </w:tcPr>
          <w:p>
            <w:r/>
            <w:r>
              <w:rPr>
                <w:rFonts w:ascii="Calibri" w:hAnsi="Calibri"/>
                <w:color w:val="333333"/>
                <w:sz w:val="18"/>
              </w:rPr>
              <w:t>finiq_vw_ncfo_entity</w:t>
            </w:r>
          </w:p>
        </w:tc>
        <w:tc>
          <w:tcPr>
            <w:tcW w:type="dxa" w:w="864"/>
            <w:shd w:fill="F2F6FC"/>
          </w:tcPr>
          <w:p>
            <w:r/>
            <w:r>
              <w:rPr>
                <w:rFonts w:ascii="Calibri" w:hAnsi="Calibri"/>
                <w:color w:val="333333"/>
                <w:sz w:val="18"/>
              </w:rPr>
              <w:t>VIEW</w:t>
            </w:r>
          </w:p>
        </w:tc>
        <w:tc>
          <w:tcPr>
            <w:tcW w:type="dxa" w:w="720"/>
            <w:shd w:fill="F2F6FC"/>
          </w:tcPr>
          <w:p>
            <w:r/>
            <w:r>
              <w:rPr>
                <w:rFonts w:ascii="Calibri" w:hAnsi="Calibri"/>
                <w:color w:val="333333"/>
                <w:sz w:val="18"/>
              </w:rPr>
              <w:t>7</w:t>
            </w:r>
          </w:p>
        </w:tc>
        <w:tc>
          <w:tcPr>
            <w:tcW w:type="dxa" w:w="4032"/>
            <w:shd w:fill="F2F6FC"/>
          </w:tcPr>
          <w:p>
            <w:r/>
            <w:r>
              <w:rPr>
                <w:rFonts w:ascii="Calibri" w:hAnsi="Calibri"/>
                <w:color w:val="333333"/>
                <w:sz w:val="18"/>
              </w:rPr>
              <w:t>View — NCFO by Entity</w:t>
            </w:r>
          </w:p>
        </w:tc>
      </w:tr>
      <w:tr>
        <w:tc>
          <w:tcPr>
            <w:tcW w:type="dxa" w:w="432"/>
          </w:tcPr>
          <w:p>
            <w:r/>
            <w:r>
              <w:rPr>
                <w:rFonts w:ascii="Calibri" w:hAnsi="Calibri"/>
                <w:color w:val="333333"/>
                <w:sz w:val="18"/>
              </w:rPr>
              <w:t>19</w:t>
            </w:r>
          </w:p>
        </w:tc>
        <w:tc>
          <w:tcPr>
            <w:tcW w:type="dxa" w:w="3312"/>
          </w:tcPr>
          <w:p>
            <w:r/>
            <w:r>
              <w:rPr>
                <w:rFonts w:ascii="Calibri" w:hAnsi="Calibri"/>
                <w:color w:val="333333"/>
                <w:sz w:val="18"/>
              </w:rPr>
              <w:t>finiq_vw_pl_brand_product</w:t>
            </w:r>
          </w:p>
        </w:tc>
        <w:tc>
          <w:tcPr>
            <w:tcW w:type="dxa" w:w="864"/>
          </w:tcPr>
          <w:p>
            <w:r/>
            <w:r>
              <w:rPr>
                <w:rFonts w:ascii="Calibri" w:hAnsi="Calibri"/>
                <w:color w:val="333333"/>
                <w:sz w:val="18"/>
              </w:rPr>
              <w:t>VIEW</w:t>
            </w:r>
          </w:p>
        </w:tc>
        <w:tc>
          <w:tcPr>
            <w:tcW w:type="dxa" w:w="720"/>
          </w:tcPr>
          <w:p>
            <w:r/>
            <w:r>
              <w:rPr>
                <w:rFonts w:ascii="Calibri" w:hAnsi="Calibri"/>
                <w:color w:val="333333"/>
                <w:sz w:val="18"/>
              </w:rPr>
              <w:t>8</w:t>
            </w:r>
          </w:p>
        </w:tc>
        <w:tc>
          <w:tcPr>
            <w:tcW w:type="dxa" w:w="4032"/>
          </w:tcPr>
          <w:p>
            <w:r/>
            <w:r>
              <w:rPr>
                <w:rFonts w:ascii="Calibri" w:hAnsi="Calibri"/>
                <w:color w:val="333333"/>
                <w:sz w:val="18"/>
              </w:rPr>
              <w:t>View — P&amp;L by Brand/Product</w:t>
            </w:r>
          </w:p>
        </w:tc>
      </w:tr>
      <w:tr>
        <w:tc>
          <w:tcPr>
            <w:tcW w:type="dxa" w:w="432"/>
            <w:shd w:fill="F2F6FC"/>
          </w:tcPr>
          <w:p>
            <w:r/>
            <w:r>
              <w:rPr>
                <w:rFonts w:ascii="Calibri" w:hAnsi="Calibri"/>
                <w:color w:val="333333"/>
                <w:sz w:val="18"/>
              </w:rPr>
              <w:t>20</w:t>
            </w:r>
          </w:p>
        </w:tc>
        <w:tc>
          <w:tcPr>
            <w:tcW w:type="dxa" w:w="3312"/>
            <w:shd w:fill="F2F6FC"/>
          </w:tcPr>
          <w:p>
            <w:r/>
            <w:r>
              <w:rPr>
                <w:rFonts w:ascii="Calibri" w:hAnsi="Calibri"/>
                <w:color w:val="333333"/>
                <w:sz w:val="18"/>
              </w:rPr>
              <w:t>finiq_vw_pl_entity</w:t>
            </w:r>
          </w:p>
        </w:tc>
        <w:tc>
          <w:tcPr>
            <w:tcW w:type="dxa" w:w="864"/>
            <w:shd w:fill="F2F6FC"/>
          </w:tcPr>
          <w:p>
            <w:r/>
            <w:r>
              <w:rPr>
                <w:rFonts w:ascii="Calibri" w:hAnsi="Calibri"/>
                <w:color w:val="333333"/>
                <w:sz w:val="18"/>
              </w:rPr>
              <w:t>VIEW</w:t>
            </w:r>
          </w:p>
        </w:tc>
        <w:tc>
          <w:tcPr>
            <w:tcW w:type="dxa" w:w="720"/>
            <w:shd w:fill="F2F6FC"/>
          </w:tcPr>
          <w:p>
            <w:r/>
            <w:r>
              <w:rPr>
                <w:rFonts w:ascii="Calibri" w:hAnsi="Calibri"/>
                <w:color w:val="333333"/>
                <w:sz w:val="18"/>
              </w:rPr>
              <w:t>7</w:t>
            </w:r>
          </w:p>
        </w:tc>
        <w:tc>
          <w:tcPr>
            <w:tcW w:type="dxa" w:w="4032"/>
            <w:shd w:fill="F2F6FC"/>
          </w:tcPr>
          <w:p>
            <w:r/>
            <w:r>
              <w:rPr>
                <w:rFonts w:ascii="Calibri" w:hAnsi="Calibri"/>
                <w:color w:val="333333"/>
                <w:sz w:val="18"/>
              </w:rPr>
              <w:t>View — P&amp;L by Entity</w:t>
            </w:r>
          </w:p>
        </w:tc>
      </w:tr>
    </w:tbl>
    <w:p/>
    <w:p>
      <w:pPr>
        <w:pStyle w:val="Heading2"/>
      </w:pPr>
      <w:r>
        <w:t>2.3 Key Findings</w:t>
      </w:r>
    </w:p>
    <w:p>
      <w:pPr>
        <w:pStyle w:val="ListBullet"/>
        <w:spacing w:after="40"/>
      </w:pPr>
      <w:r>
        <w:t>Three precomputed views (vw_pl_entity, vw_pl_brand_product, vw_ncfo_entity) directly correspond to 3 of the 4 PES Excel input sheets (P&amp;L, Product/Brand, NCFO). FinIQ can query these views instead of processing Excel files, eliminating the preprocessing pipeline.</w:t>
      </w:r>
    </w:p>
    <w:p>
      <w:pPr>
        <w:pStyle w:val="ListBullet"/>
        <w:spacing w:after="40"/>
      </w:pPr>
      <w:r>
        <w:t>The finiq_financial_replan table contains Actual vs. Replan (budget) values side-by-side (Actual_USD_Value, Actual_Local_Value, Replan_USD_Value, Replan_Local_Value), enabling variance analysis that the current PES system does not support.</w:t>
      </w:r>
    </w:p>
    <w:p>
      <w:pPr>
        <w:pStyle w:val="ListBullet"/>
        <w:spacing w:after="40"/>
      </w:pPr>
      <w:r>
        <w:t>The finiq_financial table (39 columns) is a fully denormalized wide fact table containing all dimension attributes inlined, suitable for direct analytical queries without joins.</w:t>
      </w:r>
    </w:p>
    <w:p>
      <w:pPr>
        <w:pStyle w:val="ListBullet"/>
        <w:spacing w:after="40"/>
      </w:pPr>
      <w:r>
        <w:t>The finiq_account_formula table provides programmatic access to KPI calculation logic (Account, Formula, Components array), enabling dynamic KPI configuration without hardcoding.</w:t>
      </w:r>
    </w:p>
    <w:p>
      <w:pPr>
        <w:pStyle w:val="ListBullet"/>
        <w:spacing w:after="40"/>
      </w:pPr>
      <w:r>
        <w:t>The finiq_dim_entity table encodes the full Mars organizational hierarchy (150+ units) with Parent/Child entity IDs and Entity_Level, directly mapping to the hierarchy the base SRS describes.</w:t>
      </w:r>
    </w:p>
    <w:p>
      <w:pPr>
        <w:pStyle w:val="ListBullet"/>
        <w:spacing w:after="40"/>
      </w:pPr>
      <w:r>
        <w:t>Multi-currency support is native: finiq_financial_cons includes both USD_Value and Local_Value with a Currency_ID column.</w:t>
      </w:r>
    </w:p>
    <w:p>
      <w:pPr>
        <w:pStyle w:val="ListBullet"/>
        <w:spacing w:after="40"/>
      </w:pPr>
      <w:r>
        <w:t>Row-level security tracking (finiq_rls_last_change) is already present in the schema, aligning with the base SRS's RBAC requirements.</w:t>
      </w:r>
    </w:p>
    <w:p>
      <w:r>
        <w:br w:type="page"/>
      </w:r>
    </w:p>
    <w:p>
      <w:pPr>
        <w:pStyle w:val="Heading1"/>
      </w:pPr>
      <w:r>
        <w:t>3. Amended and Extended Requirements</w:t>
      </w:r>
    </w:p>
    <w:p>
      <w:pPr>
        <w:pStyle w:val="Heading2"/>
      </w:pPr>
      <w:r>
        <w:t>3.1 Amendments to Section 1: Introduction</w:t>
      </w:r>
    </w:p>
    <w:p>
      <w:pPr>
        <w:pStyle w:val="Heading3"/>
      </w:pPr>
      <w:r>
        <w:t>3.1.1 Section 1.2.2 Out of Scope [AMENDED]</w:t>
      </w:r>
    </w:p>
    <w:p>
      <w:pPr>
        <w:spacing w:after="80"/>
      </w:pPr>
      <w:r>
        <w:rPr>
          <w:i/>
        </w:rPr>
        <w:t>The following item in the base SRS Section 1.2.2 is amended:</w:t>
      </w:r>
    </w:p>
    <w:p>
      <w:pPr>
        <w:spacing w:after="120"/>
      </w:pPr>
      <w:r>
        <w:t>Base text: 'Direct SAP/ERP integration (data provided via preprocessed Excel exports)'</w:t>
        <w:br/>
        <w:br/>
        <w:t>Amended to: 'Direct SAP/ERP integration (financial data provided via Databricks/FinSight data layer; Excel exports retained as fallback during transition period)'</w:t>
      </w:r>
    </w:p>
    <w:p>
      <w:pPr>
        <w:pStyle w:val="Heading3"/>
      </w:pPr>
      <w:r>
        <w:t>3.1.2 Section 1.3 Definitions [EXTENDED]</w:t>
      </w:r>
    </w:p>
    <w:p>
      <w:pPr>
        <w:spacing w:after="80"/>
      </w:pPr>
      <w:r>
        <w:rPr>
          <w:i/>
        </w:rPr>
        <w:t>The following terms are added to the glossary: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160"/>
            <w:shd w:fill="1A56DB"/>
          </w:tcPr>
          <w:p>
            <w:r/>
            <w:r>
              <w:rPr>
                <w:rFonts w:ascii="Calibri" w:hAnsi="Calibri"/>
                <w:b/>
                <w:color w:val="FFFFFF"/>
                <w:sz w:val="20"/>
              </w:rPr>
              <w:t>Term</w:t>
            </w:r>
          </w:p>
        </w:tc>
        <w:tc>
          <w:tcPr>
            <w:tcW w:type="dxa" w:w="7200"/>
            <w:shd w:fill="1A56DB"/>
          </w:tcPr>
          <w:p>
            <w:r/>
            <w:r>
              <w:rPr>
                <w:rFonts w:ascii="Calibri" w:hAnsi="Calibri"/>
                <w:b/>
                <w:color w:val="FFFFFF"/>
                <w:sz w:val="20"/>
              </w:rPr>
              <w:t>Definition</w:t>
            </w:r>
          </w:p>
        </w:tc>
      </w:tr>
      <w:tr>
        <w:tc>
          <w:tcPr>
            <w:tcW w:type="dxa" w:w="2160"/>
          </w:tcPr>
          <w:p>
            <w:r/>
            <w:r>
              <w:rPr>
                <w:rFonts w:ascii="Calibri" w:hAnsi="Calibri"/>
                <w:color w:val="333333"/>
                <w:sz w:val="18"/>
              </w:rPr>
              <w:t>FinSight</w:t>
            </w:r>
          </w:p>
        </w:tc>
        <w:tc>
          <w:tcPr>
            <w:tcW w:type="dxa" w:w="7200"/>
          </w:tcPr>
          <w:p>
            <w:r/>
            <w:r>
              <w:rPr>
                <w:rFonts w:ascii="Calibri" w:hAnsi="Calibri"/>
                <w:color w:val="333333"/>
                <w:sz w:val="18"/>
              </w:rPr>
              <w:t>Mars's internal Databricks-based financial data platform (finsight_core_model_mvp3 schema)</w:t>
            </w:r>
          </w:p>
        </w:tc>
      </w:tr>
      <w:tr>
        <w:tc>
          <w:tcPr>
            <w:tcW w:type="dxa" w:w="2160"/>
            <w:shd w:fill="F2F6FC"/>
          </w:tcPr>
          <w:p>
            <w:r/>
            <w:r>
              <w:rPr>
                <w:rFonts w:ascii="Calibri" w:hAnsi="Calibri"/>
                <w:color w:val="333333"/>
                <w:sz w:val="18"/>
              </w:rPr>
              <w:t>Delta Lake</w:t>
            </w:r>
          </w:p>
        </w:tc>
        <w:tc>
          <w:tcPr>
            <w:tcW w:type="dxa" w:w="7200"/>
            <w:shd w:fill="F2F6FC"/>
          </w:tcPr>
          <w:p>
            <w:r/>
            <w:r>
              <w:rPr>
                <w:rFonts w:ascii="Calibri" w:hAnsi="Calibri"/>
                <w:color w:val="333333"/>
                <w:sz w:val="18"/>
              </w:rPr>
              <w:t>Open-source storage layer on top of data lake storage providing ACID transactions, schema enforcement, and time travel</w:t>
            </w:r>
          </w:p>
        </w:tc>
      </w:tr>
      <w:tr>
        <w:tc>
          <w:tcPr>
            <w:tcW w:type="dxa" w:w="2160"/>
          </w:tcPr>
          <w:p>
            <w:r/>
            <w:r>
              <w:rPr>
                <w:rFonts w:ascii="Calibri" w:hAnsi="Calibri"/>
                <w:color w:val="333333"/>
                <w:sz w:val="18"/>
              </w:rPr>
              <w:t>Databricks</w:t>
            </w:r>
          </w:p>
        </w:tc>
        <w:tc>
          <w:tcPr>
            <w:tcW w:type="dxa" w:w="7200"/>
          </w:tcPr>
          <w:p>
            <w:r/>
            <w:r>
              <w:rPr>
                <w:rFonts w:ascii="Calibri" w:hAnsi="Calibri"/>
                <w:color w:val="333333"/>
                <w:sz w:val="18"/>
              </w:rPr>
              <w:t>Unified analytics platform used by Mars for data engineering, data science, and business intelligence</w:t>
            </w:r>
          </w:p>
        </w:tc>
      </w:tr>
      <w:tr>
        <w:tc>
          <w:tcPr>
            <w:tcW w:type="dxa" w:w="2160"/>
            <w:shd w:fill="F2F6FC"/>
          </w:tcPr>
          <w:p>
            <w:r/>
            <w:r>
              <w:rPr>
                <w:rFonts w:ascii="Calibri" w:hAnsi="Calibri"/>
                <w:color w:val="333333"/>
                <w:sz w:val="18"/>
              </w:rPr>
              <w:t>ABFSS</w:t>
            </w:r>
          </w:p>
        </w:tc>
        <w:tc>
          <w:tcPr>
            <w:tcW w:type="dxa" w:w="7200"/>
            <w:shd w:fill="F2F6FC"/>
          </w:tcPr>
          <w:p>
            <w:r/>
            <w:r>
              <w:rPr>
                <w:rFonts w:ascii="Calibri" w:hAnsi="Calibri"/>
                <w:color w:val="333333"/>
                <w:sz w:val="18"/>
              </w:rPr>
              <w:t>Azure Blob File System Secure — the protocol used to access Azure Data Lake Storage Gen2</w:t>
            </w:r>
          </w:p>
        </w:tc>
      </w:tr>
      <w:tr>
        <w:tc>
          <w:tcPr>
            <w:tcW w:type="dxa" w:w="2160"/>
          </w:tcPr>
          <w:p>
            <w:r/>
            <w:r>
              <w:rPr>
                <w:rFonts w:ascii="Calibri" w:hAnsi="Calibri"/>
                <w:color w:val="333333"/>
                <w:sz w:val="18"/>
              </w:rPr>
              <w:t>Composite Item</w:t>
            </w:r>
          </w:p>
        </w:tc>
        <w:tc>
          <w:tcPr>
            <w:tcW w:type="dxa" w:w="7200"/>
          </w:tcPr>
          <w:p>
            <w:r/>
            <w:r>
              <w:rPr>
                <w:rFonts w:ascii="Calibri" w:hAnsi="Calibri"/>
                <w:color w:val="333333"/>
                <w:sz w:val="18"/>
              </w:rPr>
              <w:t>A product classification entity in Mars's taxonomy combining brand, segment, technology, and category attributes</w:t>
            </w:r>
          </w:p>
        </w:tc>
      </w:tr>
      <w:tr>
        <w:tc>
          <w:tcPr>
            <w:tcW w:type="dxa" w:w="2160"/>
            <w:shd w:fill="F2F6FC"/>
          </w:tcPr>
          <w:p>
            <w:r/>
            <w:r>
              <w:rPr>
                <w:rFonts w:ascii="Calibri" w:hAnsi="Calibri"/>
                <w:color w:val="333333"/>
                <w:sz w:val="18"/>
              </w:rPr>
              <w:t>Economic Cell</w:t>
            </w:r>
          </w:p>
        </w:tc>
        <w:tc>
          <w:tcPr>
            <w:tcW w:type="dxa" w:w="7200"/>
            <w:shd w:fill="F2F6FC"/>
          </w:tcPr>
          <w:p>
            <w:r/>
            <w:r>
              <w:rPr>
                <w:rFonts w:ascii="Calibri" w:hAnsi="Calibri"/>
                <w:color w:val="333333"/>
                <w:sz w:val="18"/>
              </w:rPr>
              <w:t>A classification unit representing a distinct economic grouping in Mars's financial structure</w:t>
            </w:r>
          </w:p>
        </w:tc>
      </w:tr>
      <w:tr>
        <w:tc>
          <w:tcPr>
            <w:tcW w:type="dxa" w:w="2160"/>
          </w:tcPr>
          <w:p>
            <w:r/>
            <w:r>
              <w:rPr>
                <w:rFonts w:ascii="Calibri" w:hAnsi="Calibri"/>
                <w:color w:val="333333"/>
                <w:sz w:val="18"/>
              </w:rPr>
              <w:t>Replan</w:t>
            </w:r>
          </w:p>
        </w:tc>
        <w:tc>
          <w:tcPr>
            <w:tcW w:type="dxa" w:w="7200"/>
          </w:tcPr>
          <w:p>
            <w:r/>
            <w:r>
              <w:rPr>
                <w:rFonts w:ascii="Calibri" w:hAnsi="Calibri"/>
                <w:color w:val="333333"/>
                <w:sz w:val="18"/>
              </w:rPr>
              <w:t>Mars's budget/forecast revision process; the replan value represents the most recent approved budget figure</w:t>
            </w:r>
          </w:p>
        </w:tc>
      </w:tr>
      <w:tr>
        <w:tc>
          <w:tcPr>
            <w:tcW w:type="dxa" w:w="2160"/>
            <w:shd w:fill="F2F6FC"/>
          </w:tcPr>
          <w:p>
            <w:r/>
            <w:r>
              <w:rPr>
                <w:rFonts w:ascii="Calibri" w:hAnsi="Calibri"/>
                <w:color w:val="333333"/>
                <w:sz w:val="18"/>
              </w:rPr>
              <w:t>Date_Offset</w:t>
            </w:r>
          </w:p>
        </w:tc>
        <w:tc>
          <w:tcPr>
            <w:tcW w:type="dxa" w:w="7200"/>
            <w:shd w:fill="F2F6FC"/>
          </w:tcPr>
          <w:p>
            <w:r/>
            <w:r>
              <w:rPr>
                <w:rFonts w:ascii="Calibri" w:hAnsi="Calibri"/>
                <w:color w:val="333333"/>
                <w:sz w:val="18"/>
              </w:rPr>
              <w:t>A view-level calculation pattern: offset of 100 represents Last Year, offset of 0 represents Current Year</w:t>
            </w:r>
          </w:p>
        </w:tc>
      </w:tr>
      <w:tr>
        <w:tc>
          <w:tcPr>
            <w:tcW w:type="dxa" w:w="2160"/>
          </w:tcPr>
          <w:p>
            <w:r/>
            <w:r>
              <w:rPr>
                <w:rFonts w:ascii="Calibri" w:hAnsi="Calibri"/>
                <w:color w:val="333333"/>
                <w:sz w:val="18"/>
              </w:rPr>
              <w:t>View_ID</w:t>
            </w:r>
          </w:p>
        </w:tc>
        <w:tc>
          <w:tcPr>
            <w:tcW w:type="dxa" w:w="7200"/>
          </w:tcPr>
          <w:p>
            <w:r/>
            <w:r>
              <w:rPr>
                <w:rFonts w:ascii="Calibri" w:hAnsi="Calibri"/>
                <w:color w:val="333333"/>
                <w:sz w:val="18"/>
              </w:rPr>
              <w:t>A parameter in FinSight views: 1 = Periodic (single period) values, 2 = Year-to-Date cumulative values</w:t>
            </w:r>
          </w:p>
        </w:tc>
      </w:tr>
    </w:tbl>
    <w:p/>
    <w:p>
      <w:pPr>
        <w:pStyle w:val="Heading3"/>
      </w:pPr>
      <w:r>
        <w:t>3.1.3 Section 1.4 References [EXTENDED]</w:t>
      </w:r>
    </w:p>
    <w:p>
      <w:pPr>
        <w:spacing w:after="80"/>
      </w:pPr>
      <w:r>
        <w:rPr>
          <w:i/>
        </w:rPr>
        <w:t>The following references are added:</w:t>
      </w:r>
    </w:p>
    <w:p>
      <w:pPr>
        <w:pStyle w:val="ListBullet"/>
        <w:spacing w:after="40"/>
      </w:pPr>
      <w:r>
        <w:t>FinIQ UC Documentation, finsight_core_model_mvp3 schema (Mars internal, 46 pages, 2026-03-25)</w:t>
      </w:r>
    </w:p>
    <w:p>
      <w:pPr>
        <w:pStyle w:val="ListBullet"/>
        <w:spacing w:after="40"/>
      </w:pPr>
      <w:r>
        <w:t>FinIQ Databricks Schema Reference (Amira internal, compiled 2026-03-26)</w:t>
      </w:r>
    </w:p>
    <w:p>
      <w:r>
        <w:br w:type="page"/>
      </w:r>
    </w:p>
    <w:p>
      <w:pPr>
        <w:pStyle w:val="Heading2"/>
      </w:pPr>
      <w:r>
        <w:t>3.2 Amendments to Section 2: Overall Description</w:t>
      </w:r>
    </w:p>
    <w:p>
      <w:pPr>
        <w:pStyle w:val="Heading3"/>
      </w:pPr>
      <w:r>
        <w:t>3.2.1 Section 2.1 Product Perspective [EXTENDED]</w:t>
      </w:r>
    </w:p>
    <w:p>
      <w:pPr>
        <w:spacing w:after="80"/>
      </w:pPr>
      <w:r>
        <w:rPr>
          <w:i/>
        </w:rPr>
        <w:t>The following subsection is added after Section 2.1.2:</w:t>
      </w:r>
    </w:p>
    <w:p>
      <w:pPr>
        <w:spacing w:after="120"/>
      </w:pPr>
      <w:r>
        <w:rPr>
          <w:b/>
        </w:rPr>
        <w:t>2.1.3a Current System: FinSight Data Layer</w:t>
      </w:r>
    </w:p>
    <w:p>
      <w:pPr>
        <w:pStyle w:val="ListBullet"/>
        <w:spacing w:after="40"/>
      </w:pPr>
      <w:r>
        <w:t>Function: Mars's centralized Databricks-based financial data platform, providing the upstream data layer that feeds both PES and other analytical tools</w:t>
      </w:r>
    </w:p>
    <w:p>
      <w:pPr>
        <w:pStyle w:val="ListBullet"/>
        <w:spacing w:after="40"/>
      </w:pPr>
      <w:r>
        <w:t>Schema: finsight_core_model_mvp3 in the corporate_finance_analytics_dev catalog</w:t>
      </w:r>
    </w:p>
    <w:p>
      <w:pPr>
        <w:pStyle w:val="ListBullet"/>
        <w:spacing w:after="40"/>
      </w:pPr>
      <w:r>
        <w:t>Structure: 20 objects — 11 dimension tables, 5 fact tables, 3 precomputed analytics views, 1 system table</w:t>
      </w:r>
    </w:p>
    <w:p>
      <w:pPr>
        <w:pStyle w:val="ListBullet"/>
        <w:spacing w:after="40"/>
      </w:pPr>
      <w:r>
        <w:t>Fact tables: finiq_financial (39-col denormalized), finiq_financial_base (7-col normalized), finiq_financial_cons (9-col consolidated with multi-currency), finiq_financial_replan (18-col actual vs. budget), finiq_financial_replan_cons (6-col consolidated replan)</w:t>
      </w:r>
    </w:p>
    <w:p>
      <w:pPr>
        <w:pStyle w:val="ListBullet"/>
        <w:spacing w:after="40"/>
      </w:pPr>
      <w:r>
        <w:t>Precomputed views: P&amp;L by entity, P&amp;L by brand/product, NCFO by entity — each providing YTD and Periodic comparisons vs. Last Year</w:t>
      </w:r>
    </w:p>
    <w:p>
      <w:pPr>
        <w:pStyle w:val="ListBullet"/>
        <w:spacing w:after="40"/>
      </w:pPr>
      <w:r>
        <w:t>Storage: Delta Lake format on Azure Blob Storage (ABFSS protocol)</w:t>
      </w:r>
    </w:p>
    <w:p>
      <w:pPr>
        <w:pStyle w:val="ListBullet"/>
        <w:spacing w:after="40"/>
      </w:pPr>
      <w:r>
        <w:t>Significance: This data layer is the direct source of the Excel files currently used by PES. FinIQ will connect directly to these Databricks tables/views, bypassing the Excel export step.</w:t>
      </w:r>
    </w:p>
    <w:p>
      <w:pPr>
        <w:pStyle w:val="Heading3"/>
      </w:pPr>
      <w:r>
        <w:t>3.2.2 Section 2.1.3 Gap Analysis [EXTENDED]</w:t>
      </w:r>
    </w:p>
    <w:p>
      <w:pPr>
        <w:spacing w:after="80"/>
      </w:pPr>
      <w:r>
        <w:rPr>
          <w:i/>
        </w:rPr>
        <w:t>The following row is added to the Gap Analysis table: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Gap</w:t>
            </w:r>
          </w:p>
        </w:tc>
        <w:tc>
          <w:tcPr>
            <w:tcW w:type="dxa" w:w="3168"/>
            <w:shd w:fill="1A56DB"/>
          </w:tcPr>
          <w:p>
            <w:r/>
            <w:r>
              <w:rPr>
                <w:rFonts w:ascii="Calibri" w:hAnsi="Calibri"/>
                <w:b/>
                <w:color w:val="FFFFFF"/>
                <w:sz w:val="20"/>
              </w:rPr>
              <w:t>Impact</w:t>
            </w:r>
          </w:p>
        </w:tc>
        <w:tc>
          <w:tcPr>
            <w:tcW w:type="dxa" w:w="3600"/>
            <w:shd w:fill="1A56DB"/>
          </w:tcPr>
          <w:p>
            <w:r/>
            <w:r>
              <w:rPr>
                <w:rFonts w:ascii="Calibri" w:hAnsi="Calibri"/>
                <w:b/>
                <w:color w:val="FFFFFF"/>
                <w:sz w:val="20"/>
              </w:rPr>
              <w:t>FinIQ Resolution</w:t>
            </w:r>
          </w:p>
        </w:tc>
      </w:tr>
      <w:tr>
        <w:tc>
          <w:tcPr>
            <w:tcW w:type="dxa" w:w="2592"/>
          </w:tcPr>
          <w:p>
            <w:r/>
            <w:r>
              <w:rPr>
                <w:rFonts w:ascii="Calibri" w:hAnsi="Calibri"/>
                <w:color w:val="333333"/>
                <w:sz w:val="18"/>
              </w:rPr>
              <w:t>Excel intermediary</w:t>
            </w:r>
          </w:p>
        </w:tc>
        <w:tc>
          <w:tcPr>
            <w:tcW w:type="dxa" w:w="3168"/>
          </w:tcPr>
          <w:p>
            <w:r/>
            <w:r>
              <w:rPr>
                <w:rFonts w:ascii="Calibri" w:hAnsi="Calibri"/>
                <w:color w:val="333333"/>
                <w:sz w:val="18"/>
              </w:rPr>
              <w:t>PES reads preprocessed Excel exports of Databricks data, adding latency and a manual step</w:t>
            </w:r>
          </w:p>
        </w:tc>
        <w:tc>
          <w:tcPr>
            <w:tcW w:type="dxa" w:w="3600"/>
          </w:tcPr>
          <w:p>
            <w:r/>
            <w:r>
              <w:rPr>
                <w:rFonts w:ascii="Calibri" w:hAnsi="Calibri"/>
                <w:color w:val="333333"/>
                <w:sz w:val="18"/>
              </w:rPr>
              <w:t>Direct Databricks/FinSight connectivity via precomputed views and normalized fact tables</w:t>
            </w:r>
          </w:p>
        </w:tc>
      </w:tr>
      <w:tr>
        <w:tc>
          <w:tcPr>
            <w:tcW w:type="dxa" w:w="2592"/>
            <w:shd w:fill="F2F6FC"/>
          </w:tcPr>
          <w:p>
            <w:r/>
            <w:r>
              <w:rPr>
                <w:rFonts w:ascii="Calibri" w:hAnsi="Calibri"/>
                <w:color w:val="333333"/>
                <w:sz w:val="18"/>
              </w:rPr>
              <w:t>No budget variance</w:t>
            </w:r>
          </w:p>
        </w:tc>
        <w:tc>
          <w:tcPr>
            <w:tcW w:type="dxa" w:w="3168"/>
            <w:shd w:fill="F2F6FC"/>
          </w:tcPr>
          <w:p>
            <w:r/>
            <w:r>
              <w:rPr>
                <w:rFonts w:ascii="Calibri" w:hAnsi="Calibri"/>
                <w:color w:val="333333"/>
                <w:sz w:val="18"/>
              </w:rPr>
              <w:t>Current PES has no access to replan/forecast data for variance analysis</w:t>
            </w:r>
          </w:p>
        </w:tc>
        <w:tc>
          <w:tcPr>
            <w:tcW w:type="dxa" w:w="3600"/>
            <w:shd w:fill="F2F6FC"/>
          </w:tcPr>
          <w:p>
            <w:r/>
            <w:r>
              <w:rPr>
                <w:rFonts w:ascii="Calibri" w:hAnsi="Calibri"/>
                <w:color w:val="333333"/>
                <w:sz w:val="18"/>
              </w:rPr>
              <w:t>Direct query of finiq_financial_replan for actual-vs-budget comparisons</w:t>
            </w:r>
          </w:p>
        </w:tc>
      </w:tr>
      <w:tr>
        <w:tc>
          <w:tcPr>
            <w:tcW w:type="dxa" w:w="2592"/>
          </w:tcPr>
          <w:p>
            <w:r/>
            <w:r>
              <w:rPr>
                <w:rFonts w:ascii="Calibri" w:hAnsi="Calibri"/>
                <w:color w:val="333333"/>
                <w:sz w:val="18"/>
              </w:rPr>
              <w:t>Limited product breakdown</w:t>
            </w:r>
          </w:p>
        </w:tc>
        <w:tc>
          <w:tcPr>
            <w:tcW w:type="dxa" w:w="3168"/>
          </w:tcPr>
          <w:p>
            <w:r/>
            <w:r>
              <w:rPr>
                <w:rFonts w:ascii="Calibri" w:hAnsi="Calibri"/>
                <w:color w:val="333333"/>
                <w:sz w:val="18"/>
              </w:rPr>
              <w:t>PES has basic Brand/Product from 4 Excel sheets</w:t>
            </w:r>
          </w:p>
        </w:tc>
        <w:tc>
          <w:tcPr>
            <w:tcW w:type="dxa" w:w="3600"/>
          </w:tcPr>
          <w:p>
            <w:r/>
            <w:r>
              <w:rPr>
                <w:rFonts w:ascii="Calibri" w:hAnsi="Calibri"/>
                <w:color w:val="333333"/>
                <w:sz w:val="18"/>
              </w:rPr>
              <w:t>Full 27-attribute product taxonomy via finiq_composite_item + finiq_item</w:t>
            </w:r>
          </w:p>
        </w:tc>
      </w:tr>
      <w:tr>
        <w:tc>
          <w:tcPr>
            <w:tcW w:type="dxa" w:w="2592"/>
            <w:shd w:fill="F2F6FC"/>
          </w:tcPr>
          <w:p>
            <w:r/>
            <w:r>
              <w:rPr>
                <w:rFonts w:ascii="Calibri" w:hAnsi="Calibri"/>
                <w:color w:val="333333"/>
                <w:sz w:val="18"/>
              </w:rPr>
              <w:t>No customer dimension</w:t>
            </w:r>
          </w:p>
        </w:tc>
        <w:tc>
          <w:tcPr>
            <w:tcW w:type="dxa" w:w="3168"/>
            <w:shd w:fill="F2F6FC"/>
          </w:tcPr>
          <w:p>
            <w:r/>
            <w:r>
              <w:rPr>
                <w:rFonts w:ascii="Calibri" w:hAnsi="Calibri"/>
                <w:color w:val="333333"/>
                <w:sz w:val="18"/>
              </w:rPr>
              <w:t>PES has no customer-level analytics</w:t>
            </w:r>
          </w:p>
        </w:tc>
        <w:tc>
          <w:tcPr>
            <w:tcW w:type="dxa" w:w="3600"/>
            <w:shd w:fill="F2F6FC"/>
          </w:tcPr>
          <w:p>
            <w:r/>
            <w:r>
              <w:rPr>
                <w:rFonts w:ascii="Calibri" w:hAnsi="Calibri"/>
                <w:color w:val="333333"/>
                <w:sz w:val="18"/>
              </w:rPr>
              <w:t>11-attribute customer dimension with 3-level hierarchy via finiq_customer</w:t>
            </w:r>
          </w:p>
        </w:tc>
      </w:tr>
    </w:tbl>
    <w:p/>
    <w:p>
      <w:pPr>
        <w:pStyle w:val="Heading3"/>
      </w:pPr>
      <w:r>
        <w:t>3.2.3 Section 2.4 Constraints [AMENDED]</w:t>
      </w:r>
    </w:p>
    <w:p>
      <w:pPr>
        <w:spacing w:after="80"/>
      </w:pPr>
      <w:r>
        <w:rPr>
          <w:i/>
        </w:rPr>
        <w:t>The following constraint in the base SRS is amended:</w:t>
      </w:r>
    </w:p>
    <w:p>
      <w:pPr>
        <w:spacing w:after="120"/>
      </w:pPr>
      <w:r>
        <w:t>Base text: 'Initial data ingestion limited to preprocessed Excel exports (no direct SAP/ERP integration)'</w:t>
        <w:br/>
        <w:br/>
        <w:t>Amended to: 'Primary data ingestion via direct Databricks/FinSight connectivity (finsight_core_model_mvp3 schema). Excel ingestion retained as fallback path during transition and for any data not yet available in Databricks. No direct SAP/ERP integration (SAP data flows through Databricks).'</w:t>
      </w:r>
    </w:p>
    <w:p>
      <w:pPr>
        <w:pStyle w:val="Heading3"/>
      </w:pPr>
      <w:r>
        <w:t>3.2.4 Section 2.5 Assumptions [AMENDED]</w:t>
      </w:r>
    </w:p>
    <w:p>
      <w:pPr>
        <w:spacing w:after="80"/>
      </w:pPr>
      <w:r>
        <w:rPr>
          <w:i/>
        </w:rPr>
        <w:t>The following assumption in the base SRS is amended:</w:t>
      </w:r>
    </w:p>
    <w:p>
      <w:pPr>
        <w:spacing w:after="120"/>
      </w:pPr>
      <w:r>
        <w:t>Base text: 'Preprocessed Excel workbooks will continue to follow the existing naming convention and schema'</w:t>
        <w:br/>
        <w:br/>
        <w:t>Amended to: 'Mars will provide and maintain Databricks/FinSight connectivity credentials (service principal or managed identity) with read access to the finsight_core_model_mvp3 schema. The schema structure (20 tables/views) will remain stable or changes will be communicated in advance. Excel workbook ingestion is retained as a fallback and will follow the existing naming convention.'</w:t>
      </w:r>
    </w:p>
    <w:p>
      <w:pPr>
        <w:spacing w:after="80"/>
      </w:pPr>
      <w:r>
        <w:rPr>
          <w:i/>
        </w:rPr>
        <w:t>The following assumption is added:</w:t>
      </w:r>
    </w:p>
    <w:p>
      <w:pPr>
        <w:pStyle w:val="ListBullet"/>
        <w:spacing w:after="40"/>
      </w:pPr>
      <w:r>
        <w:t>The external dimension tables referenced by FinSight views (Dimensions_View_Date_Map, Dimensions_Date, Dimensions_Entity, Dimensions_Account) will be accessible to FinIQ with the same credentials as the finiq_ prefixed tables.</w:t>
      </w:r>
    </w:p>
    <w:p>
      <w:r>
        <w:br w:type="page"/>
      </w:r>
    </w:p>
    <w:p>
      <w:pPr>
        <w:pStyle w:val="Heading2"/>
      </w:pPr>
      <w:r>
        <w:t>3.3 Amendments to FR1: Unified Data Ingestion Engine</w:t>
      </w:r>
    </w:p>
    <w:p>
      <w:pPr>
        <w:spacing w:after="80"/>
      </w:pPr>
      <w:r>
        <w:rPr>
          <w:b/>
          <w:color w:val="B45F06"/>
          <w:sz w:val="22"/>
        </w:rPr>
        <w:t xml:space="preserve">[AMENDED] </w:t>
      </w:r>
      <w:r>
        <w:rPr>
          <w:b/>
          <w:color w:val="1A56DB"/>
          <w:sz w:val="22"/>
        </w:rPr>
        <w:t>FR1.1: Internal Financial Data Ingestion</w:t>
      </w:r>
    </w:p>
    <w:p>
      <w:pPr>
        <w:spacing w:after="40"/>
      </w:pPr>
      <w:r>
        <w:t>The system shall ingest internal financial data via direct connectivity to Mars's Databricks/FinSight data layer (catalog: corporate_finance_analytics_dev, schema: finsight_core_model_mvp3). The primary ingestion path shall query the 3 precomputed views (finiq_vw_pl_entity, finiq_vw_pl_brand_product, finiq_vw_ncfo_entity) for Period End Summary analytics, and the normalized fact tables (finiq_financial_cons, finiq_financial_base) for ad-hoc queries. The 11 dimension tables shall be synchronized to the FinIQ data layer for entity hierarchy resolution, account structure, product taxonomy, and customer classification. Column mapping, KPI resolution, unit filtering (150+ organizational units via finiq_dim_entity), and derived metric calculations shall be applied automatically. Excel workbook ingestion (preprocessed_output_{Period}_{YearShort}.xlsx) shall be retained as a fallback path.</w:t>
      </w:r>
    </w:p>
    <w:p>
      <w:pPr>
        <w:spacing w:after="200"/>
      </w:pPr>
      <w:r>
        <w:rPr>
          <w:i/>
          <w:color w:val="666666"/>
          <w:sz w:val="18"/>
        </w:rPr>
        <w:t>Priority: Critical  |  Category: Functional  |  Change: AMENDED</w:t>
      </w:r>
    </w:p>
    <w:p>
      <w:pPr>
        <w:spacing w:after="80"/>
      </w:pPr>
      <w:r>
        <w:rPr>
          <w:b/>
          <w:color w:val="B45F06"/>
          <w:sz w:val="22"/>
        </w:rPr>
        <w:t xml:space="preserve">[NEW] </w:t>
      </w:r>
      <w:r>
        <w:rPr>
          <w:b/>
          <w:color w:val="1A56DB"/>
          <w:sz w:val="22"/>
        </w:rPr>
        <w:t>FR1.6: Databricks Connection Management</w:t>
      </w:r>
    </w:p>
    <w:p>
      <w:pPr>
        <w:spacing w:after="40"/>
      </w:pPr>
      <w:r>
        <w:t>The system shall maintain a configurable connection to the Databricks/FinSight environment with the following specifications: (a) Authentication via Azure service principal or managed identity with least-privilege read access, (b) Connection parameters (catalog, schema, warehouse/cluster endpoint) configurable via admin interface without code deployment, (c) Connection health monitoring with automatic retry (3 attempts, exponential backoff), (d) Query timeout of 60 seconds with graceful fallback to cached data, (e) Connection pooling with a maximum of 10 concurrent Databricks sessions, (f) All queries logged with execution time, row count, and data freshness timestamp for audit purposes.</w:t>
      </w:r>
    </w:p>
    <w:p>
      <w:pPr>
        <w:spacing w:after="200"/>
      </w:pPr>
      <w:r>
        <w:rPr>
          <w:i/>
          <w:color w:val="666666"/>
          <w:sz w:val="18"/>
        </w:rPr>
        <w:t>Priority: High  |  Category: Functional  |  Change: NEW</w:t>
      </w:r>
    </w:p>
    <w:p>
      <w:pPr>
        <w:pStyle w:val="Heading2"/>
      </w:pPr>
      <w:r>
        <w:t>3.4 Amendments to FR2: Financial Analytics &amp; Reporting Engine</w:t>
      </w:r>
    </w:p>
    <w:p>
      <w:pPr>
        <w:spacing w:after="120"/>
      </w:pPr>
      <w:r>
        <w:rPr>
          <w:i/>
        </w:rPr>
        <w:t>The availability of precomputed views in Databricks changes the analytics pipeline significantly. Instead of processing raw Excel data, FinIQ can query views that already contain YTD and Periodic comparisons versus Last Year.</w:t>
      </w:r>
    </w:p>
    <w:p>
      <w:pPr>
        <w:spacing w:after="80"/>
      </w:pPr>
      <w:r>
        <w:rPr>
          <w:b/>
          <w:color w:val="B45F06"/>
          <w:sz w:val="22"/>
        </w:rPr>
        <w:t xml:space="preserve">[EXTENDED] </w:t>
      </w:r>
      <w:r>
        <w:rPr>
          <w:b/>
          <w:color w:val="1A56DB"/>
          <w:sz w:val="22"/>
        </w:rPr>
        <w:t>FR2.1: Period End Summary Generation</w:t>
      </w:r>
    </w:p>
    <w:p>
      <w:pPr>
        <w:spacing w:after="40"/>
      </w:pPr>
      <w:r>
        <w:t>The base requirement is extended: when Databricks connectivity is available, the system shall generate Period End Summaries by querying the precomputed FinSight views directly: finiq_vw_pl_entity for P&amp;L by entity (maps to P&amp;L sheet), finiq_vw_pl_brand_product for P&amp;L by brand/product (maps to Product and Brand sheets), and finiq_vw_ncfo_entity for NCFO (maps to NCFO sheet). Each view provides Date_ID, Entity_Alias, Account_Alias, and four value columns (YTD_LY_Value, YTD_CY_Value, Periodic_LY_Value, Periodic_CY_Value) that directly feed the KPI narrative generation pipeline. This eliminates the Excel preprocessing step (upload → retrieval → preprocessing → markdown conversion) from the current 10-step pipeline, reducing it to: view query → 6 parallel KPI generators → trend analysis → combination → caching → SSE delivery.</w:t>
      </w:r>
    </w:p>
    <w:p>
      <w:pPr>
        <w:spacing w:after="200"/>
      </w:pPr>
      <w:r>
        <w:rPr>
          <w:i/>
          <w:color w:val="666666"/>
          <w:sz w:val="18"/>
        </w:rPr>
        <w:t>Priority: Critical  |  Category: Functional  |  Change: EXTENDED</w:t>
      </w:r>
    </w:p>
    <w:p>
      <w:pPr>
        <w:spacing w:after="80"/>
      </w:pPr>
      <w:r>
        <w:rPr>
          <w:b/>
          <w:color w:val="B45F06"/>
          <w:sz w:val="22"/>
        </w:rPr>
        <w:t xml:space="preserve">[NEW] </w:t>
      </w:r>
      <w:r>
        <w:rPr>
          <w:b/>
          <w:color w:val="1A56DB"/>
          <w:sz w:val="22"/>
        </w:rPr>
        <w:t>FR2.7: Budget Variance Reporting</w:t>
      </w:r>
    </w:p>
    <w:p>
      <w:pPr>
        <w:spacing w:after="40"/>
      </w:pPr>
      <w:r>
        <w:t>The system shall generate actual-vs-budget (replan) variance reports by querying the finiq_financial_replan table. For each organizational unit and time period, the system shall display: Actual_USD_Value, Replan_USD_Value, variance (Actual - Replan), and variance percentage. Both USD and Local currency values shall be supported. Variance reports shall be available as a standalone report type and as an enrichment layer on Period End Summaries (e.g., 'Petcare Organic Growth was 6.3% vs. a replan target of 5.5%, exceeding budget by 80 basis points'). The Submission_Type_ID column shall be used to distinguish between different forecast revisions.</w:t>
      </w:r>
    </w:p>
    <w:p>
      <w:pPr>
        <w:spacing w:after="200"/>
      </w:pPr>
      <w:r>
        <w:rPr>
          <w:i/>
          <w:color w:val="666666"/>
          <w:sz w:val="18"/>
        </w:rPr>
        <w:t>Priority: High  |  Category: Functional  |  Change: NEW</w:t>
      </w:r>
    </w:p>
    <w:p>
      <w:pPr>
        <w:pStyle w:val="Heading2"/>
      </w:pPr>
      <w:r>
        <w:t>3.5 Amendments to FR6: Integration Layer</w:t>
      </w:r>
    </w:p>
    <w:p>
      <w:pPr>
        <w:spacing w:after="80"/>
      </w:pPr>
      <w:r>
        <w:rPr>
          <w:b/>
          <w:color w:val="B45F06"/>
          <w:sz w:val="22"/>
        </w:rPr>
        <w:t xml:space="preserve">[EXTENDED] </w:t>
      </w:r>
      <w:r>
        <w:rPr>
          <w:b/>
          <w:color w:val="1A56DB"/>
          <w:sz w:val="22"/>
        </w:rPr>
        <w:t>FR6.1: Amira Financial Forecasting Integration</w:t>
      </w:r>
    </w:p>
    <w:p>
      <w:pPr>
        <w:spacing w:after="40"/>
      </w:pPr>
      <w:r>
        <w:t>The base requirement is strengthened: in addition to calling the Amira Forecasting API for forward-looking projections, the system shall also leverage the finiq_financial_replan table for Mars's internal replan/budget data. This enables a three-way comparison: Actual (from finiq_financial_cons) vs. Replan (from finiq_financial_replan) vs. Amira Forecast (from Forecasting API). Example output: 'Q2 Organic Growth was 6.3% (Actual) vs. 5.5% (Mars Replan) vs. 6.1% (Amira Forecast). Actual exceeded both targets. Based on current trends, Amira projects 5.8% for Q3.' Confidence intervals shall be displayed for the Amira Forecast; replan figures shall be labeled as Mars internal budget targets.</w:t>
      </w:r>
    </w:p>
    <w:p>
      <w:pPr>
        <w:spacing w:after="200"/>
      </w:pPr>
      <w:r>
        <w:rPr>
          <w:i/>
          <w:color w:val="666666"/>
          <w:sz w:val="18"/>
        </w:rPr>
        <w:t>Priority: Critical  |  Category: Functional  |  Change: EXTENDED</w:t>
      </w:r>
    </w:p>
    <w:p>
      <w:pPr>
        <w:spacing w:after="80"/>
      </w:pPr>
      <w:r>
        <w:rPr>
          <w:b/>
          <w:color w:val="B45F06"/>
          <w:sz w:val="22"/>
        </w:rPr>
        <w:t xml:space="preserve">[NEW] </w:t>
      </w:r>
      <w:r>
        <w:rPr>
          <w:b/>
          <w:color w:val="1A56DB"/>
          <w:sz w:val="22"/>
        </w:rPr>
        <w:t>FR6.5: Databricks Data Freshness Monitoring</w:t>
      </w:r>
    </w:p>
    <w:p>
      <w:pPr>
        <w:spacing w:after="40"/>
      </w:pPr>
      <w:r>
        <w:t>The system shall monitor data freshness in the Databricks/FinSight schema by tracking: (a) the most recent Date_ID available in each fact table and view, (b) the Last_Change timestamp from finiq_rls_last_change for security policy currency, (c) row counts per entity and period for completeness validation. Data freshness indicators shall be displayed on all reports (e.g., 'Data as of Period 6, 2026'). Stale data alerts shall be triggered when expected period data is not available within a configurable window (default: 5 business days after period close).</w:t>
      </w:r>
    </w:p>
    <w:p>
      <w:pPr>
        <w:spacing w:after="200"/>
      </w:pPr>
      <w:r>
        <w:rPr>
          <w:i/>
          <w:color w:val="666666"/>
          <w:sz w:val="18"/>
        </w:rPr>
        <w:t>Priority: High  |  Category: Functional  |  Change: NEW</w:t>
      </w:r>
    </w:p>
    <w:p>
      <w:pPr>
        <w:pStyle w:val="Heading2"/>
      </w:pPr>
      <w:r>
        <w:t>3.6 Amendments to FR7: Administration &amp; Configuration</w:t>
      </w:r>
    </w:p>
    <w:p>
      <w:pPr>
        <w:spacing w:after="80"/>
      </w:pPr>
      <w:r>
        <w:rPr>
          <w:b/>
          <w:color w:val="B45F06"/>
          <w:sz w:val="22"/>
        </w:rPr>
        <w:t xml:space="preserve">[NEW] </w:t>
      </w:r>
      <w:r>
        <w:rPr>
          <w:b/>
          <w:color w:val="1A56DB"/>
          <w:sz w:val="22"/>
        </w:rPr>
        <w:t>FR7.6: Databricks Connection Administration</w:t>
      </w:r>
    </w:p>
    <w:p>
      <w:pPr>
        <w:spacing w:after="40"/>
      </w:pPr>
      <w:r>
        <w:t>Administrators shall manage Databricks/FinSight connectivity through a dedicated admin interface. Configuration shall include: (a) Databricks workspace URL and warehouse/cluster endpoint, (b) Authentication credentials (service principal client ID/secret or managed identity), (c) Catalog and schema selection with object discovery (list available tables/views), (d) View-to-report mapping configuration (which views feed which report types), (e) Dimension table sync schedule (frequency for refreshing local copies of dimension data), (f) Connection test functionality with diagnostic output, (g) Fallback toggle: switch between Databricks primary mode and Excel fallback mode without code deployment.</w:t>
      </w:r>
    </w:p>
    <w:p>
      <w:pPr>
        <w:spacing w:after="200"/>
      </w:pPr>
      <w:r>
        <w:rPr>
          <w:i/>
          <w:color w:val="666666"/>
          <w:sz w:val="18"/>
        </w:rPr>
        <w:t>Priority: High  |  Category: Functional  |  Change: NEW</w:t>
      </w:r>
    </w:p>
    <w:p>
      <w:r>
        <w:br w:type="page"/>
      </w:r>
    </w:p>
    <w:p>
      <w:pPr>
        <w:pStyle w:val="Heading2"/>
      </w:pPr>
      <w:r>
        <w:t>3.7 Amendments to Section 4: Data Model</w:t>
      </w:r>
    </w:p>
    <w:p>
      <w:pPr>
        <w:spacing w:after="120"/>
      </w:pPr>
      <w:r>
        <w:t>The base SRS Section 4.1 defines 14 conceptual entities. This addendum maps those entities to the actual Databricks tables and identifies new entities not present in the base model.</w:t>
      </w:r>
    </w:p>
    <w:p>
      <w:pPr>
        <w:pStyle w:val="Heading3"/>
      </w:pPr>
      <w:r>
        <w:t>3.7.1 Entity Mapping: Base SRS to Databricks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160"/>
            <w:shd w:fill="1A56DB"/>
          </w:tcPr>
          <w:p>
            <w:r/>
            <w:r>
              <w:rPr>
                <w:rFonts w:ascii="Calibri" w:hAnsi="Calibri"/>
                <w:b/>
                <w:color w:val="FFFFFF"/>
                <w:sz w:val="20"/>
              </w:rPr>
              <w:t>Base SRS Entity</w:t>
            </w:r>
          </w:p>
        </w:tc>
        <w:tc>
          <w:tcPr>
            <w:tcW w:type="dxa" w:w="3312"/>
            <w:shd w:fill="1A56DB"/>
          </w:tcPr>
          <w:p>
            <w:r/>
            <w:r>
              <w:rPr>
                <w:rFonts w:ascii="Calibri" w:hAnsi="Calibri"/>
                <w:b/>
                <w:color w:val="FFFFFF"/>
                <w:sz w:val="20"/>
              </w:rPr>
              <w:t>Databricks Table(s)</w:t>
            </w:r>
          </w:p>
        </w:tc>
        <w:tc>
          <w:tcPr>
            <w:tcW w:type="dxa" w:w="1440"/>
            <w:shd w:fill="1A56DB"/>
          </w:tcPr>
          <w:p>
            <w:r/>
            <w:r>
              <w:rPr>
                <w:rFonts w:ascii="Calibri" w:hAnsi="Calibri"/>
                <w:b/>
                <w:color w:val="FFFFFF"/>
                <w:sz w:val="20"/>
              </w:rPr>
              <w:t>Status</w:t>
            </w:r>
          </w:p>
        </w:tc>
        <w:tc>
          <w:tcPr>
            <w:tcW w:type="dxa" w:w="2448"/>
            <w:shd w:fill="1A56DB"/>
          </w:tcPr>
          <w:p>
            <w:r/>
            <w:r>
              <w:rPr>
                <w:rFonts w:ascii="Calibri" w:hAnsi="Calibri"/>
                <w:b/>
                <w:color w:val="FFFFFF"/>
                <w:sz w:val="20"/>
              </w:rPr>
              <w:t>Notes</w:t>
            </w:r>
          </w:p>
        </w:tc>
      </w:tr>
      <w:tr>
        <w:tc>
          <w:tcPr>
            <w:tcW w:type="dxa" w:w="2160"/>
          </w:tcPr>
          <w:p>
            <w:r/>
            <w:r>
              <w:rPr>
                <w:rFonts w:ascii="Calibri" w:hAnsi="Calibri"/>
                <w:color w:val="333333"/>
                <w:sz w:val="18"/>
              </w:rPr>
              <w:t>OrganizationalUnit</w:t>
            </w:r>
          </w:p>
        </w:tc>
        <w:tc>
          <w:tcPr>
            <w:tcW w:type="dxa" w:w="3312"/>
          </w:tcPr>
          <w:p>
            <w:r/>
            <w:r>
              <w:rPr>
                <w:rFonts w:ascii="Calibri" w:hAnsi="Calibri"/>
                <w:color w:val="333333"/>
                <w:sz w:val="18"/>
              </w:rPr>
              <w:t>finiq_dim_entity</w:t>
            </w:r>
          </w:p>
        </w:tc>
        <w:tc>
          <w:tcPr>
            <w:tcW w:type="dxa" w:w="1440"/>
          </w:tcPr>
          <w:p>
            <w:r/>
            <w:r>
              <w:rPr>
                <w:rFonts w:ascii="Calibri" w:hAnsi="Calibri"/>
                <w:color w:val="333333"/>
                <w:sz w:val="18"/>
              </w:rPr>
              <w:t>MAPPED</w:t>
            </w:r>
          </w:p>
        </w:tc>
        <w:tc>
          <w:tcPr>
            <w:tcW w:type="dxa" w:w="2448"/>
          </w:tcPr>
          <w:p>
            <w:r/>
            <w:r>
              <w:rPr>
                <w:rFonts w:ascii="Calibri" w:hAnsi="Calibri"/>
                <w:color w:val="333333"/>
                <w:sz w:val="18"/>
              </w:rPr>
              <w:t>Parent/Child hierarchy with Entity_Level; 150+ units</w:t>
            </w:r>
          </w:p>
        </w:tc>
      </w:tr>
      <w:tr>
        <w:tc>
          <w:tcPr>
            <w:tcW w:type="dxa" w:w="2160"/>
            <w:shd w:fill="F2F6FC"/>
          </w:tcPr>
          <w:p>
            <w:r/>
            <w:r>
              <w:rPr>
                <w:rFonts w:ascii="Calibri" w:hAnsi="Calibri"/>
                <w:color w:val="333333"/>
                <w:sz w:val="18"/>
              </w:rPr>
              <w:t>FinancialPeriod</w:t>
            </w:r>
          </w:p>
        </w:tc>
        <w:tc>
          <w:tcPr>
            <w:tcW w:type="dxa" w:w="3312"/>
            <w:shd w:fill="F2F6FC"/>
          </w:tcPr>
          <w:p>
            <w:r/>
            <w:r>
              <w:rPr>
                <w:rFonts w:ascii="Calibri" w:hAnsi="Calibri"/>
                <w:color w:val="333333"/>
                <w:sz w:val="18"/>
              </w:rPr>
              <w:t>finiq_date</w:t>
            </w:r>
          </w:p>
        </w:tc>
        <w:tc>
          <w:tcPr>
            <w:tcW w:type="dxa" w:w="1440"/>
            <w:shd w:fill="F2F6FC"/>
          </w:tcPr>
          <w:p>
            <w:r/>
            <w:r>
              <w:rPr>
                <w:rFonts w:ascii="Calibri" w:hAnsi="Calibri"/>
                <w:color w:val="333333"/>
                <w:sz w:val="18"/>
              </w:rPr>
              <w:t>MAPPED</w:t>
            </w:r>
          </w:p>
        </w:tc>
        <w:tc>
          <w:tcPr>
            <w:tcW w:type="dxa" w:w="2448"/>
            <w:shd w:fill="F2F6FC"/>
          </w:tcPr>
          <w:p>
            <w:r/>
            <w:r>
              <w:rPr>
                <w:rFonts w:ascii="Calibri" w:hAnsi="Calibri"/>
                <w:color w:val="333333"/>
                <w:sz w:val="18"/>
              </w:rPr>
              <w:t>Date_ID (int), Year, Period, Quarter</w:t>
            </w:r>
          </w:p>
        </w:tc>
      </w:tr>
      <w:tr>
        <w:tc>
          <w:tcPr>
            <w:tcW w:type="dxa" w:w="2160"/>
          </w:tcPr>
          <w:p>
            <w:r/>
            <w:r>
              <w:rPr>
                <w:rFonts w:ascii="Calibri" w:hAnsi="Calibri"/>
                <w:color w:val="333333"/>
                <w:sz w:val="18"/>
              </w:rPr>
              <w:t>KPIDefinition</w:t>
            </w:r>
          </w:p>
        </w:tc>
        <w:tc>
          <w:tcPr>
            <w:tcW w:type="dxa" w:w="3312"/>
          </w:tcPr>
          <w:p>
            <w:r/>
            <w:r>
              <w:rPr>
                <w:rFonts w:ascii="Calibri" w:hAnsi="Calibri"/>
                <w:color w:val="333333"/>
                <w:sz w:val="18"/>
              </w:rPr>
              <w:t>finiq_account_formula + finiq_dim_account</w:t>
            </w:r>
          </w:p>
        </w:tc>
        <w:tc>
          <w:tcPr>
            <w:tcW w:type="dxa" w:w="1440"/>
          </w:tcPr>
          <w:p>
            <w:r/>
            <w:r>
              <w:rPr>
                <w:rFonts w:ascii="Calibri" w:hAnsi="Calibri"/>
                <w:color w:val="333333"/>
                <w:sz w:val="18"/>
              </w:rPr>
              <w:t>MAPPED</w:t>
            </w:r>
          </w:p>
        </w:tc>
        <w:tc>
          <w:tcPr>
            <w:tcW w:type="dxa" w:w="2448"/>
          </w:tcPr>
          <w:p>
            <w:r/>
            <w:r>
              <w:rPr>
                <w:rFonts w:ascii="Calibri" w:hAnsi="Calibri"/>
                <w:color w:val="333333"/>
                <w:sz w:val="18"/>
              </w:rPr>
              <w:t>Account hierarchy + formula definitions provide KPI logic</w:t>
            </w:r>
          </w:p>
        </w:tc>
      </w:tr>
      <w:tr>
        <w:tc>
          <w:tcPr>
            <w:tcW w:type="dxa" w:w="2160"/>
            <w:shd w:fill="F2F6FC"/>
          </w:tcPr>
          <w:p>
            <w:r/>
            <w:r>
              <w:rPr>
                <w:rFonts w:ascii="Calibri" w:hAnsi="Calibri"/>
                <w:color w:val="333333"/>
                <w:sz w:val="18"/>
              </w:rPr>
              <w:t>FinancialFact</w:t>
            </w:r>
          </w:p>
        </w:tc>
        <w:tc>
          <w:tcPr>
            <w:tcW w:type="dxa" w:w="3312"/>
            <w:shd w:fill="F2F6FC"/>
          </w:tcPr>
          <w:p>
            <w:r/>
            <w:r>
              <w:rPr>
                <w:rFonts w:ascii="Calibri" w:hAnsi="Calibri"/>
                <w:color w:val="333333"/>
                <w:sz w:val="18"/>
              </w:rPr>
              <w:t>finiq_financial_cons (primary) + finiq_financial + finiq_financial_base</w:t>
            </w:r>
          </w:p>
        </w:tc>
        <w:tc>
          <w:tcPr>
            <w:tcW w:type="dxa" w:w="1440"/>
            <w:shd w:fill="F2F6FC"/>
          </w:tcPr>
          <w:p>
            <w:r/>
            <w:r>
              <w:rPr>
                <w:rFonts w:ascii="Calibri" w:hAnsi="Calibri"/>
                <w:color w:val="333333"/>
                <w:sz w:val="18"/>
              </w:rPr>
              <w:t>MAPPED</w:t>
            </w:r>
          </w:p>
        </w:tc>
        <w:tc>
          <w:tcPr>
            <w:tcW w:type="dxa" w:w="2448"/>
            <w:shd w:fill="F2F6FC"/>
          </w:tcPr>
          <w:p>
            <w:r/>
            <w:r>
              <w:rPr>
                <w:rFonts w:ascii="Calibri" w:hAnsi="Calibri"/>
                <w:color w:val="333333"/>
                <w:sz w:val="18"/>
              </w:rPr>
              <w:t>Three representations: denormalized (39-col), normalized (7-col), consolidated (9-col)</w:t>
            </w:r>
          </w:p>
        </w:tc>
      </w:tr>
      <w:tr>
        <w:tc>
          <w:tcPr>
            <w:tcW w:type="dxa" w:w="2160"/>
          </w:tcPr>
          <w:p>
            <w:r/>
            <w:r>
              <w:rPr>
                <w:rFonts w:ascii="Calibri" w:hAnsi="Calibri"/>
                <w:color w:val="333333"/>
                <w:sz w:val="18"/>
              </w:rPr>
              <w:t>CompetitorCompany</w:t>
            </w:r>
          </w:p>
        </w:tc>
        <w:tc>
          <w:tcPr>
            <w:tcW w:type="dxa" w:w="3312"/>
          </w:tcPr>
          <w:p>
            <w:r/>
            <w:r>
              <w:rPr>
                <w:rFonts w:ascii="Calibri" w:hAnsi="Calibri"/>
                <w:color w:val="333333"/>
                <w:sz w:val="18"/>
              </w:rPr>
              <w:t>—</w:t>
            </w:r>
          </w:p>
        </w:tc>
        <w:tc>
          <w:tcPr>
            <w:tcW w:type="dxa" w:w="1440"/>
          </w:tcPr>
          <w:p>
            <w:r/>
            <w:r>
              <w:rPr>
                <w:rFonts w:ascii="Calibri" w:hAnsi="Calibri"/>
                <w:color w:val="333333"/>
                <w:sz w:val="18"/>
              </w:rPr>
              <w:t>UNCHANGED</w:t>
            </w:r>
          </w:p>
        </w:tc>
        <w:tc>
          <w:tcPr>
            <w:tcW w:type="dxa" w:w="2448"/>
          </w:tcPr>
          <w:p>
            <w:r/>
            <w:r>
              <w:rPr>
                <w:rFonts w:ascii="Calibri" w:hAnsi="Calibri"/>
                <w:color w:val="333333"/>
                <w:sz w:val="18"/>
              </w:rPr>
              <w:t>Not in Databricks schema (CI data separate)</w:t>
            </w:r>
          </w:p>
        </w:tc>
      </w:tr>
      <w:tr>
        <w:tc>
          <w:tcPr>
            <w:tcW w:type="dxa" w:w="2160"/>
            <w:shd w:fill="F2F6FC"/>
          </w:tcPr>
          <w:p>
            <w:r/>
            <w:r>
              <w:rPr>
                <w:rFonts w:ascii="Calibri" w:hAnsi="Calibri"/>
                <w:color w:val="333333"/>
                <w:sz w:val="18"/>
              </w:rPr>
              <w:t>CompetitorDocument</w:t>
            </w:r>
          </w:p>
        </w:tc>
        <w:tc>
          <w:tcPr>
            <w:tcW w:type="dxa" w:w="3312"/>
            <w:shd w:fill="F2F6FC"/>
          </w:tcPr>
          <w:p>
            <w:r/>
            <w:r>
              <w:rPr>
                <w:rFonts w:ascii="Calibri" w:hAnsi="Calibri"/>
                <w:color w:val="333333"/>
                <w:sz w:val="18"/>
              </w:rPr>
              <w:t>—</w:t>
            </w:r>
          </w:p>
        </w:tc>
        <w:tc>
          <w:tcPr>
            <w:tcW w:type="dxa" w:w="1440"/>
            <w:shd w:fill="F2F6FC"/>
          </w:tcPr>
          <w:p>
            <w:r/>
            <w:r>
              <w:rPr>
                <w:rFonts w:ascii="Calibri" w:hAnsi="Calibri"/>
                <w:color w:val="333333"/>
                <w:sz w:val="18"/>
              </w:rPr>
              <w:t>UNCHANGED</w:t>
            </w:r>
          </w:p>
        </w:tc>
        <w:tc>
          <w:tcPr>
            <w:tcW w:type="dxa" w:w="2448"/>
            <w:shd w:fill="F2F6FC"/>
          </w:tcPr>
          <w:p>
            <w:r/>
            <w:r>
              <w:rPr>
                <w:rFonts w:ascii="Calibri" w:hAnsi="Calibri"/>
                <w:color w:val="333333"/>
                <w:sz w:val="18"/>
              </w:rPr>
              <w:t>Not in Databricks schema (CI data separate)</w:t>
            </w:r>
          </w:p>
        </w:tc>
      </w:tr>
      <w:tr>
        <w:tc>
          <w:tcPr>
            <w:tcW w:type="dxa" w:w="2160"/>
          </w:tcPr>
          <w:p>
            <w:r/>
            <w:r>
              <w:rPr>
                <w:rFonts w:ascii="Calibri" w:hAnsi="Calibri"/>
                <w:color w:val="333333"/>
                <w:sz w:val="18"/>
              </w:rPr>
              <w:t>DocumentChunk</w:t>
            </w:r>
          </w:p>
        </w:tc>
        <w:tc>
          <w:tcPr>
            <w:tcW w:type="dxa" w:w="3312"/>
          </w:tcPr>
          <w:p>
            <w:r/>
            <w:r>
              <w:rPr>
                <w:rFonts w:ascii="Calibri" w:hAnsi="Calibri"/>
                <w:color w:val="333333"/>
                <w:sz w:val="18"/>
              </w:rPr>
              <w:t>—</w:t>
            </w:r>
          </w:p>
        </w:tc>
        <w:tc>
          <w:tcPr>
            <w:tcW w:type="dxa" w:w="1440"/>
          </w:tcPr>
          <w:p>
            <w:r/>
            <w:r>
              <w:rPr>
                <w:rFonts w:ascii="Calibri" w:hAnsi="Calibri"/>
                <w:color w:val="333333"/>
                <w:sz w:val="18"/>
              </w:rPr>
              <w:t>UNCHANGED</w:t>
            </w:r>
          </w:p>
        </w:tc>
        <w:tc>
          <w:tcPr>
            <w:tcW w:type="dxa" w:w="2448"/>
          </w:tcPr>
          <w:p>
            <w:r/>
            <w:r>
              <w:rPr>
                <w:rFonts w:ascii="Calibri" w:hAnsi="Calibri"/>
                <w:color w:val="333333"/>
                <w:sz w:val="18"/>
              </w:rPr>
              <w:t>Not in Databricks schema (CI data separate)</w:t>
            </w:r>
          </w:p>
        </w:tc>
      </w:tr>
      <w:tr>
        <w:tc>
          <w:tcPr>
            <w:tcW w:type="dxa" w:w="2160"/>
            <w:shd w:fill="F2F6FC"/>
          </w:tcPr>
          <w:p>
            <w:r/>
            <w:r>
              <w:rPr>
                <w:rFonts w:ascii="Calibri" w:hAnsi="Calibri"/>
                <w:color w:val="333333"/>
                <w:sz w:val="18"/>
              </w:rPr>
              <w:t>GeneratedReport</w:t>
            </w:r>
          </w:p>
        </w:tc>
        <w:tc>
          <w:tcPr>
            <w:tcW w:type="dxa" w:w="3312"/>
            <w:shd w:fill="F2F6FC"/>
          </w:tcPr>
          <w:p>
            <w:r/>
            <w:r>
              <w:rPr>
                <w:rFonts w:ascii="Calibri" w:hAnsi="Calibri"/>
                <w:color w:val="333333"/>
                <w:sz w:val="18"/>
              </w:rPr>
              <w:t>—</w:t>
            </w:r>
          </w:p>
        </w:tc>
        <w:tc>
          <w:tcPr>
            <w:tcW w:type="dxa" w:w="1440"/>
            <w:shd w:fill="F2F6FC"/>
          </w:tcPr>
          <w:p>
            <w:r/>
            <w:r>
              <w:rPr>
                <w:rFonts w:ascii="Calibri" w:hAnsi="Calibri"/>
                <w:color w:val="333333"/>
                <w:sz w:val="18"/>
              </w:rPr>
              <w:t>UNCHANGED</w:t>
            </w:r>
          </w:p>
        </w:tc>
        <w:tc>
          <w:tcPr>
            <w:tcW w:type="dxa" w:w="2448"/>
            <w:shd w:fill="F2F6FC"/>
          </w:tcPr>
          <w:p>
            <w:r/>
            <w:r>
              <w:rPr>
                <w:rFonts w:ascii="Calibri" w:hAnsi="Calibri"/>
                <w:color w:val="333333"/>
                <w:sz w:val="18"/>
              </w:rPr>
              <w:t>FinIQ application entity (Redis/Cosmos)</w:t>
            </w:r>
          </w:p>
        </w:tc>
      </w:tr>
      <w:tr>
        <w:tc>
          <w:tcPr>
            <w:tcW w:type="dxa" w:w="2160"/>
          </w:tcPr>
          <w:p>
            <w:r/>
            <w:r>
              <w:rPr>
                <w:rFonts w:ascii="Calibri" w:hAnsi="Calibri"/>
                <w:color w:val="333333"/>
                <w:sz w:val="18"/>
              </w:rPr>
              <w:t>Job</w:t>
            </w:r>
          </w:p>
        </w:tc>
        <w:tc>
          <w:tcPr>
            <w:tcW w:type="dxa" w:w="3312"/>
          </w:tcPr>
          <w:p>
            <w:r/>
            <w:r>
              <w:rPr>
                <w:rFonts w:ascii="Calibri" w:hAnsi="Calibri"/>
                <w:color w:val="333333"/>
                <w:sz w:val="18"/>
              </w:rPr>
              <w:t>—</w:t>
            </w:r>
          </w:p>
        </w:tc>
        <w:tc>
          <w:tcPr>
            <w:tcW w:type="dxa" w:w="1440"/>
          </w:tcPr>
          <w:p>
            <w:r/>
            <w:r>
              <w:rPr>
                <w:rFonts w:ascii="Calibri" w:hAnsi="Calibri"/>
                <w:color w:val="333333"/>
                <w:sz w:val="18"/>
              </w:rPr>
              <w:t>UNCHANGED</w:t>
            </w:r>
          </w:p>
        </w:tc>
        <w:tc>
          <w:tcPr>
            <w:tcW w:type="dxa" w:w="2448"/>
          </w:tcPr>
          <w:p>
            <w:r/>
            <w:r>
              <w:rPr>
                <w:rFonts w:ascii="Calibri" w:hAnsi="Calibri"/>
                <w:color w:val="333333"/>
                <w:sz w:val="18"/>
              </w:rPr>
              <w:t>FinIQ application entity (Service Bus/SQL)</w:t>
            </w:r>
          </w:p>
        </w:tc>
      </w:tr>
      <w:tr>
        <w:tc>
          <w:tcPr>
            <w:tcW w:type="dxa" w:w="2160"/>
            <w:shd w:fill="F2F6FC"/>
          </w:tcPr>
          <w:p>
            <w:r/>
            <w:r>
              <w:rPr>
                <w:rFonts w:ascii="Calibri" w:hAnsi="Calibri"/>
                <w:color w:val="333333"/>
                <w:sz w:val="18"/>
              </w:rPr>
              <w:t>Agent</w:t>
            </w:r>
          </w:p>
        </w:tc>
        <w:tc>
          <w:tcPr>
            <w:tcW w:type="dxa" w:w="3312"/>
            <w:shd w:fill="F2F6FC"/>
          </w:tcPr>
          <w:p>
            <w:r/>
            <w:r>
              <w:rPr>
                <w:rFonts w:ascii="Calibri" w:hAnsi="Calibri"/>
                <w:color w:val="333333"/>
                <w:sz w:val="18"/>
              </w:rPr>
              <w:t>—</w:t>
            </w:r>
          </w:p>
        </w:tc>
        <w:tc>
          <w:tcPr>
            <w:tcW w:type="dxa" w:w="1440"/>
            <w:shd w:fill="F2F6FC"/>
          </w:tcPr>
          <w:p>
            <w:r/>
            <w:r>
              <w:rPr>
                <w:rFonts w:ascii="Calibri" w:hAnsi="Calibri"/>
                <w:color w:val="333333"/>
                <w:sz w:val="18"/>
              </w:rPr>
              <w:t>UNCHANGED</w:t>
            </w:r>
          </w:p>
        </w:tc>
        <w:tc>
          <w:tcPr>
            <w:tcW w:type="dxa" w:w="2448"/>
            <w:shd w:fill="F2F6FC"/>
          </w:tcPr>
          <w:p>
            <w:r/>
            <w:r>
              <w:rPr>
                <w:rFonts w:ascii="Calibri" w:hAnsi="Calibri"/>
                <w:color w:val="333333"/>
                <w:sz w:val="18"/>
              </w:rPr>
              <w:t>FinIQ application entity</w:t>
            </w:r>
          </w:p>
        </w:tc>
      </w:tr>
      <w:tr>
        <w:tc>
          <w:tcPr>
            <w:tcW w:type="dxa" w:w="2160"/>
          </w:tcPr>
          <w:p>
            <w:r/>
            <w:r>
              <w:rPr>
                <w:rFonts w:ascii="Calibri" w:hAnsi="Calibri"/>
                <w:color w:val="333333"/>
                <w:sz w:val="18"/>
              </w:rPr>
              <w:t>PeerGroup</w:t>
            </w:r>
          </w:p>
        </w:tc>
        <w:tc>
          <w:tcPr>
            <w:tcW w:type="dxa" w:w="3312"/>
          </w:tcPr>
          <w:p>
            <w:r/>
            <w:r>
              <w:rPr>
                <w:rFonts w:ascii="Calibri" w:hAnsi="Calibri"/>
                <w:color w:val="333333"/>
                <w:sz w:val="18"/>
              </w:rPr>
              <w:t>—</w:t>
            </w:r>
          </w:p>
        </w:tc>
        <w:tc>
          <w:tcPr>
            <w:tcW w:type="dxa" w:w="1440"/>
          </w:tcPr>
          <w:p>
            <w:r/>
            <w:r>
              <w:rPr>
                <w:rFonts w:ascii="Calibri" w:hAnsi="Calibri"/>
                <w:color w:val="333333"/>
                <w:sz w:val="18"/>
              </w:rPr>
              <w:t>UNCHANGED</w:t>
            </w:r>
          </w:p>
        </w:tc>
        <w:tc>
          <w:tcPr>
            <w:tcW w:type="dxa" w:w="2448"/>
          </w:tcPr>
          <w:p>
            <w:r/>
            <w:r>
              <w:rPr>
                <w:rFonts w:ascii="Calibri" w:hAnsi="Calibri"/>
                <w:color w:val="333333"/>
                <w:sz w:val="18"/>
              </w:rPr>
              <w:t>FinIQ application entity</w:t>
            </w:r>
          </w:p>
        </w:tc>
      </w:tr>
      <w:tr>
        <w:tc>
          <w:tcPr>
            <w:tcW w:type="dxa" w:w="2160"/>
            <w:shd w:fill="F2F6FC"/>
          </w:tcPr>
          <w:p>
            <w:r/>
            <w:r>
              <w:rPr>
                <w:rFonts w:ascii="Calibri" w:hAnsi="Calibri"/>
                <w:color w:val="333333"/>
                <w:sz w:val="18"/>
              </w:rPr>
              <w:t>PromptTemplate</w:t>
            </w:r>
          </w:p>
        </w:tc>
        <w:tc>
          <w:tcPr>
            <w:tcW w:type="dxa" w:w="3312"/>
            <w:shd w:fill="F2F6FC"/>
          </w:tcPr>
          <w:p>
            <w:r/>
            <w:r>
              <w:rPr>
                <w:rFonts w:ascii="Calibri" w:hAnsi="Calibri"/>
                <w:color w:val="333333"/>
                <w:sz w:val="18"/>
              </w:rPr>
              <w:t>—</w:t>
            </w:r>
          </w:p>
        </w:tc>
        <w:tc>
          <w:tcPr>
            <w:tcW w:type="dxa" w:w="1440"/>
            <w:shd w:fill="F2F6FC"/>
          </w:tcPr>
          <w:p>
            <w:r/>
            <w:r>
              <w:rPr>
                <w:rFonts w:ascii="Calibri" w:hAnsi="Calibri"/>
                <w:color w:val="333333"/>
                <w:sz w:val="18"/>
              </w:rPr>
              <w:t>UNCHANGED</w:t>
            </w:r>
          </w:p>
        </w:tc>
        <w:tc>
          <w:tcPr>
            <w:tcW w:type="dxa" w:w="2448"/>
            <w:shd w:fill="F2F6FC"/>
          </w:tcPr>
          <w:p>
            <w:r/>
            <w:r>
              <w:rPr>
                <w:rFonts w:ascii="Calibri" w:hAnsi="Calibri"/>
                <w:color w:val="333333"/>
                <w:sz w:val="18"/>
              </w:rPr>
              <w:t>FinIQ application entity (Cosmos DB)</w:t>
            </w:r>
          </w:p>
        </w:tc>
      </w:tr>
      <w:tr>
        <w:tc>
          <w:tcPr>
            <w:tcW w:type="dxa" w:w="2160"/>
          </w:tcPr>
          <w:p>
            <w:r/>
            <w:r>
              <w:rPr>
                <w:rFonts w:ascii="Calibri" w:hAnsi="Calibri"/>
                <w:color w:val="333333"/>
                <w:sz w:val="18"/>
              </w:rPr>
              <w:t>AuditLog</w:t>
            </w:r>
          </w:p>
        </w:tc>
        <w:tc>
          <w:tcPr>
            <w:tcW w:type="dxa" w:w="3312"/>
          </w:tcPr>
          <w:p>
            <w:r/>
            <w:r>
              <w:rPr>
                <w:rFonts w:ascii="Calibri" w:hAnsi="Calibri"/>
                <w:color w:val="333333"/>
                <w:sz w:val="18"/>
              </w:rPr>
              <w:t>—</w:t>
            </w:r>
          </w:p>
        </w:tc>
        <w:tc>
          <w:tcPr>
            <w:tcW w:type="dxa" w:w="1440"/>
          </w:tcPr>
          <w:p>
            <w:r/>
            <w:r>
              <w:rPr>
                <w:rFonts w:ascii="Calibri" w:hAnsi="Calibri"/>
                <w:color w:val="333333"/>
                <w:sz w:val="18"/>
              </w:rPr>
              <w:t>UNCHANGED</w:t>
            </w:r>
          </w:p>
        </w:tc>
        <w:tc>
          <w:tcPr>
            <w:tcW w:type="dxa" w:w="2448"/>
          </w:tcPr>
          <w:p>
            <w:r/>
            <w:r>
              <w:rPr>
                <w:rFonts w:ascii="Calibri" w:hAnsi="Calibri"/>
                <w:color w:val="333333"/>
                <w:sz w:val="18"/>
              </w:rPr>
              <w:t>FinIQ application entity (Cosmos DB)</w:t>
            </w:r>
          </w:p>
        </w:tc>
      </w:tr>
      <w:tr>
        <w:tc>
          <w:tcPr>
            <w:tcW w:type="dxa" w:w="2160"/>
            <w:shd w:fill="F2F6FC"/>
          </w:tcPr>
          <w:p>
            <w:r/>
            <w:r>
              <w:rPr>
                <w:rFonts w:ascii="Calibri" w:hAnsi="Calibri"/>
                <w:color w:val="333333"/>
                <w:sz w:val="18"/>
              </w:rPr>
              <w:t>DashboardConfig</w:t>
            </w:r>
          </w:p>
        </w:tc>
        <w:tc>
          <w:tcPr>
            <w:tcW w:type="dxa" w:w="3312"/>
            <w:shd w:fill="F2F6FC"/>
          </w:tcPr>
          <w:p>
            <w:r/>
            <w:r>
              <w:rPr>
                <w:rFonts w:ascii="Calibri" w:hAnsi="Calibri"/>
                <w:color w:val="333333"/>
                <w:sz w:val="18"/>
              </w:rPr>
              <w:t>—</w:t>
            </w:r>
          </w:p>
        </w:tc>
        <w:tc>
          <w:tcPr>
            <w:tcW w:type="dxa" w:w="1440"/>
            <w:shd w:fill="F2F6FC"/>
          </w:tcPr>
          <w:p>
            <w:r/>
            <w:r>
              <w:rPr>
                <w:rFonts w:ascii="Calibri" w:hAnsi="Calibri"/>
                <w:color w:val="333333"/>
                <w:sz w:val="18"/>
              </w:rPr>
              <w:t>UNCHANGED</w:t>
            </w:r>
          </w:p>
        </w:tc>
        <w:tc>
          <w:tcPr>
            <w:tcW w:type="dxa" w:w="2448"/>
            <w:shd w:fill="F2F6FC"/>
          </w:tcPr>
          <w:p>
            <w:r/>
            <w:r>
              <w:rPr>
                <w:rFonts w:ascii="Calibri" w:hAnsi="Calibri"/>
                <w:color w:val="333333"/>
                <w:sz w:val="18"/>
              </w:rPr>
              <w:t>FinIQ application entity</w:t>
            </w:r>
          </w:p>
        </w:tc>
      </w:tr>
    </w:tbl>
    <w:p/>
    <w:p>
      <w:pPr>
        <w:pStyle w:val="Heading3"/>
      </w:pPr>
      <w:r>
        <w:t>3.7.2 New Entities from Databricks (Not in Base SRS)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Databricks Table</w:t>
            </w:r>
          </w:p>
        </w:tc>
        <w:tc>
          <w:tcPr>
            <w:tcW w:type="dxa" w:w="2880"/>
            <w:shd w:fill="1A56DB"/>
          </w:tcPr>
          <w:p>
            <w:r/>
            <w:r>
              <w:rPr>
                <w:rFonts w:ascii="Calibri" w:hAnsi="Calibri"/>
                <w:b/>
                <w:color w:val="FFFFFF"/>
                <w:sz w:val="20"/>
              </w:rPr>
              <w:t>Entity Purpose</w:t>
            </w:r>
          </w:p>
        </w:tc>
        <w:tc>
          <w:tcPr>
            <w:tcW w:type="dxa" w:w="4320"/>
            <w:shd w:fill="1A56DB"/>
          </w:tcPr>
          <w:p>
            <w:r/>
            <w:r>
              <w:rPr>
                <w:rFonts w:ascii="Calibri" w:hAnsi="Calibri"/>
                <w:b/>
                <w:color w:val="FFFFFF"/>
                <w:sz w:val="20"/>
              </w:rPr>
              <w:t>Key Attributes</w:t>
            </w:r>
          </w:p>
        </w:tc>
      </w:tr>
      <w:tr>
        <w:tc>
          <w:tcPr>
            <w:tcW w:type="dxa" w:w="2160"/>
          </w:tcPr>
          <w:p>
            <w:r/>
            <w:r>
              <w:rPr>
                <w:rFonts w:ascii="Calibri" w:hAnsi="Calibri"/>
                <w:color w:val="333333"/>
                <w:sz w:val="18"/>
              </w:rPr>
              <w:t>finiq_composite_item</w:t>
            </w:r>
          </w:p>
        </w:tc>
        <w:tc>
          <w:tcPr>
            <w:tcW w:type="dxa" w:w="2880"/>
          </w:tcPr>
          <w:p>
            <w:r/>
            <w:r>
              <w:rPr>
                <w:rFonts w:ascii="Calibri" w:hAnsi="Calibri"/>
                <w:color w:val="333333"/>
                <w:sz w:val="18"/>
              </w:rPr>
              <w:t>Product master taxonomy (12 attributes)</w:t>
            </w:r>
          </w:p>
        </w:tc>
        <w:tc>
          <w:tcPr>
            <w:tcW w:type="dxa" w:w="4320"/>
          </w:tcPr>
          <w:p>
            <w:r/>
            <w:r>
              <w:rPr>
                <w:rFonts w:ascii="Calibri" w:hAnsi="Calibri"/>
                <w:color w:val="333333"/>
                <w:sz w:val="18"/>
              </w:rPr>
              <w:t>Composite_Item_ID, EC_Group, Technology, Supply_Tech, Segment, Business_Segment, Market_Segment, Brand_ID, Brand, Consumer_Pack_Format, Product_Consolidation, Product_Category</w:t>
            </w:r>
          </w:p>
        </w:tc>
      </w:tr>
      <w:tr>
        <w:tc>
          <w:tcPr>
            <w:tcW w:type="dxa" w:w="2160"/>
            <w:shd w:fill="F2F6FC"/>
          </w:tcPr>
          <w:p>
            <w:r/>
            <w:r>
              <w:rPr>
                <w:rFonts w:ascii="Calibri" w:hAnsi="Calibri"/>
                <w:color w:val="333333"/>
                <w:sz w:val="18"/>
              </w:rPr>
              <w:t>finiq_item</w:t>
            </w:r>
          </w:p>
        </w:tc>
        <w:tc>
          <w:tcPr>
            <w:tcW w:type="dxa" w:w="2880"/>
            <w:shd w:fill="F2F6FC"/>
          </w:tcPr>
          <w:p>
            <w:r/>
            <w:r>
              <w:rPr>
                <w:rFonts w:ascii="Calibri" w:hAnsi="Calibri"/>
                <w:color w:val="333333"/>
                <w:sz w:val="18"/>
              </w:rPr>
              <w:t>Granular product dimension (15 attributes, ID+Alias pairs)</w:t>
            </w:r>
          </w:p>
        </w:tc>
        <w:tc>
          <w:tcPr>
            <w:tcW w:type="dxa" w:w="4320"/>
            <w:shd w:fill="F2F6FC"/>
          </w:tcPr>
          <w:p>
            <w:r/>
            <w:r>
              <w:rPr>
                <w:rFonts w:ascii="Calibri" w:hAnsi="Calibri"/>
                <w:color w:val="333333"/>
                <w:sz w:val="18"/>
              </w:rPr>
              <w:t>Item_ID, EC_Group_ID/Alias, Brand_Flag_ID/Alias, Financial_Product_Segment_ID/Alias, Market_Segment_ID/Alias, Supply_Tech_ID/Alias, Business_Segment_ID/Alias, Product_Category_Consolidation_ID/Alias</w:t>
            </w:r>
          </w:p>
        </w:tc>
      </w:tr>
      <w:tr>
        <w:tc>
          <w:tcPr>
            <w:tcW w:type="dxa" w:w="2160"/>
          </w:tcPr>
          <w:p>
            <w:r/>
            <w:r>
              <w:rPr>
                <w:rFonts w:ascii="Calibri" w:hAnsi="Calibri"/>
                <w:color w:val="333333"/>
                <w:sz w:val="18"/>
              </w:rPr>
              <w:t>finiq_item_composite_item</w:t>
            </w:r>
          </w:p>
        </w:tc>
        <w:tc>
          <w:tcPr>
            <w:tcW w:type="dxa" w:w="2880"/>
          </w:tcPr>
          <w:p>
            <w:r/>
            <w:r>
              <w:rPr>
                <w:rFonts w:ascii="Calibri" w:hAnsi="Calibri"/>
                <w:color w:val="333333"/>
                <w:sz w:val="18"/>
              </w:rPr>
              <w:t>Bridge table: item → composite item</w:t>
            </w:r>
          </w:p>
        </w:tc>
        <w:tc>
          <w:tcPr>
            <w:tcW w:type="dxa" w:w="4320"/>
          </w:tcPr>
          <w:p>
            <w:r/>
            <w:r>
              <w:rPr>
                <w:rFonts w:ascii="Calibri" w:hAnsi="Calibri"/>
                <w:color w:val="333333"/>
                <w:sz w:val="18"/>
              </w:rPr>
              <w:t>Item_ID, Composite_Item_ID, IT_EC_Group_ID</w:t>
            </w:r>
          </w:p>
        </w:tc>
      </w:tr>
      <w:tr>
        <w:tc>
          <w:tcPr>
            <w:tcW w:type="dxa" w:w="2160"/>
            <w:shd w:fill="F2F6FC"/>
          </w:tcPr>
          <w:p>
            <w:r/>
            <w:r>
              <w:rPr>
                <w:rFonts w:ascii="Calibri" w:hAnsi="Calibri"/>
                <w:color w:val="333333"/>
                <w:sz w:val="18"/>
              </w:rPr>
              <w:t>finiq_customer</w:t>
            </w:r>
          </w:p>
        </w:tc>
        <w:tc>
          <w:tcPr>
            <w:tcW w:type="dxa" w:w="2880"/>
            <w:shd w:fill="F2F6FC"/>
          </w:tcPr>
          <w:p>
            <w:r/>
            <w:r>
              <w:rPr>
                <w:rFonts w:ascii="Calibri" w:hAnsi="Calibri"/>
                <w:color w:val="333333"/>
                <w:sz w:val="18"/>
              </w:rPr>
              <w:t>Customer dimension (11 attributes)</w:t>
            </w:r>
          </w:p>
        </w:tc>
        <w:tc>
          <w:tcPr>
            <w:tcW w:type="dxa" w:w="4320"/>
            <w:shd w:fill="F2F6FC"/>
          </w:tcPr>
          <w:p>
            <w:r/>
            <w:r>
              <w:rPr>
                <w:rFonts w:ascii="Calibri" w:hAnsi="Calibri"/>
                <w:color w:val="333333"/>
                <w:sz w:val="18"/>
              </w:rPr>
              <w:t>Entity_Customer_ID, Customer_ID, Country, Customer_Name, SCM_ID, Customer_Level_1/2/3, Customer_Channel, Customer_Format, Customer_Subformat</w:t>
            </w:r>
          </w:p>
        </w:tc>
      </w:tr>
      <w:tr>
        <w:tc>
          <w:tcPr>
            <w:tcW w:type="dxa" w:w="2160"/>
          </w:tcPr>
          <w:p>
            <w:r/>
            <w:r>
              <w:rPr>
                <w:rFonts w:ascii="Calibri" w:hAnsi="Calibri"/>
                <w:color w:val="333333"/>
                <w:sz w:val="18"/>
              </w:rPr>
              <w:t>finiq_customer_map</w:t>
            </w:r>
          </w:p>
        </w:tc>
        <w:tc>
          <w:tcPr>
            <w:tcW w:type="dxa" w:w="2880"/>
          </w:tcPr>
          <w:p>
            <w:r/>
            <w:r>
              <w:rPr>
                <w:rFonts w:ascii="Calibri" w:hAnsi="Calibri"/>
                <w:color w:val="333333"/>
                <w:sz w:val="18"/>
              </w:rPr>
              <w:t>Customer hierarchy mapping</w:t>
            </w:r>
          </w:p>
        </w:tc>
        <w:tc>
          <w:tcPr>
            <w:tcW w:type="dxa" w:w="4320"/>
          </w:tcPr>
          <w:p>
            <w:r/>
            <w:r>
              <w:rPr>
                <w:rFonts w:ascii="Calibri" w:hAnsi="Calibri"/>
                <w:color w:val="333333"/>
                <w:sz w:val="18"/>
              </w:rPr>
              <w:t>Child_Entity_ID, Child_Customer_ID, Parent_Entity_ID, Parent_Customer_ID, Entity_Customer_ID</w:t>
            </w:r>
          </w:p>
        </w:tc>
      </w:tr>
      <w:tr>
        <w:tc>
          <w:tcPr>
            <w:tcW w:type="dxa" w:w="2160"/>
            <w:shd w:fill="F2F6FC"/>
          </w:tcPr>
          <w:p>
            <w:r/>
            <w:r>
              <w:rPr>
                <w:rFonts w:ascii="Calibri" w:hAnsi="Calibri"/>
                <w:color w:val="333333"/>
                <w:sz w:val="18"/>
              </w:rPr>
              <w:t>finiq_economic_cell</w:t>
            </w:r>
          </w:p>
        </w:tc>
        <w:tc>
          <w:tcPr>
            <w:tcW w:type="dxa" w:w="2880"/>
            <w:shd w:fill="F2F6FC"/>
          </w:tcPr>
          <w:p>
            <w:r/>
            <w:r>
              <w:rPr>
                <w:rFonts w:ascii="Calibri" w:hAnsi="Calibri"/>
                <w:color w:val="333333"/>
                <w:sz w:val="18"/>
              </w:rPr>
              <w:t>Economic cell classification</w:t>
            </w:r>
          </w:p>
        </w:tc>
        <w:tc>
          <w:tcPr>
            <w:tcW w:type="dxa" w:w="4320"/>
            <w:shd w:fill="F2F6FC"/>
          </w:tcPr>
          <w:p>
            <w:r/>
            <w:r>
              <w:rPr>
                <w:rFonts w:ascii="Calibri" w:hAnsi="Calibri"/>
                <w:color w:val="333333"/>
                <w:sz w:val="18"/>
              </w:rPr>
              <w:t>Economic_Cell_ID, Economic_Cell, Archetype</w:t>
            </w:r>
          </w:p>
        </w:tc>
      </w:tr>
      <w:tr>
        <w:tc>
          <w:tcPr>
            <w:tcW w:type="dxa" w:w="2160"/>
          </w:tcPr>
          <w:p>
            <w:r/>
            <w:r>
              <w:rPr>
                <w:rFonts w:ascii="Calibri" w:hAnsi="Calibri"/>
                <w:color w:val="333333"/>
                <w:sz w:val="18"/>
              </w:rPr>
              <w:t>finiq_account_input</w:t>
            </w:r>
          </w:p>
        </w:tc>
        <w:tc>
          <w:tcPr>
            <w:tcW w:type="dxa" w:w="2880"/>
          </w:tcPr>
          <w:p>
            <w:r/>
            <w:r>
              <w:rPr>
                <w:rFonts w:ascii="Calibri" w:hAnsi="Calibri"/>
                <w:color w:val="333333"/>
                <w:sz w:val="18"/>
              </w:rPr>
              <w:t>Account-to-statement mapping</w:t>
            </w:r>
          </w:p>
        </w:tc>
        <w:tc>
          <w:tcPr>
            <w:tcW w:type="dxa" w:w="4320"/>
          </w:tcPr>
          <w:p>
            <w:r/>
            <w:r>
              <w:rPr>
                <w:rFonts w:ascii="Calibri" w:hAnsi="Calibri"/>
                <w:color w:val="333333"/>
                <w:sz w:val="18"/>
              </w:rPr>
              <w:t>Statement, Account_ID, Generation</w:t>
            </w:r>
          </w:p>
        </w:tc>
      </w:tr>
      <w:tr>
        <w:tc>
          <w:tcPr>
            <w:tcW w:type="dxa" w:w="2160"/>
            <w:shd w:fill="F2F6FC"/>
          </w:tcPr>
          <w:p>
            <w:r/>
            <w:r>
              <w:rPr>
                <w:rFonts w:ascii="Calibri" w:hAnsi="Calibri"/>
                <w:color w:val="333333"/>
                <w:sz w:val="18"/>
              </w:rPr>
              <w:t>finiq_financial_replan</w:t>
            </w:r>
          </w:p>
        </w:tc>
        <w:tc>
          <w:tcPr>
            <w:tcW w:type="dxa" w:w="2880"/>
            <w:shd w:fill="F2F6FC"/>
          </w:tcPr>
          <w:p>
            <w:r/>
            <w:r>
              <w:rPr>
                <w:rFonts w:ascii="Calibri" w:hAnsi="Calibri"/>
                <w:color w:val="333333"/>
                <w:sz w:val="18"/>
              </w:rPr>
              <w:t>Actual vs. Replan fact (18 cols)</w:t>
            </w:r>
          </w:p>
        </w:tc>
        <w:tc>
          <w:tcPr>
            <w:tcW w:type="dxa" w:w="4320"/>
            <w:shd w:fill="F2F6FC"/>
          </w:tcPr>
          <w:p>
            <w:r/>
            <w:r>
              <w:rPr>
                <w:rFonts w:ascii="Calibri" w:hAnsi="Calibri"/>
                <w:color w:val="333333"/>
                <w:sz w:val="18"/>
              </w:rPr>
              <w:t>Submission_Type_ID, Date_ID, Year, Quarter, Entity, Account_KPI, Actual_USD/Local_Value, Replan_USD/Local_Value</w:t>
            </w:r>
          </w:p>
        </w:tc>
      </w:tr>
      <w:tr>
        <w:tc>
          <w:tcPr>
            <w:tcW w:type="dxa" w:w="2160"/>
          </w:tcPr>
          <w:p>
            <w:r/>
            <w:r>
              <w:rPr>
                <w:rFonts w:ascii="Calibri" w:hAnsi="Calibri"/>
                <w:color w:val="333333"/>
                <w:sz w:val="18"/>
              </w:rPr>
              <w:t>finiq_financial_replan_cons</w:t>
            </w:r>
          </w:p>
        </w:tc>
        <w:tc>
          <w:tcPr>
            <w:tcW w:type="dxa" w:w="2880"/>
          </w:tcPr>
          <w:p>
            <w:r/>
            <w:r>
              <w:rPr>
                <w:rFonts w:ascii="Calibri" w:hAnsi="Calibri"/>
                <w:color w:val="333333"/>
                <w:sz w:val="18"/>
              </w:rPr>
              <w:t>Consolidated replan fact (6 cols)</w:t>
            </w:r>
          </w:p>
        </w:tc>
        <w:tc>
          <w:tcPr>
            <w:tcW w:type="dxa" w:w="4320"/>
          </w:tcPr>
          <w:p>
            <w:r/>
            <w:r>
              <w:rPr>
                <w:rFonts w:ascii="Calibri" w:hAnsi="Calibri"/>
                <w:color w:val="333333"/>
                <w:sz w:val="18"/>
              </w:rPr>
              <w:t>Date_ID, Entity_ID, Account_ID, Currency_ID, USD_Value, Local_Value</w:t>
            </w:r>
          </w:p>
        </w:tc>
      </w:tr>
      <w:tr>
        <w:tc>
          <w:tcPr>
            <w:tcW w:type="dxa" w:w="2160"/>
            <w:shd w:fill="F2F6FC"/>
          </w:tcPr>
          <w:p>
            <w:r/>
            <w:r>
              <w:rPr>
                <w:rFonts w:ascii="Calibri" w:hAnsi="Calibri"/>
                <w:color w:val="333333"/>
                <w:sz w:val="18"/>
              </w:rPr>
              <w:t>finiq_rls_last_change</w:t>
            </w:r>
          </w:p>
        </w:tc>
        <w:tc>
          <w:tcPr>
            <w:tcW w:type="dxa" w:w="2880"/>
            <w:shd w:fill="F2F6FC"/>
          </w:tcPr>
          <w:p>
            <w:r/>
            <w:r>
              <w:rPr>
                <w:rFonts w:ascii="Calibri" w:hAnsi="Calibri"/>
                <w:color w:val="333333"/>
                <w:sz w:val="18"/>
              </w:rPr>
              <w:t>Row-level security tracking</w:t>
            </w:r>
          </w:p>
        </w:tc>
        <w:tc>
          <w:tcPr>
            <w:tcW w:type="dxa" w:w="4320"/>
            <w:shd w:fill="F2F6FC"/>
          </w:tcPr>
          <w:p>
            <w:r/>
            <w:r>
              <w:rPr>
                <w:rFonts w:ascii="Calibri" w:hAnsi="Calibri"/>
                <w:color w:val="333333"/>
                <w:sz w:val="18"/>
              </w:rPr>
              <w:t>Last_Change (timestamp), Version (bigint)</w:t>
            </w:r>
          </w:p>
        </w:tc>
      </w:tr>
    </w:tbl>
    <w:p/>
    <w:p>
      <w:r>
        <w:br w:type="page"/>
      </w:r>
    </w:p>
    <w:p>
      <w:pPr>
        <w:pStyle w:val="Heading2"/>
      </w:pPr>
      <w:r>
        <w:t>3.8 Amendments to Section 5: System Architecture</w:t>
      </w:r>
    </w:p>
    <w:p>
      <w:pPr>
        <w:pStyle w:val="Heading3"/>
      </w:pPr>
      <w:r>
        <w:t>3.8.1 Layer 4: Data Layer [AMENDED]</w:t>
      </w:r>
    </w:p>
    <w:p>
      <w:pPr>
        <w:spacing w:after="80"/>
      </w:pPr>
      <w:r>
        <w:rPr>
          <w:i/>
        </w:rPr>
        <w:t>The base SRS Layer 4 description is amended to include Databricks connectivity:</w:t>
      </w:r>
    </w:p>
    <w:p>
      <w:pPr>
        <w:spacing w:after="120"/>
      </w:pPr>
      <w:r>
        <w:rPr>
          <w:b/>
        </w:rPr>
        <w:t>Layer 4: Data Layer (Amended)</w:t>
      </w:r>
    </w:p>
    <w:p>
      <w:pPr>
        <w:pStyle w:val="ListBullet"/>
        <w:spacing w:after="40"/>
      </w:pPr>
      <w:r>
        <w:t>Primary Data Source: Databricks/FinSight (finsight_core_model_mvp3 schema via Databricks SQL Connector or Unity Catalog REST API)</w:t>
      </w:r>
    </w:p>
    <w:p>
      <w:pPr>
        <w:pStyle w:val="ListBullet"/>
        <w:spacing w:after="40"/>
      </w:pPr>
      <w:r>
        <w:t>Unified Data Store: Azure SQL Database for FinIQ application data (jobs, configs, audit logs) + synchronized dimension data from Databricks</w:t>
      </w:r>
    </w:p>
    <w:p>
      <w:pPr>
        <w:pStyle w:val="ListBullet"/>
        <w:spacing w:after="40"/>
      </w:pPr>
      <w:r>
        <w:t>Document Store: Azure Blob Storage (raw documents) + Azure AI Search (indexed chunks) — unchanged</w:t>
      </w:r>
    </w:p>
    <w:p>
      <w:pPr>
        <w:pStyle w:val="ListBullet"/>
        <w:spacing w:after="40"/>
      </w:pPr>
      <w:r>
        <w:t>Cache Layer: Azure Redis Cache for generated reports, Databricks query results, and KPI summaries — unchanged</w:t>
      </w:r>
    </w:p>
    <w:p>
      <w:pPr>
        <w:pStyle w:val="ListBullet"/>
        <w:spacing w:after="40"/>
      </w:pPr>
      <w:r>
        <w:t>Metadata Catalog: Azure Cosmos DB for data lineage, audit logs, and configuration — unchanged</w:t>
      </w:r>
    </w:p>
    <w:p>
      <w:pPr>
        <w:pStyle w:val="ListBullet"/>
        <w:spacing w:after="40"/>
      </w:pPr>
      <w:r>
        <w:t>Fallback Data Source: Azure Blob Storage for Excel workbook ingestion when Databricks is unavailable</w:t>
      </w:r>
    </w:p>
    <w:p>
      <w:pPr>
        <w:pStyle w:val="Heading3"/>
      </w:pPr>
      <w:r>
        <w:t>3.8.2 Component Topology [EXTENDED]</w:t>
      </w:r>
    </w:p>
    <w:p>
      <w:pPr>
        <w:spacing w:after="80"/>
      </w:pPr>
      <w:r>
        <w:rPr>
          <w:i/>
        </w:rPr>
        <w:t>The following component is added to the base SRS component topology table: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Component</w:t>
            </w:r>
          </w:p>
        </w:tc>
        <w:tc>
          <w:tcPr>
            <w:tcW w:type="dxa" w:w="3600"/>
            <w:shd w:fill="1A56DB"/>
          </w:tcPr>
          <w:p>
            <w:r/>
            <w:r>
              <w:rPr>
                <w:rFonts w:ascii="Calibri" w:hAnsi="Calibri"/>
                <w:b/>
                <w:color w:val="FFFFFF"/>
                <w:sz w:val="20"/>
              </w:rPr>
              <w:t>Technology</w:t>
            </w:r>
          </w:p>
        </w:tc>
        <w:tc>
          <w:tcPr>
            <w:tcW w:type="dxa" w:w="3168"/>
            <w:shd w:fill="1A56DB"/>
          </w:tcPr>
          <w:p>
            <w:r/>
            <w:r>
              <w:rPr>
                <w:rFonts w:ascii="Calibri" w:hAnsi="Calibri"/>
                <w:b/>
                <w:color w:val="FFFFFF"/>
                <w:sz w:val="20"/>
              </w:rPr>
              <w:t>Purpose</w:t>
            </w:r>
          </w:p>
        </w:tc>
      </w:tr>
      <w:tr>
        <w:tc>
          <w:tcPr>
            <w:tcW w:type="dxa" w:w="2592"/>
          </w:tcPr>
          <w:p>
            <w:r/>
            <w:r>
              <w:rPr>
                <w:rFonts w:ascii="Calibri" w:hAnsi="Calibri"/>
                <w:color w:val="333333"/>
                <w:sz w:val="18"/>
              </w:rPr>
              <w:t>Databricks Connector</w:t>
            </w:r>
          </w:p>
        </w:tc>
        <w:tc>
          <w:tcPr>
            <w:tcW w:type="dxa" w:w="3600"/>
          </w:tcPr>
          <w:p>
            <w:r/>
            <w:r>
              <w:rPr>
                <w:rFonts w:ascii="Calibri" w:hAnsi="Calibri"/>
                <w:color w:val="333333"/>
                <w:sz w:val="18"/>
              </w:rPr>
              <w:t>Databricks SQL Connector for Python</w:t>
            </w:r>
          </w:p>
        </w:tc>
        <w:tc>
          <w:tcPr>
            <w:tcW w:type="dxa" w:w="3168"/>
          </w:tcPr>
          <w:p>
            <w:r/>
            <w:r>
              <w:rPr>
                <w:rFonts w:ascii="Calibri" w:hAnsi="Calibri"/>
                <w:color w:val="333333"/>
                <w:sz w:val="18"/>
              </w:rPr>
              <w:t>Read access to FinSight schema (views, facts, dimensions)</w:t>
            </w:r>
          </w:p>
        </w:tc>
      </w:tr>
      <w:tr>
        <w:tc>
          <w:tcPr>
            <w:tcW w:type="dxa" w:w="2592"/>
            <w:shd w:fill="F2F6FC"/>
          </w:tcPr>
          <w:p>
            <w:r/>
            <w:r>
              <w:rPr>
                <w:rFonts w:ascii="Calibri" w:hAnsi="Calibri"/>
                <w:color w:val="333333"/>
                <w:sz w:val="18"/>
              </w:rPr>
              <w:t>Dimension Sync Service</w:t>
            </w:r>
          </w:p>
        </w:tc>
        <w:tc>
          <w:tcPr>
            <w:tcW w:type="dxa" w:w="3600"/>
            <w:shd w:fill="F2F6FC"/>
          </w:tcPr>
          <w:p>
            <w:r/>
            <w:r>
              <w:rPr>
                <w:rFonts w:ascii="Calibri" w:hAnsi="Calibri"/>
                <w:color w:val="333333"/>
                <w:sz w:val="18"/>
              </w:rPr>
              <w:t>Python + Azure Functions</w:t>
            </w:r>
          </w:p>
        </w:tc>
        <w:tc>
          <w:tcPr>
            <w:tcW w:type="dxa" w:w="3168"/>
            <w:shd w:fill="F2F6FC"/>
          </w:tcPr>
          <w:p>
            <w:r/>
            <w:r>
              <w:rPr>
                <w:rFonts w:ascii="Calibri" w:hAnsi="Calibri"/>
                <w:color w:val="333333"/>
                <w:sz w:val="18"/>
              </w:rPr>
              <w:t>Periodic sync of Databricks dimension tables to local Azure SQL for low-latency lookups</w:t>
            </w:r>
          </w:p>
        </w:tc>
      </w:tr>
      <w:tr>
        <w:tc>
          <w:tcPr>
            <w:tcW w:type="dxa" w:w="2592"/>
          </w:tcPr>
          <w:p>
            <w:r/>
            <w:r>
              <w:rPr>
                <w:rFonts w:ascii="Calibri" w:hAnsi="Calibri"/>
                <w:color w:val="333333"/>
                <w:sz w:val="18"/>
              </w:rPr>
              <w:t>Data Freshness Monitor</w:t>
            </w:r>
          </w:p>
        </w:tc>
        <w:tc>
          <w:tcPr>
            <w:tcW w:type="dxa" w:w="3600"/>
          </w:tcPr>
          <w:p>
            <w:r/>
            <w:r>
              <w:rPr>
                <w:rFonts w:ascii="Calibri" w:hAnsi="Calibri"/>
                <w:color w:val="333333"/>
                <w:sz w:val="18"/>
              </w:rPr>
              <w:t>Python + Azure Functions</w:t>
            </w:r>
          </w:p>
        </w:tc>
        <w:tc>
          <w:tcPr>
            <w:tcW w:type="dxa" w:w="3168"/>
          </w:tcPr>
          <w:p>
            <w:r/>
            <w:r>
              <w:rPr>
                <w:rFonts w:ascii="Calibri" w:hAnsi="Calibri"/>
                <w:color w:val="333333"/>
                <w:sz w:val="18"/>
              </w:rPr>
              <w:t>Monitors Databricks data currency and triggers stale-data alerts</w:t>
            </w:r>
          </w:p>
        </w:tc>
      </w:tr>
    </w:tbl>
    <w:p/>
    <w:p>
      <w:pPr>
        <w:pStyle w:val="Heading3"/>
      </w:pPr>
      <w:r>
        <w:t>3.8.3 Data Flow 1: Period End Summary [AMENDED]</w:t>
      </w:r>
    </w:p>
    <w:p>
      <w:pPr>
        <w:spacing w:after="80"/>
      </w:pPr>
      <w:r>
        <w:rPr>
          <w:i/>
        </w:rPr>
        <w:t>The base SRS Data Flow 1 (10 steps) is amended to reflect Databricks-primary ingestion:</w:t>
      </w:r>
    </w:p>
    <w:p>
      <w:pPr>
        <w:spacing w:after="120"/>
      </w:pPr>
      <w:r>
        <w:rPr>
          <w:b/>
        </w:rPr>
        <w:t>Flow 1: Period End Summary Generation (Amended)</w:t>
      </w:r>
    </w:p>
    <w:p>
      <w:pPr>
        <w:pStyle w:val="ListNumber"/>
        <w:spacing w:after="40"/>
      </w:pPr>
      <w:r>
        <w:t>User selects organizational unit, period, year, and output format</w:t>
      </w:r>
    </w:p>
    <w:p>
      <w:pPr>
        <w:pStyle w:val="ListNumber"/>
        <w:spacing w:after="40"/>
      </w:pPr>
      <w:r>
        <w:t>System checks Redis cache for existing summary</w:t>
      </w:r>
    </w:p>
    <w:p>
      <w:pPr>
        <w:pStyle w:val="ListNumber"/>
        <w:spacing w:after="40"/>
      </w:pPr>
      <w:r>
        <w:t>If cache miss: queries Databricks views (finiq_vw_pl_entity, finiq_vw_pl_brand_product, finiq_vw_ncfo_entity) filtered by Date_ID and Entity_Alias</w:t>
      </w:r>
    </w:p>
    <w:p>
      <w:pPr>
        <w:pStyle w:val="ListNumber"/>
        <w:spacing w:after="40"/>
      </w:pPr>
      <w:r>
        <w:t>If Databricks unavailable: falls back to Excel workbook from Blob Storage (original 10-step pipeline)</w:t>
      </w:r>
    </w:p>
    <w:p>
      <w:pPr>
        <w:pStyle w:val="ListNumber"/>
        <w:spacing w:after="40"/>
      </w:pPr>
      <w:r>
        <w:t>View results (YTD_LY, YTD_CY, Periodic_LY, Periodic_CY per Account) converted to structured format</w:t>
      </w:r>
    </w:p>
    <w:p>
      <w:pPr>
        <w:pStyle w:val="ListNumber"/>
        <w:spacing w:after="40"/>
      </w:pPr>
      <w:r>
        <w:t>Optionally: finiq_financial_replan queried for budget variance enrichment</w:t>
      </w:r>
    </w:p>
    <w:p>
      <w:pPr>
        <w:pStyle w:val="ListNumber"/>
        <w:spacing w:after="40"/>
      </w:pPr>
      <w:r>
        <w:t>Six parallel LLM calls (one per KPI) via LangGraph, each with tailored prompt</w:t>
      </w:r>
    </w:p>
    <w:p>
      <w:pPr>
        <w:pStyle w:val="ListNumber"/>
        <w:spacing w:after="40"/>
      </w:pPr>
      <w:r>
        <w:t>Trend analysis: multi-period data from Databricks (multiple Date_IDs) for trend taglines</w:t>
      </w:r>
    </w:p>
    <w:p>
      <w:pPr>
        <w:pStyle w:val="ListNumber"/>
        <w:spacing w:after="40"/>
      </w:pPr>
      <w:r>
        <w:t>Six KPI narratives + trend taglines + optional variance data combined into unified Executive Summary</w:t>
      </w:r>
    </w:p>
    <w:p>
      <w:pPr>
        <w:pStyle w:val="ListNumber"/>
        <w:spacing w:after="40"/>
      </w:pPr>
      <w:r>
        <w:t>HTML KPI tables appended for data verification</w:t>
      </w:r>
    </w:p>
    <w:p>
      <w:pPr>
        <w:pStyle w:val="ListNumber"/>
        <w:spacing w:after="40"/>
      </w:pPr>
      <w:r>
        <w:t>Result cached in Redis (JSON) and streamed to frontend via SSE</w:t>
      </w:r>
    </w:p>
    <w:p>
      <w:pPr>
        <w:spacing w:after="120"/>
      </w:pPr>
      <w:r>
        <w:rPr>
          <w:i/>
          <w:sz w:val="20"/>
        </w:rPr>
        <w:t>Net effect: Steps 3-4 of the original pipeline (Excel retrieval + preprocessing) are consolidated into a single Databricks view query, reducing latency and eliminating the Excel intermediary. The pipeline goes from 10 steps to 11 steps but the critical path is shorter because view queries return pre-aggregated data.</w:t>
      </w:r>
    </w:p>
    <w:p>
      <w:r>
        <w:br w:type="page"/>
      </w:r>
    </w:p>
    <w:p>
      <w:pPr>
        <w:pStyle w:val="Heading2"/>
      </w:pPr>
      <w:r>
        <w:t>3.9 Amendments to Section 8: Acceptance Criteria</w:t>
      </w:r>
    </w:p>
    <w:p>
      <w:pPr>
        <w:spacing w:after="80"/>
      </w:pPr>
      <w:r>
        <w:rPr>
          <w:i/>
        </w:rPr>
        <w:t>The following acceptance criteria are added: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Requirement</w:t>
            </w:r>
          </w:p>
        </w:tc>
        <w:tc>
          <w:tcPr>
            <w:tcW w:type="dxa" w:w="4320"/>
            <w:shd w:fill="1A56DB"/>
          </w:tcPr>
          <w:p>
            <w:r/>
            <w:r>
              <w:rPr>
                <w:rFonts w:ascii="Calibri" w:hAnsi="Calibri"/>
                <w:b/>
                <w:color w:val="FFFFFF"/>
                <w:sz w:val="20"/>
              </w:rPr>
              <w:t>Acceptance Criterion</w:t>
            </w:r>
          </w:p>
        </w:tc>
        <w:tc>
          <w:tcPr>
            <w:tcW w:type="dxa" w:w="2880"/>
            <w:shd w:fill="1A56DB"/>
          </w:tcPr>
          <w:p>
            <w:r/>
            <w:r>
              <w:rPr>
                <w:rFonts w:ascii="Calibri" w:hAnsi="Calibri"/>
                <w:b/>
                <w:color w:val="FFFFFF"/>
                <w:sz w:val="20"/>
              </w:rPr>
              <w:t>Verification Method</w:t>
            </w:r>
          </w:p>
        </w:tc>
      </w:tr>
      <w:tr>
        <w:tc>
          <w:tcPr>
            <w:tcW w:type="dxa" w:w="2160"/>
          </w:tcPr>
          <w:p>
            <w:r/>
            <w:r>
              <w:rPr>
                <w:rFonts w:ascii="Calibri" w:hAnsi="Calibri"/>
                <w:color w:val="333333"/>
                <w:sz w:val="18"/>
              </w:rPr>
              <w:t>FR1.1 (Amended)</w:t>
            </w:r>
          </w:p>
        </w:tc>
        <w:tc>
          <w:tcPr>
            <w:tcW w:type="dxa" w:w="4320"/>
          </w:tcPr>
          <w:p>
            <w:r/>
            <w:r>
              <w:rPr>
                <w:rFonts w:ascii="Calibri" w:hAnsi="Calibri"/>
                <w:color w:val="333333"/>
                <w:sz w:val="18"/>
              </w:rPr>
              <w:t>System generates Period End Summary from Databricks views in &lt; 12 seconds (faster than Excel path)</w:t>
            </w:r>
          </w:p>
        </w:tc>
        <w:tc>
          <w:tcPr>
            <w:tcW w:type="dxa" w:w="2880"/>
          </w:tcPr>
          <w:p>
            <w:r/>
            <w:r>
              <w:rPr>
                <w:rFonts w:ascii="Calibri" w:hAnsi="Calibri"/>
                <w:color w:val="333333"/>
                <w:sz w:val="18"/>
              </w:rPr>
              <w:t>Automated comparison test: Databricks path vs. Excel path timing</w:t>
            </w:r>
          </w:p>
        </w:tc>
      </w:tr>
      <w:tr>
        <w:tc>
          <w:tcPr>
            <w:tcW w:type="dxa" w:w="2160"/>
            <w:shd w:fill="F2F6FC"/>
          </w:tcPr>
          <w:p>
            <w:r/>
            <w:r>
              <w:rPr>
                <w:rFonts w:ascii="Calibri" w:hAnsi="Calibri"/>
                <w:color w:val="333333"/>
                <w:sz w:val="18"/>
              </w:rPr>
              <w:t>FR1.6 Databricks Connection</w:t>
            </w:r>
          </w:p>
        </w:tc>
        <w:tc>
          <w:tcPr>
            <w:tcW w:type="dxa" w:w="4320"/>
            <w:shd w:fill="F2F6FC"/>
          </w:tcPr>
          <w:p>
            <w:r/>
            <w:r>
              <w:rPr>
                <w:rFonts w:ascii="Calibri" w:hAnsi="Calibri"/>
                <w:color w:val="333333"/>
                <w:sz w:val="18"/>
              </w:rPr>
              <w:t>System connects to Databricks, queries all 20 objects, and returns results within 10 seconds</w:t>
            </w:r>
          </w:p>
        </w:tc>
        <w:tc>
          <w:tcPr>
            <w:tcW w:type="dxa" w:w="2880"/>
            <w:shd w:fill="F2F6FC"/>
          </w:tcPr>
          <w:p>
            <w:r/>
            <w:r>
              <w:rPr>
                <w:rFonts w:ascii="Calibri" w:hAnsi="Calibri"/>
                <w:color w:val="333333"/>
                <w:sz w:val="18"/>
              </w:rPr>
              <w:t>Integration test against Databricks dev environment</w:t>
            </w:r>
          </w:p>
        </w:tc>
      </w:tr>
      <w:tr>
        <w:tc>
          <w:tcPr>
            <w:tcW w:type="dxa" w:w="2160"/>
          </w:tcPr>
          <w:p>
            <w:r/>
            <w:r>
              <w:rPr>
                <w:rFonts w:ascii="Calibri" w:hAnsi="Calibri"/>
                <w:color w:val="333333"/>
                <w:sz w:val="18"/>
              </w:rPr>
              <w:t>FR2.7 Budget Variance</w:t>
            </w:r>
          </w:p>
        </w:tc>
        <w:tc>
          <w:tcPr>
            <w:tcW w:type="dxa" w:w="4320"/>
          </w:tcPr>
          <w:p>
            <w:r/>
            <w:r>
              <w:rPr>
                <w:rFonts w:ascii="Calibri" w:hAnsi="Calibri"/>
                <w:color w:val="333333"/>
                <w:sz w:val="18"/>
              </w:rPr>
              <w:t>Variance report shows Actual vs. Replan with &lt; 0.01% calculation error</w:t>
            </w:r>
          </w:p>
        </w:tc>
        <w:tc>
          <w:tcPr>
            <w:tcW w:type="dxa" w:w="2880"/>
          </w:tcPr>
          <w:p>
            <w:r/>
            <w:r>
              <w:rPr>
                <w:rFonts w:ascii="Calibri" w:hAnsi="Calibri"/>
                <w:color w:val="333333"/>
                <w:sz w:val="18"/>
              </w:rPr>
              <w:t>Cross-validation against manual Excel variance calculation</w:t>
            </w:r>
          </w:p>
        </w:tc>
      </w:tr>
      <w:tr>
        <w:tc>
          <w:tcPr>
            <w:tcW w:type="dxa" w:w="2160"/>
            <w:shd w:fill="F2F6FC"/>
          </w:tcPr>
          <w:p>
            <w:r/>
            <w:r>
              <w:rPr>
                <w:rFonts w:ascii="Calibri" w:hAnsi="Calibri"/>
                <w:color w:val="333333"/>
                <w:sz w:val="18"/>
              </w:rPr>
              <w:t>FR6.5 Data Freshness</w:t>
            </w:r>
          </w:p>
        </w:tc>
        <w:tc>
          <w:tcPr>
            <w:tcW w:type="dxa" w:w="4320"/>
            <w:shd w:fill="F2F6FC"/>
          </w:tcPr>
          <w:p>
            <w:r/>
            <w:r>
              <w:rPr>
                <w:rFonts w:ascii="Calibri" w:hAnsi="Calibri"/>
                <w:color w:val="333333"/>
                <w:sz w:val="18"/>
              </w:rPr>
              <w:t>Stale data alert fires within 1 hour of expected data not appearing</w:t>
            </w:r>
          </w:p>
        </w:tc>
        <w:tc>
          <w:tcPr>
            <w:tcW w:type="dxa" w:w="2880"/>
            <w:shd w:fill="F2F6FC"/>
          </w:tcPr>
          <w:p>
            <w:r/>
            <w:r>
              <w:rPr>
                <w:rFonts w:ascii="Calibri" w:hAnsi="Calibri"/>
                <w:color w:val="333333"/>
                <w:sz w:val="18"/>
              </w:rPr>
              <w:t>Automated test with delayed data injection</w:t>
            </w:r>
          </w:p>
        </w:tc>
      </w:tr>
      <w:tr>
        <w:tc>
          <w:tcPr>
            <w:tcW w:type="dxa" w:w="2160"/>
          </w:tcPr>
          <w:p>
            <w:r/>
            <w:r>
              <w:rPr>
                <w:rFonts w:ascii="Calibri" w:hAnsi="Calibri"/>
                <w:color w:val="333333"/>
                <w:sz w:val="18"/>
              </w:rPr>
              <w:t>FR7.6 Admin Connection</w:t>
            </w:r>
          </w:p>
        </w:tc>
        <w:tc>
          <w:tcPr>
            <w:tcW w:type="dxa" w:w="4320"/>
          </w:tcPr>
          <w:p>
            <w:r/>
            <w:r>
              <w:rPr>
                <w:rFonts w:ascii="Calibri" w:hAnsi="Calibri"/>
                <w:color w:val="333333"/>
                <w:sz w:val="18"/>
              </w:rPr>
              <w:t>Administrator can configure, test, and switch Databricks connection without code deployment</w:t>
            </w:r>
          </w:p>
        </w:tc>
        <w:tc>
          <w:tcPr>
            <w:tcW w:type="dxa" w:w="2880"/>
          </w:tcPr>
          <w:p>
            <w:r/>
            <w:r>
              <w:rPr>
                <w:rFonts w:ascii="Calibri" w:hAnsi="Calibri"/>
                <w:color w:val="333333"/>
                <w:sz w:val="18"/>
              </w:rPr>
              <w:t>UI walkthrough test of admin interface</w:t>
            </w:r>
          </w:p>
        </w:tc>
      </w:tr>
      <w:tr>
        <w:tc>
          <w:tcPr>
            <w:tcW w:type="dxa" w:w="2160"/>
            <w:shd w:fill="F2F6FC"/>
          </w:tcPr>
          <w:p>
            <w:r/>
            <w:r>
              <w:rPr>
                <w:rFonts w:ascii="Calibri" w:hAnsi="Calibri"/>
                <w:color w:val="333333"/>
                <w:sz w:val="18"/>
              </w:rPr>
              <w:t>Databricks Fallback</w:t>
            </w:r>
          </w:p>
        </w:tc>
        <w:tc>
          <w:tcPr>
            <w:tcW w:type="dxa" w:w="4320"/>
            <w:shd w:fill="F2F6FC"/>
          </w:tcPr>
          <w:p>
            <w:r/>
            <w:r>
              <w:rPr>
                <w:rFonts w:ascii="Calibri" w:hAnsi="Calibri"/>
                <w:color w:val="333333"/>
                <w:sz w:val="18"/>
              </w:rPr>
              <w:t>System automatically falls back to Excel ingestion within 30 seconds of Databricks connection failure</w:t>
            </w:r>
          </w:p>
        </w:tc>
        <w:tc>
          <w:tcPr>
            <w:tcW w:type="dxa" w:w="2880"/>
            <w:shd w:fill="F2F6FC"/>
          </w:tcPr>
          <w:p>
            <w:r/>
            <w:r>
              <w:rPr>
                <w:rFonts w:ascii="Calibri" w:hAnsi="Calibri"/>
                <w:color w:val="333333"/>
                <w:sz w:val="18"/>
              </w:rPr>
              <w:t>Chaos test: terminate Databricks connectivity mid-operation</w:t>
            </w:r>
          </w:p>
        </w:tc>
      </w:tr>
    </w:tbl>
    <w:p/>
    <w:p>
      <w:r>
        <w:br w:type="page"/>
      </w:r>
    </w:p>
    <w:p>
      <w:pPr>
        <w:pStyle w:val="Heading1"/>
      </w:pPr>
      <w:r>
        <w:t>4. Precomputed View Mapping to PES</w:t>
      </w:r>
    </w:p>
    <w:p>
      <w:pPr>
        <w:spacing w:after="120"/>
      </w:pPr>
      <w:r>
        <w:t>This section provides the detailed mapping between the three FinSight precomputed views and the current PES system's Excel input sheets and KPI structure.</w:t>
      </w:r>
    </w:p>
    <w:p>
      <w:pPr>
        <w:pStyle w:val="Heading2"/>
      </w:pPr>
      <w:r>
        <w:t>4.1 View-to-Excel Sheet Mapping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872"/>
            <w:shd w:fill="1A56DB"/>
          </w:tcPr>
          <w:p>
            <w:r/>
            <w:r>
              <w:rPr>
                <w:rFonts w:ascii="Calibri" w:hAnsi="Calibri"/>
                <w:b/>
                <w:color w:val="FFFFFF"/>
                <w:sz w:val="20"/>
              </w:rPr>
              <w:t>PES Excel Sheet</w:t>
            </w:r>
          </w:p>
        </w:tc>
        <w:tc>
          <w:tcPr>
            <w:tcW w:type="dxa" w:w="2592"/>
            <w:shd w:fill="1A56DB"/>
          </w:tcPr>
          <w:p>
            <w:r/>
            <w:r>
              <w:rPr>
                <w:rFonts w:ascii="Calibri" w:hAnsi="Calibri"/>
                <w:b/>
                <w:color w:val="FFFFFF"/>
                <w:sz w:val="20"/>
              </w:rPr>
              <w:t>Databricks View</w:t>
            </w:r>
          </w:p>
        </w:tc>
        <w:tc>
          <w:tcPr>
            <w:tcW w:type="dxa" w:w="2592"/>
            <w:shd w:fill="1A56DB"/>
          </w:tcPr>
          <w:p>
            <w:r/>
            <w:r>
              <w:rPr>
                <w:rFonts w:ascii="Calibri" w:hAnsi="Calibri"/>
                <w:b/>
                <w:color w:val="FFFFFF"/>
                <w:sz w:val="20"/>
              </w:rPr>
              <w:t>Output Columns</w:t>
            </w:r>
          </w:p>
        </w:tc>
        <w:tc>
          <w:tcPr>
            <w:tcW w:type="dxa" w:w="2304"/>
            <w:shd w:fill="1A56DB"/>
          </w:tcPr>
          <w:p>
            <w:r/>
            <w:r>
              <w:rPr>
                <w:rFonts w:ascii="Calibri" w:hAnsi="Calibri"/>
                <w:b/>
                <w:color w:val="FFFFFF"/>
                <w:sz w:val="20"/>
              </w:rPr>
              <w:t>Value Columns</w:t>
            </w:r>
          </w:p>
        </w:tc>
      </w:tr>
      <w:tr>
        <w:tc>
          <w:tcPr>
            <w:tcW w:type="dxa" w:w="1872"/>
          </w:tcPr>
          <w:p>
            <w:r/>
            <w:r>
              <w:rPr>
                <w:rFonts w:ascii="Calibri" w:hAnsi="Calibri"/>
                <w:color w:val="333333"/>
                <w:sz w:val="18"/>
              </w:rPr>
              <w:t>P&amp;L (Entity level)</w:t>
            </w:r>
          </w:p>
        </w:tc>
        <w:tc>
          <w:tcPr>
            <w:tcW w:type="dxa" w:w="2592"/>
          </w:tcPr>
          <w:p>
            <w:r/>
            <w:r>
              <w:rPr>
                <w:rFonts w:ascii="Calibri" w:hAnsi="Calibri"/>
                <w:color w:val="333333"/>
                <w:sz w:val="18"/>
              </w:rPr>
              <w:t>finiq_vw_pl_entity</w:t>
            </w:r>
          </w:p>
        </w:tc>
        <w:tc>
          <w:tcPr>
            <w:tcW w:type="dxa" w:w="2592"/>
          </w:tcPr>
          <w:p>
            <w:r/>
            <w:r>
              <w:rPr>
                <w:rFonts w:ascii="Calibri" w:hAnsi="Calibri"/>
                <w:color w:val="333333"/>
                <w:sz w:val="18"/>
              </w:rPr>
              <w:t>Date_ID, Entity_Alias, Account_Alias</w:t>
            </w:r>
          </w:p>
        </w:tc>
        <w:tc>
          <w:tcPr>
            <w:tcW w:type="dxa" w:w="2304"/>
          </w:tcPr>
          <w:p>
            <w:r/>
            <w:r>
              <w:rPr>
                <w:rFonts w:ascii="Calibri" w:hAnsi="Calibri"/>
                <w:color w:val="333333"/>
                <w:sz w:val="18"/>
              </w:rPr>
              <w:t>YTD_LY_Value, YTD_CY_Value, Periodic_LY_Value, Periodic_CY_Value</w:t>
            </w:r>
          </w:p>
        </w:tc>
      </w:tr>
      <w:tr>
        <w:tc>
          <w:tcPr>
            <w:tcW w:type="dxa" w:w="1872"/>
            <w:shd w:fill="F2F6FC"/>
          </w:tcPr>
          <w:p>
            <w:r/>
            <w:r>
              <w:rPr>
                <w:rFonts w:ascii="Calibri" w:hAnsi="Calibri"/>
                <w:color w:val="333333"/>
                <w:sz w:val="18"/>
              </w:rPr>
              <w:t>Product / Brand</w:t>
            </w:r>
          </w:p>
        </w:tc>
        <w:tc>
          <w:tcPr>
            <w:tcW w:type="dxa" w:w="2592"/>
            <w:shd w:fill="F2F6FC"/>
          </w:tcPr>
          <w:p>
            <w:r/>
            <w:r>
              <w:rPr>
                <w:rFonts w:ascii="Calibri" w:hAnsi="Calibri"/>
                <w:color w:val="333333"/>
                <w:sz w:val="18"/>
              </w:rPr>
              <w:t>finiq_vw_pl_brand_product</w:t>
            </w:r>
          </w:p>
        </w:tc>
        <w:tc>
          <w:tcPr>
            <w:tcW w:type="dxa" w:w="2592"/>
            <w:shd w:fill="F2F6FC"/>
          </w:tcPr>
          <w:p>
            <w:r/>
            <w:r>
              <w:rPr>
                <w:rFonts w:ascii="Calibri" w:hAnsi="Calibri"/>
                <w:color w:val="333333"/>
                <w:sz w:val="18"/>
              </w:rPr>
              <w:t>Date_ID, Entity_Alias, Account_Alias, Item</w:t>
            </w:r>
          </w:p>
        </w:tc>
        <w:tc>
          <w:tcPr>
            <w:tcW w:type="dxa" w:w="2304"/>
            <w:shd w:fill="F2F6FC"/>
          </w:tcPr>
          <w:p>
            <w:r/>
            <w:r>
              <w:rPr>
                <w:rFonts w:ascii="Calibri" w:hAnsi="Calibri"/>
                <w:color w:val="333333"/>
                <w:sz w:val="18"/>
              </w:rPr>
              <w:t>YTD_LY_Value, YTD_CY_Value, Periodic_LY_Value, Periodic_CY_Value</w:t>
            </w:r>
          </w:p>
        </w:tc>
      </w:tr>
      <w:tr>
        <w:tc>
          <w:tcPr>
            <w:tcW w:type="dxa" w:w="1872"/>
          </w:tcPr>
          <w:p>
            <w:r/>
            <w:r>
              <w:rPr>
                <w:rFonts w:ascii="Calibri" w:hAnsi="Calibri"/>
                <w:color w:val="333333"/>
                <w:sz w:val="18"/>
              </w:rPr>
              <w:t>NCFO</w:t>
            </w:r>
          </w:p>
        </w:tc>
        <w:tc>
          <w:tcPr>
            <w:tcW w:type="dxa" w:w="2592"/>
          </w:tcPr>
          <w:p>
            <w:r/>
            <w:r>
              <w:rPr>
                <w:rFonts w:ascii="Calibri" w:hAnsi="Calibri"/>
                <w:color w:val="333333"/>
                <w:sz w:val="18"/>
              </w:rPr>
              <w:t>finiq_vw_ncfo_entity</w:t>
            </w:r>
          </w:p>
        </w:tc>
        <w:tc>
          <w:tcPr>
            <w:tcW w:type="dxa" w:w="2592"/>
          </w:tcPr>
          <w:p>
            <w:r/>
            <w:r>
              <w:rPr>
                <w:rFonts w:ascii="Calibri" w:hAnsi="Calibri"/>
                <w:color w:val="333333"/>
                <w:sz w:val="18"/>
              </w:rPr>
              <w:t>Date_ID, Entity_Alias, Account_Alias</w:t>
            </w:r>
          </w:p>
        </w:tc>
        <w:tc>
          <w:tcPr>
            <w:tcW w:type="dxa" w:w="2304"/>
          </w:tcPr>
          <w:p>
            <w:r/>
            <w:r>
              <w:rPr>
                <w:rFonts w:ascii="Calibri" w:hAnsi="Calibri"/>
                <w:color w:val="333333"/>
                <w:sz w:val="18"/>
              </w:rPr>
              <w:t>YTD_LY_Value, YTD_CY_Value, Periodic_LY_Value, Periodic_CY_Value</w:t>
            </w:r>
          </w:p>
        </w:tc>
      </w:tr>
    </w:tbl>
    <w:p/>
    <w:p>
      <w:pPr>
        <w:pStyle w:val="Heading2"/>
      </w:pPr>
      <w:r>
        <w:t>4.2 PES KPI-to-Account Code Mapping</w:t>
      </w:r>
    </w:p>
    <w:p>
      <w:pPr>
        <w:spacing w:after="120"/>
      </w:pPr>
      <w:r>
        <w:t>The following maps the 6 PES KPIs to the Databricks account codes filtered in the views. This mapping enables FinIQ to extract KPI-specific data from view results by filtering on Account_Alias (resolved from Account_ID via the Dimensions_Account external table).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872"/>
            <w:shd w:fill="1A56DB"/>
          </w:tcPr>
          <w:p>
            <w:r/>
            <w:r>
              <w:rPr>
                <w:rFonts w:ascii="Calibri" w:hAnsi="Calibri"/>
                <w:b/>
                <w:color w:val="FFFFFF"/>
                <w:sz w:val="20"/>
              </w:rPr>
              <w:t>PES KPI</w:t>
            </w:r>
          </w:p>
        </w:tc>
        <w:tc>
          <w:tcPr>
            <w:tcW w:type="dxa" w:w="1728"/>
            <w:shd w:fill="1A56DB"/>
          </w:tcPr>
          <w:p>
            <w:r/>
            <w:r>
              <w:rPr>
                <w:rFonts w:ascii="Calibri" w:hAnsi="Calibri"/>
                <w:b/>
                <w:color w:val="FFFFFF"/>
                <w:sz w:val="20"/>
              </w:rPr>
              <w:t>View</w:t>
            </w:r>
          </w:p>
        </w:tc>
        <w:tc>
          <w:tcPr>
            <w:tcW w:type="dxa" w:w="3168"/>
            <w:shd w:fill="1A56DB"/>
          </w:tcPr>
          <w:p>
            <w:r/>
            <w:r>
              <w:rPr>
                <w:rFonts w:ascii="Calibri" w:hAnsi="Calibri"/>
                <w:b/>
                <w:color w:val="FFFFFF"/>
                <w:sz w:val="20"/>
              </w:rPr>
              <w:t>Key Account Codes</w:t>
            </w:r>
          </w:p>
        </w:tc>
        <w:tc>
          <w:tcPr>
            <w:tcW w:type="dxa" w:w="2592"/>
            <w:shd w:fill="1A56DB"/>
          </w:tcPr>
          <w:p>
            <w:r/>
            <w:r>
              <w:rPr>
                <w:rFonts w:ascii="Calibri" w:hAnsi="Calibri"/>
                <w:b/>
                <w:color w:val="FFFFFF"/>
                <w:sz w:val="20"/>
              </w:rPr>
              <w:t>Derivation</w:t>
            </w:r>
          </w:p>
        </w:tc>
      </w:tr>
      <w:tr>
        <w:tc>
          <w:tcPr>
            <w:tcW w:type="dxa" w:w="1872"/>
          </w:tcPr>
          <w:p>
            <w:r/>
            <w:r>
              <w:rPr>
                <w:rFonts w:ascii="Calibri" w:hAnsi="Calibri"/>
                <w:color w:val="333333"/>
                <w:sz w:val="18"/>
              </w:rPr>
              <w:t>Organic Growth</w:t>
            </w:r>
          </w:p>
        </w:tc>
        <w:tc>
          <w:tcPr>
            <w:tcW w:type="dxa" w:w="1728"/>
          </w:tcPr>
          <w:p>
            <w:r/>
            <w:r>
              <w:rPr>
                <w:rFonts w:ascii="Calibri" w:hAnsi="Calibri"/>
                <w:color w:val="333333"/>
                <w:sz w:val="18"/>
              </w:rPr>
              <w:t>vw_pl_entity</w:t>
            </w:r>
          </w:p>
        </w:tc>
        <w:tc>
          <w:tcPr>
            <w:tcW w:type="dxa" w:w="3168"/>
          </w:tcPr>
          <w:p>
            <w:r/>
            <w:r>
              <w:rPr>
                <w:rFonts w:ascii="Calibri" w:hAnsi="Calibri"/>
                <w:color w:val="333333"/>
                <w:sz w:val="18"/>
              </w:rPr>
              <w:t>S900083, S900227, S900067, S900070, S900069, S900077</w:t>
            </w:r>
          </w:p>
        </w:tc>
        <w:tc>
          <w:tcPr>
            <w:tcW w:type="dxa" w:w="2592"/>
          </w:tcPr>
          <w:p>
            <w:r/>
            <w:r>
              <w:rPr>
                <w:rFonts w:ascii="Calibri" w:hAnsi="Calibri"/>
                <w:color w:val="333333"/>
                <w:sz w:val="18"/>
              </w:rPr>
              <w:t>Derived: growth parent-child numerator/denominator pattern</w:t>
            </w:r>
          </w:p>
        </w:tc>
      </w:tr>
      <w:tr>
        <w:tc>
          <w:tcPr>
            <w:tcW w:type="dxa" w:w="1872"/>
            <w:shd w:fill="F2F6FC"/>
          </w:tcPr>
          <w:p>
            <w:r/>
            <w:r>
              <w:rPr>
                <w:rFonts w:ascii="Calibri" w:hAnsi="Calibri"/>
                <w:color w:val="333333"/>
                <w:sz w:val="18"/>
              </w:rPr>
              <w:t>MAC Shape %</w:t>
            </w:r>
          </w:p>
        </w:tc>
        <w:tc>
          <w:tcPr>
            <w:tcW w:type="dxa" w:w="1728"/>
            <w:shd w:fill="F2F6FC"/>
          </w:tcPr>
          <w:p>
            <w:r/>
            <w:r>
              <w:rPr>
                <w:rFonts w:ascii="Calibri" w:hAnsi="Calibri"/>
                <w:color w:val="333333"/>
                <w:sz w:val="18"/>
              </w:rPr>
              <w:t>vw_pl_entity</w:t>
            </w:r>
          </w:p>
        </w:tc>
        <w:tc>
          <w:tcPr>
            <w:tcW w:type="dxa" w:w="3168"/>
            <w:shd w:fill="F2F6FC"/>
          </w:tcPr>
          <w:p>
            <w:r/>
            <w:r>
              <w:rPr>
                <w:rFonts w:ascii="Calibri" w:hAnsi="Calibri"/>
                <w:color w:val="333333"/>
                <w:sz w:val="18"/>
              </w:rPr>
              <w:t>FR4100, FR4200, FR4300, FR4000, MR5200, MR5100</w:t>
            </w:r>
          </w:p>
        </w:tc>
        <w:tc>
          <w:tcPr>
            <w:tcW w:type="dxa" w:w="2592"/>
            <w:shd w:fill="F2F6FC"/>
          </w:tcPr>
          <w:p>
            <w:r/>
            <w:r>
              <w:rPr>
                <w:rFonts w:ascii="Calibri" w:hAnsi="Calibri"/>
                <w:color w:val="333333"/>
                <w:sz w:val="18"/>
              </w:rPr>
              <w:t>Direct: revenue and margin accounts</w:t>
            </w:r>
          </w:p>
        </w:tc>
      </w:tr>
      <w:tr>
        <w:tc>
          <w:tcPr>
            <w:tcW w:type="dxa" w:w="1872"/>
          </w:tcPr>
          <w:p>
            <w:r/>
            <w:r>
              <w:rPr>
                <w:rFonts w:ascii="Calibri" w:hAnsi="Calibri"/>
                <w:color w:val="333333"/>
                <w:sz w:val="18"/>
              </w:rPr>
              <w:t>A&amp;CP Shape %</w:t>
            </w:r>
          </w:p>
        </w:tc>
        <w:tc>
          <w:tcPr>
            <w:tcW w:type="dxa" w:w="1728"/>
          </w:tcPr>
          <w:p>
            <w:r/>
            <w:r>
              <w:rPr>
                <w:rFonts w:ascii="Calibri" w:hAnsi="Calibri"/>
                <w:color w:val="333333"/>
                <w:sz w:val="18"/>
              </w:rPr>
              <w:t>vw_pl_entity</w:t>
            </w:r>
          </w:p>
        </w:tc>
        <w:tc>
          <w:tcPr>
            <w:tcW w:type="dxa" w:w="3168"/>
          </w:tcPr>
          <w:p>
            <w:r/>
            <w:r>
              <w:rPr>
                <w:rFonts w:ascii="Calibri" w:hAnsi="Calibri"/>
                <w:color w:val="333333"/>
                <w:sz w:val="18"/>
              </w:rPr>
              <w:t>SR5101, SR5103, MR8005</w:t>
            </w:r>
          </w:p>
        </w:tc>
        <w:tc>
          <w:tcPr>
            <w:tcW w:type="dxa" w:w="2592"/>
          </w:tcPr>
          <w:p>
            <w:r/>
            <w:r>
              <w:rPr>
                <w:rFonts w:ascii="Calibri" w:hAnsi="Calibri"/>
                <w:color w:val="333333"/>
                <w:sz w:val="18"/>
              </w:rPr>
              <w:t>Direct: advertising &amp; consumer promotion accounts</w:t>
            </w:r>
          </w:p>
        </w:tc>
      </w:tr>
      <w:tr>
        <w:tc>
          <w:tcPr>
            <w:tcW w:type="dxa" w:w="1872"/>
            <w:shd w:fill="F2F6FC"/>
          </w:tcPr>
          <w:p>
            <w:r/>
            <w:r>
              <w:rPr>
                <w:rFonts w:ascii="Calibri" w:hAnsi="Calibri"/>
                <w:color w:val="333333"/>
                <w:sz w:val="18"/>
              </w:rPr>
              <w:t>CE Shape %</w:t>
            </w:r>
          </w:p>
        </w:tc>
        <w:tc>
          <w:tcPr>
            <w:tcW w:type="dxa" w:w="1728"/>
            <w:shd w:fill="F2F6FC"/>
          </w:tcPr>
          <w:p>
            <w:r/>
            <w:r>
              <w:rPr>
                <w:rFonts w:ascii="Calibri" w:hAnsi="Calibri"/>
                <w:color w:val="333333"/>
                <w:sz w:val="18"/>
              </w:rPr>
              <w:t>vw_pl_entity</w:t>
            </w:r>
          </w:p>
        </w:tc>
        <w:tc>
          <w:tcPr>
            <w:tcW w:type="dxa" w:w="3168"/>
            <w:shd w:fill="F2F6FC"/>
          </w:tcPr>
          <w:p>
            <w:r/>
            <w:r>
              <w:rPr>
                <w:rFonts w:ascii="Calibri" w:hAnsi="Calibri"/>
                <w:color w:val="333333"/>
                <w:sz w:val="18"/>
              </w:rPr>
              <w:t>SR6102, SR6153, MR8004</w:t>
            </w:r>
          </w:p>
        </w:tc>
        <w:tc>
          <w:tcPr>
            <w:tcW w:type="dxa" w:w="2592"/>
            <w:shd w:fill="F2F6FC"/>
          </w:tcPr>
          <w:p>
            <w:r/>
            <w:r>
              <w:rPr>
                <w:rFonts w:ascii="Calibri" w:hAnsi="Calibri"/>
                <w:color w:val="333333"/>
                <w:sz w:val="18"/>
              </w:rPr>
              <w:t>Direct: controllable expense accounts</w:t>
            </w:r>
          </w:p>
        </w:tc>
      </w:tr>
      <w:tr>
        <w:tc>
          <w:tcPr>
            <w:tcW w:type="dxa" w:w="1872"/>
          </w:tcPr>
          <w:p>
            <w:r/>
            <w:r>
              <w:rPr>
                <w:rFonts w:ascii="Calibri" w:hAnsi="Calibri"/>
                <w:color w:val="333333"/>
                <w:sz w:val="18"/>
              </w:rPr>
              <w:t>Overhead Shape %</w:t>
            </w:r>
          </w:p>
        </w:tc>
        <w:tc>
          <w:tcPr>
            <w:tcW w:type="dxa" w:w="1728"/>
          </w:tcPr>
          <w:p>
            <w:r/>
            <w:r>
              <w:rPr>
                <w:rFonts w:ascii="Calibri" w:hAnsi="Calibri"/>
                <w:color w:val="333333"/>
                <w:sz w:val="18"/>
              </w:rPr>
              <w:t>vw_pl_entity</w:t>
            </w:r>
          </w:p>
        </w:tc>
        <w:tc>
          <w:tcPr>
            <w:tcW w:type="dxa" w:w="3168"/>
          </w:tcPr>
          <w:p>
            <w:r/>
            <w:r>
              <w:rPr>
                <w:rFonts w:ascii="Calibri" w:hAnsi="Calibri"/>
                <w:color w:val="333333"/>
                <w:sz w:val="18"/>
              </w:rPr>
              <w:t>MR6300, MR6359, MR8003</w:t>
            </w:r>
          </w:p>
        </w:tc>
        <w:tc>
          <w:tcPr>
            <w:tcW w:type="dxa" w:w="2592"/>
          </w:tcPr>
          <w:p>
            <w:r/>
            <w:r>
              <w:rPr>
                <w:rFonts w:ascii="Calibri" w:hAnsi="Calibri"/>
                <w:color w:val="333333"/>
                <w:sz w:val="18"/>
              </w:rPr>
              <w:t>Direct: overhead margin accounts</w:t>
            </w:r>
          </w:p>
        </w:tc>
      </w:tr>
      <w:tr>
        <w:tc>
          <w:tcPr>
            <w:tcW w:type="dxa" w:w="1872"/>
            <w:shd w:fill="F2F6FC"/>
          </w:tcPr>
          <w:p>
            <w:r/>
            <w:r>
              <w:rPr>
                <w:rFonts w:ascii="Calibri" w:hAnsi="Calibri"/>
                <w:color w:val="333333"/>
                <w:sz w:val="18"/>
              </w:rPr>
              <w:t>NCFO</w:t>
            </w:r>
          </w:p>
        </w:tc>
        <w:tc>
          <w:tcPr>
            <w:tcW w:type="dxa" w:w="1728"/>
            <w:shd w:fill="F2F6FC"/>
          </w:tcPr>
          <w:p>
            <w:r/>
            <w:r>
              <w:rPr>
                <w:rFonts w:ascii="Calibri" w:hAnsi="Calibri"/>
                <w:color w:val="333333"/>
                <w:sz w:val="18"/>
              </w:rPr>
              <w:t>vw_ncfo_entity</w:t>
            </w:r>
          </w:p>
        </w:tc>
        <w:tc>
          <w:tcPr>
            <w:tcW w:type="dxa" w:w="3168"/>
            <w:shd w:fill="F2F6FC"/>
          </w:tcPr>
          <w:p>
            <w:r/>
            <w:r>
              <w:rPr>
                <w:rFonts w:ascii="Calibri" w:hAnsi="Calibri"/>
                <w:color w:val="333333"/>
                <w:sz w:val="18"/>
              </w:rPr>
              <w:t>CF8129, CF8133, MC8136, MC8149, CF8147, MC8913, S900147, MC8100, MC8902</w:t>
            </w:r>
          </w:p>
        </w:tc>
        <w:tc>
          <w:tcPr>
            <w:tcW w:type="dxa" w:w="2592"/>
            <w:shd w:fill="F2F6FC"/>
          </w:tcPr>
          <w:p>
            <w:r/>
            <w:r>
              <w:rPr>
                <w:rFonts w:ascii="Calibri" w:hAnsi="Calibri"/>
                <w:color w:val="333333"/>
                <w:sz w:val="18"/>
              </w:rPr>
              <w:t>Direct: cash flow and management control accounts</w:t>
            </w:r>
          </w:p>
        </w:tc>
      </w:tr>
    </w:tbl>
    <w:p/>
    <w:p>
      <w:pPr>
        <w:pStyle w:val="Heading2"/>
      </w:pPr>
      <w:r>
        <w:t>4.3 View SQL Computation Patterns</w:t>
      </w:r>
    </w:p>
    <w:p>
      <w:pPr>
        <w:spacing w:after="80"/>
      </w:pPr>
      <w:r>
        <w:t>The views follow specific computation patterns that FinIQ must understand when interpreting query results:</w:t>
      </w:r>
    </w:p>
    <w:p>
      <w:pPr>
        <w:pStyle w:val="ListBullet"/>
        <w:spacing w:after="40"/>
      </w:pPr>
      <w:r>
        <w:t>Date_Offset = 100 represents Last Year values; Date_Offset = 0 represents Current Year values</w:t>
      </w:r>
    </w:p>
    <w:p>
      <w:pPr>
        <w:pStyle w:val="ListBullet"/>
        <w:spacing w:after="40"/>
      </w:pPr>
      <w:r>
        <w:t>View_ID = 1 represents Periodic (single period) values; View_ID = 2 represents YTD (year-to-date) values</w:t>
      </w:r>
    </w:p>
    <w:p>
      <w:pPr>
        <w:pStyle w:val="ListBullet"/>
        <w:spacing w:after="40"/>
      </w:pPr>
      <w:r>
        <w:t>Account S900077 receives special treatment: its Date_Offset starts at 100 (not 0) and uses a +200 offset for Last Year comparison</w:t>
      </w:r>
    </w:p>
    <w:p>
      <w:pPr>
        <w:pStyle w:val="ListBullet"/>
        <w:spacing w:after="40"/>
      </w:pPr>
      <w:r>
        <w:t>Growth KPIs (S900083, S900071, S900073, S900072) are derived from child accounts via a numerator/denominator pattern, not stored directly as values</w:t>
      </w:r>
    </w:p>
    <w:p>
      <w:pPr>
        <w:pStyle w:val="ListBullet"/>
        <w:spacing w:after="40"/>
      </w:pPr>
      <w:r>
        <w:t>The vw_pl_brand_product view creates 3 parallel item breakdowns via UNION ALL: by Brand (COALESCE with 'EMPTY BRAND'), by Product_Category ('EMPTY PCAT'), and by Product_Consolidation ('EMPTY PCONS')</w:t>
      </w:r>
    </w:p>
    <w:p>
      <w:pPr>
        <w:pStyle w:val="ListBullet"/>
        <w:spacing w:after="40"/>
      </w:pPr>
      <w:r>
        <w:t>All monetary values are ROUND'd to 4 decimal places in view outputs</w:t>
      </w:r>
    </w:p>
    <w:p>
      <w:pPr>
        <w:pStyle w:val="ListBullet"/>
        <w:spacing w:after="40"/>
      </w:pPr>
      <w:r>
        <w:t>Views use GROUP BY ALL (Databricks SQL extension) for aggregation</w:t>
      </w:r>
    </w:p>
    <w:p>
      <w:pPr>
        <w:pStyle w:val="ListBullet"/>
        <w:spacing w:after="40"/>
      </w:pPr>
      <w:r>
        <w:t>Views LEFT JOIN to Dimensions_Account (some accounts may lack aliases) but INNER JOIN to Dimensions_Entity (all entities must resolve)</w:t>
      </w:r>
    </w:p>
    <w:p>
      <w:r>
        <w:br w:type="page"/>
      </w:r>
    </w:p>
    <w:p>
      <w:pPr>
        <w:pStyle w:val="Heading1"/>
      </w:pPr>
      <w:r>
        <w:t>5. Simulated Data Strategy</w:t>
      </w:r>
    </w:p>
    <w:p>
      <w:pPr>
        <w:spacing w:after="120"/>
      </w:pPr>
      <w:r>
        <w:t>Per Rajiv Chandrasekaran's direction: FinIQ development shall proceed using simulated data that mirrors the Databricks schema structure while Mars Datalake access is being provisioned. The simulation shall be comprehensive enough to validate all Databricks-dependent features end-to-end.</w:t>
      </w:r>
    </w:p>
    <w:p>
      <w:pPr>
        <w:pStyle w:val="Heading2"/>
      </w:pPr>
      <w:r>
        <w:t>5.1 Simulation Requirements</w:t>
      </w:r>
    </w:p>
    <w:p>
      <w:pPr>
        <w:pStyle w:val="ListBullet"/>
        <w:spacing w:after="40"/>
      </w:pPr>
      <w:r>
        <w:t>Generate synthetic data for all 20 Databricks objects matching exact column names, data types, and array structures</w:t>
      </w:r>
    </w:p>
    <w:p>
      <w:pPr>
        <w:pStyle w:val="ListBullet"/>
        <w:spacing w:after="40"/>
      </w:pPr>
      <w:r>
        <w:t>Organizational hierarchy: simulate 150+ units mirroring the Mars structure (Mars Inc &gt; 4 GBUs &gt; Divisions &gt; Regions &gt; Sub-units)</w:t>
      </w:r>
    </w:p>
    <w:p>
      <w:pPr>
        <w:pStyle w:val="ListBullet"/>
        <w:spacing w:after="40"/>
      </w:pPr>
      <w:r>
        <w:t>Financial data: generate realistic P&amp;L and NCFO values with period-over-period trends, seasonal patterns, and variance ranges typical of FMCG companies</w:t>
      </w:r>
    </w:p>
    <w:p>
      <w:pPr>
        <w:pStyle w:val="ListBullet"/>
        <w:spacing w:after="40"/>
      </w:pPr>
      <w:r>
        <w:t>Replan data: generate budget targets that are 90-110% of actuals to create realistic variance scenarios</w:t>
      </w:r>
    </w:p>
    <w:p>
      <w:pPr>
        <w:pStyle w:val="ListBullet"/>
        <w:spacing w:after="40"/>
      </w:pPr>
      <w:r>
        <w:t>Product taxonomy: generate 100+ composite items across multiple brands, segments, and categories</w:t>
      </w:r>
    </w:p>
    <w:p>
      <w:pPr>
        <w:pStyle w:val="ListBullet"/>
        <w:spacing w:after="40"/>
      </w:pPr>
      <w:r>
        <w:t>Customer data: generate 50+ customers with hierarchical relationships and channel/format classifications</w:t>
      </w:r>
    </w:p>
    <w:p>
      <w:pPr>
        <w:pStyle w:val="ListBullet"/>
        <w:spacing w:after="40"/>
      </w:pPr>
      <w:r>
        <w:t>Date dimension: populate for FY2024 and FY2025 with Mars fiscal calendar periods</w:t>
      </w:r>
    </w:p>
    <w:p>
      <w:pPr>
        <w:pStyle w:val="ListBullet"/>
        <w:spacing w:after="40"/>
      </w:pPr>
      <w:r>
        <w:t>View outputs: simulate the precomputed view outputs (YTD_LY, YTD_CY, Periodic_LY, Periodic_CY) with mathematically consistent values</w:t>
      </w:r>
    </w:p>
    <w:p>
      <w:pPr>
        <w:pStyle w:val="Heading2"/>
      </w:pPr>
      <w:r>
        <w:t>5.2 Simulation Delivery</w:t>
      </w:r>
    </w:p>
    <w:p>
      <w:pPr>
        <w:pStyle w:val="ListBullet"/>
        <w:spacing w:after="40"/>
      </w:pPr>
      <w:r>
        <w:t>Simulated data shall be loadable into a local SQLite or PostgreSQL database for development and testing</w:t>
      </w:r>
    </w:p>
    <w:p>
      <w:pPr>
        <w:pStyle w:val="ListBullet"/>
        <w:spacing w:after="40"/>
      </w:pPr>
      <w:r>
        <w:t>A Databricks-compatible API mock shall be provided that returns simulated data in the same format as the real Databricks SQL connector</w:t>
      </w:r>
    </w:p>
    <w:p>
      <w:pPr>
        <w:pStyle w:val="ListBullet"/>
        <w:spacing w:after="40"/>
      </w:pPr>
      <w:r>
        <w:t>Integration tests shall run against both simulated and real Databricks environments with a single configuration toggle</w:t>
      </w:r>
    </w:p>
    <w:p>
      <w:r>
        <w:br w:type="page"/>
      </w:r>
    </w:p>
    <w:p>
      <w:pPr>
        <w:pStyle w:val="Heading1"/>
      </w:pPr>
      <w:r>
        <w:t>6. Change Summary</w:t>
      </w:r>
    </w:p>
    <w:p>
      <w:pPr>
        <w:spacing w:after="120"/>
      </w:pPr>
      <w:r>
        <w:t>This addendum introduces the following changes to the base SRS v2.1:</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152"/>
            <w:shd w:fill="1A56DB"/>
          </w:tcPr>
          <w:p>
            <w:r/>
            <w:r>
              <w:rPr>
                <w:rFonts w:ascii="Calibri" w:hAnsi="Calibri"/>
                <w:b/>
                <w:color w:val="FFFFFF"/>
                <w:sz w:val="20"/>
              </w:rPr>
              <w:t>Change ID</w:t>
            </w:r>
          </w:p>
        </w:tc>
        <w:tc>
          <w:tcPr>
            <w:tcW w:type="dxa" w:w="1440"/>
            <w:shd w:fill="1A56DB"/>
          </w:tcPr>
          <w:p>
            <w:r/>
            <w:r>
              <w:rPr>
                <w:rFonts w:ascii="Calibri" w:hAnsi="Calibri"/>
                <w:b/>
                <w:color w:val="FFFFFF"/>
                <w:sz w:val="20"/>
              </w:rPr>
              <w:t>Type</w:t>
            </w:r>
          </w:p>
        </w:tc>
        <w:tc>
          <w:tcPr>
            <w:tcW w:type="dxa" w:w="1440"/>
            <w:shd w:fill="1A56DB"/>
          </w:tcPr>
          <w:p>
            <w:r/>
            <w:r>
              <w:rPr>
                <w:rFonts w:ascii="Calibri" w:hAnsi="Calibri"/>
                <w:b/>
                <w:color w:val="FFFFFF"/>
                <w:sz w:val="20"/>
              </w:rPr>
              <w:t>Requirement</w:t>
            </w:r>
          </w:p>
        </w:tc>
        <w:tc>
          <w:tcPr>
            <w:tcW w:type="dxa" w:w="5328"/>
            <w:shd w:fill="1A56DB"/>
          </w:tcPr>
          <w:p>
            <w:r/>
            <w:r>
              <w:rPr>
                <w:rFonts w:ascii="Calibri" w:hAnsi="Calibri"/>
                <w:b/>
                <w:color w:val="FFFFFF"/>
                <w:sz w:val="20"/>
              </w:rPr>
              <w:t>Description</w:t>
            </w:r>
          </w:p>
        </w:tc>
      </w:tr>
      <w:tr>
        <w:tc>
          <w:tcPr>
            <w:tcW w:type="dxa" w:w="1152"/>
          </w:tcPr>
          <w:p>
            <w:r/>
            <w:r>
              <w:rPr>
                <w:rFonts w:ascii="Calibri" w:hAnsi="Calibri"/>
                <w:color w:val="333333"/>
                <w:sz w:val="18"/>
              </w:rPr>
              <w:t>A-001</w:t>
            </w:r>
          </w:p>
        </w:tc>
        <w:tc>
          <w:tcPr>
            <w:tcW w:type="dxa" w:w="1440"/>
          </w:tcPr>
          <w:p>
            <w:r/>
            <w:r>
              <w:rPr>
                <w:rFonts w:ascii="Calibri" w:hAnsi="Calibri"/>
                <w:color w:val="333333"/>
                <w:sz w:val="18"/>
              </w:rPr>
              <w:t>AMENDED</w:t>
            </w:r>
          </w:p>
        </w:tc>
        <w:tc>
          <w:tcPr>
            <w:tcW w:type="dxa" w:w="1440"/>
          </w:tcPr>
          <w:p>
            <w:r/>
            <w:r>
              <w:rPr>
                <w:rFonts w:ascii="Calibri" w:hAnsi="Calibri"/>
                <w:color w:val="333333"/>
                <w:sz w:val="18"/>
              </w:rPr>
              <w:t>FR1.1</w:t>
            </w:r>
          </w:p>
        </w:tc>
        <w:tc>
          <w:tcPr>
            <w:tcW w:type="dxa" w:w="5328"/>
          </w:tcPr>
          <w:p>
            <w:r/>
            <w:r>
              <w:rPr>
                <w:rFonts w:ascii="Calibri" w:hAnsi="Calibri"/>
                <w:color w:val="333333"/>
                <w:sz w:val="18"/>
              </w:rPr>
              <w:t>Data ingestion: Excel → Databricks/FinSight primary with Excel fallback</w:t>
            </w:r>
          </w:p>
        </w:tc>
      </w:tr>
      <w:tr>
        <w:tc>
          <w:tcPr>
            <w:tcW w:type="dxa" w:w="1152"/>
            <w:shd w:fill="F2F6FC"/>
          </w:tcPr>
          <w:p>
            <w:r/>
            <w:r>
              <w:rPr>
                <w:rFonts w:ascii="Calibri" w:hAnsi="Calibri"/>
                <w:color w:val="333333"/>
                <w:sz w:val="18"/>
              </w:rPr>
              <w:t>A-002</w:t>
            </w:r>
          </w:p>
        </w:tc>
        <w:tc>
          <w:tcPr>
            <w:tcW w:type="dxa" w:w="1440"/>
            <w:shd w:fill="F2F6FC"/>
          </w:tcPr>
          <w:p>
            <w:r/>
            <w:r>
              <w:rPr>
                <w:rFonts w:ascii="Calibri" w:hAnsi="Calibri"/>
                <w:color w:val="333333"/>
                <w:sz w:val="18"/>
              </w:rPr>
              <w:t>NEW</w:t>
            </w:r>
          </w:p>
        </w:tc>
        <w:tc>
          <w:tcPr>
            <w:tcW w:type="dxa" w:w="1440"/>
            <w:shd w:fill="F2F6FC"/>
          </w:tcPr>
          <w:p>
            <w:r/>
            <w:r>
              <w:rPr>
                <w:rFonts w:ascii="Calibri" w:hAnsi="Calibri"/>
                <w:color w:val="333333"/>
                <w:sz w:val="18"/>
              </w:rPr>
              <w:t>FR1.6</w:t>
            </w:r>
          </w:p>
        </w:tc>
        <w:tc>
          <w:tcPr>
            <w:tcW w:type="dxa" w:w="5328"/>
            <w:shd w:fill="F2F6FC"/>
          </w:tcPr>
          <w:p>
            <w:r/>
            <w:r>
              <w:rPr>
                <w:rFonts w:ascii="Calibri" w:hAnsi="Calibri"/>
                <w:color w:val="333333"/>
                <w:sz w:val="18"/>
              </w:rPr>
              <w:t>Databricks connection management (auth, pooling, retry, logging)</w:t>
            </w:r>
          </w:p>
        </w:tc>
      </w:tr>
      <w:tr>
        <w:tc>
          <w:tcPr>
            <w:tcW w:type="dxa" w:w="1152"/>
          </w:tcPr>
          <w:p>
            <w:r/>
            <w:r>
              <w:rPr>
                <w:rFonts w:ascii="Calibri" w:hAnsi="Calibri"/>
                <w:color w:val="333333"/>
                <w:sz w:val="18"/>
              </w:rPr>
              <w:t>A-003</w:t>
            </w:r>
          </w:p>
        </w:tc>
        <w:tc>
          <w:tcPr>
            <w:tcW w:type="dxa" w:w="1440"/>
          </w:tcPr>
          <w:p>
            <w:r/>
            <w:r>
              <w:rPr>
                <w:rFonts w:ascii="Calibri" w:hAnsi="Calibri"/>
                <w:color w:val="333333"/>
                <w:sz w:val="18"/>
              </w:rPr>
              <w:t>EXTENDED</w:t>
            </w:r>
          </w:p>
        </w:tc>
        <w:tc>
          <w:tcPr>
            <w:tcW w:type="dxa" w:w="1440"/>
          </w:tcPr>
          <w:p>
            <w:r/>
            <w:r>
              <w:rPr>
                <w:rFonts w:ascii="Calibri" w:hAnsi="Calibri"/>
                <w:color w:val="333333"/>
                <w:sz w:val="18"/>
              </w:rPr>
              <w:t>FR2.1</w:t>
            </w:r>
          </w:p>
        </w:tc>
        <w:tc>
          <w:tcPr>
            <w:tcW w:type="dxa" w:w="5328"/>
          </w:tcPr>
          <w:p>
            <w:r/>
            <w:r>
              <w:rPr>
                <w:rFonts w:ascii="Calibri" w:hAnsi="Calibri"/>
                <w:color w:val="333333"/>
                <w:sz w:val="18"/>
              </w:rPr>
              <w:t>PES generation from precomputed Databricks views instead of Excel</w:t>
            </w:r>
          </w:p>
        </w:tc>
      </w:tr>
      <w:tr>
        <w:tc>
          <w:tcPr>
            <w:tcW w:type="dxa" w:w="1152"/>
            <w:shd w:fill="F2F6FC"/>
          </w:tcPr>
          <w:p>
            <w:r/>
            <w:r>
              <w:rPr>
                <w:rFonts w:ascii="Calibri" w:hAnsi="Calibri"/>
                <w:color w:val="333333"/>
                <w:sz w:val="18"/>
              </w:rPr>
              <w:t>A-004</w:t>
            </w:r>
          </w:p>
        </w:tc>
        <w:tc>
          <w:tcPr>
            <w:tcW w:type="dxa" w:w="1440"/>
            <w:shd w:fill="F2F6FC"/>
          </w:tcPr>
          <w:p>
            <w:r/>
            <w:r>
              <w:rPr>
                <w:rFonts w:ascii="Calibri" w:hAnsi="Calibri"/>
                <w:color w:val="333333"/>
                <w:sz w:val="18"/>
              </w:rPr>
              <w:t>NEW</w:t>
            </w:r>
          </w:p>
        </w:tc>
        <w:tc>
          <w:tcPr>
            <w:tcW w:type="dxa" w:w="1440"/>
            <w:shd w:fill="F2F6FC"/>
          </w:tcPr>
          <w:p>
            <w:r/>
            <w:r>
              <w:rPr>
                <w:rFonts w:ascii="Calibri" w:hAnsi="Calibri"/>
                <w:color w:val="333333"/>
                <w:sz w:val="18"/>
              </w:rPr>
              <w:t>FR2.7</w:t>
            </w:r>
          </w:p>
        </w:tc>
        <w:tc>
          <w:tcPr>
            <w:tcW w:type="dxa" w:w="5328"/>
            <w:shd w:fill="F2F6FC"/>
          </w:tcPr>
          <w:p>
            <w:r/>
            <w:r>
              <w:rPr>
                <w:rFonts w:ascii="Calibri" w:hAnsi="Calibri"/>
                <w:color w:val="333333"/>
                <w:sz w:val="18"/>
              </w:rPr>
              <w:t>Budget variance reporting (actual vs. replan from finiq_financial_replan)</w:t>
            </w:r>
          </w:p>
        </w:tc>
      </w:tr>
      <w:tr>
        <w:tc>
          <w:tcPr>
            <w:tcW w:type="dxa" w:w="1152"/>
          </w:tcPr>
          <w:p>
            <w:r/>
            <w:r>
              <w:rPr>
                <w:rFonts w:ascii="Calibri" w:hAnsi="Calibri"/>
                <w:color w:val="333333"/>
                <w:sz w:val="18"/>
              </w:rPr>
              <w:t>A-005</w:t>
            </w:r>
          </w:p>
        </w:tc>
        <w:tc>
          <w:tcPr>
            <w:tcW w:type="dxa" w:w="1440"/>
          </w:tcPr>
          <w:p>
            <w:r/>
            <w:r>
              <w:rPr>
                <w:rFonts w:ascii="Calibri" w:hAnsi="Calibri"/>
                <w:color w:val="333333"/>
                <w:sz w:val="18"/>
              </w:rPr>
              <w:t>EXTENDED</w:t>
            </w:r>
          </w:p>
        </w:tc>
        <w:tc>
          <w:tcPr>
            <w:tcW w:type="dxa" w:w="1440"/>
          </w:tcPr>
          <w:p>
            <w:r/>
            <w:r>
              <w:rPr>
                <w:rFonts w:ascii="Calibri" w:hAnsi="Calibri"/>
                <w:color w:val="333333"/>
                <w:sz w:val="18"/>
              </w:rPr>
              <w:t>FR6.1</w:t>
            </w:r>
          </w:p>
        </w:tc>
        <w:tc>
          <w:tcPr>
            <w:tcW w:type="dxa" w:w="5328"/>
          </w:tcPr>
          <w:p>
            <w:r/>
            <w:r>
              <w:rPr>
                <w:rFonts w:ascii="Calibri" w:hAnsi="Calibri"/>
                <w:color w:val="333333"/>
                <w:sz w:val="18"/>
              </w:rPr>
              <w:t>Three-way comparison: Actual vs. Replan vs. Amira Forecast</w:t>
            </w:r>
          </w:p>
        </w:tc>
      </w:tr>
      <w:tr>
        <w:tc>
          <w:tcPr>
            <w:tcW w:type="dxa" w:w="1152"/>
            <w:shd w:fill="F2F6FC"/>
          </w:tcPr>
          <w:p>
            <w:r/>
            <w:r>
              <w:rPr>
                <w:rFonts w:ascii="Calibri" w:hAnsi="Calibri"/>
                <w:color w:val="333333"/>
                <w:sz w:val="18"/>
              </w:rPr>
              <w:t>A-006</w:t>
            </w:r>
          </w:p>
        </w:tc>
        <w:tc>
          <w:tcPr>
            <w:tcW w:type="dxa" w:w="1440"/>
            <w:shd w:fill="F2F6FC"/>
          </w:tcPr>
          <w:p>
            <w:r/>
            <w:r>
              <w:rPr>
                <w:rFonts w:ascii="Calibri" w:hAnsi="Calibri"/>
                <w:color w:val="333333"/>
                <w:sz w:val="18"/>
              </w:rPr>
              <w:t>NEW</w:t>
            </w:r>
          </w:p>
        </w:tc>
        <w:tc>
          <w:tcPr>
            <w:tcW w:type="dxa" w:w="1440"/>
            <w:shd w:fill="F2F6FC"/>
          </w:tcPr>
          <w:p>
            <w:r/>
            <w:r>
              <w:rPr>
                <w:rFonts w:ascii="Calibri" w:hAnsi="Calibri"/>
                <w:color w:val="333333"/>
                <w:sz w:val="18"/>
              </w:rPr>
              <w:t>FR6.5</w:t>
            </w:r>
          </w:p>
        </w:tc>
        <w:tc>
          <w:tcPr>
            <w:tcW w:type="dxa" w:w="5328"/>
            <w:shd w:fill="F2F6FC"/>
          </w:tcPr>
          <w:p>
            <w:r/>
            <w:r>
              <w:rPr>
                <w:rFonts w:ascii="Calibri" w:hAnsi="Calibri"/>
                <w:color w:val="333333"/>
                <w:sz w:val="18"/>
              </w:rPr>
              <w:t>Databricks data freshness monitoring and stale-data alerts</w:t>
            </w:r>
          </w:p>
        </w:tc>
      </w:tr>
      <w:tr>
        <w:tc>
          <w:tcPr>
            <w:tcW w:type="dxa" w:w="1152"/>
          </w:tcPr>
          <w:p>
            <w:r/>
            <w:r>
              <w:rPr>
                <w:rFonts w:ascii="Calibri" w:hAnsi="Calibri"/>
                <w:color w:val="333333"/>
                <w:sz w:val="18"/>
              </w:rPr>
              <w:t>A-007</w:t>
            </w:r>
          </w:p>
        </w:tc>
        <w:tc>
          <w:tcPr>
            <w:tcW w:type="dxa" w:w="1440"/>
          </w:tcPr>
          <w:p>
            <w:r/>
            <w:r>
              <w:rPr>
                <w:rFonts w:ascii="Calibri" w:hAnsi="Calibri"/>
                <w:color w:val="333333"/>
                <w:sz w:val="18"/>
              </w:rPr>
              <w:t>NEW</w:t>
            </w:r>
          </w:p>
        </w:tc>
        <w:tc>
          <w:tcPr>
            <w:tcW w:type="dxa" w:w="1440"/>
          </w:tcPr>
          <w:p>
            <w:r/>
            <w:r>
              <w:rPr>
                <w:rFonts w:ascii="Calibri" w:hAnsi="Calibri"/>
                <w:color w:val="333333"/>
                <w:sz w:val="18"/>
              </w:rPr>
              <w:t>FR7.6</w:t>
            </w:r>
          </w:p>
        </w:tc>
        <w:tc>
          <w:tcPr>
            <w:tcW w:type="dxa" w:w="5328"/>
          </w:tcPr>
          <w:p>
            <w:r/>
            <w:r>
              <w:rPr>
                <w:rFonts w:ascii="Calibri" w:hAnsi="Calibri"/>
                <w:color w:val="333333"/>
                <w:sz w:val="18"/>
              </w:rPr>
              <w:t>Databricks connection administration UI</w:t>
            </w:r>
          </w:p>
        </w:tc>
      </w:tr>
      <w:tr>
        <w:tc>
          <w:tcPr>
            <w:tcW w:type="dxa" w:w="1152"/>
            <w:shd w:fill="F2F6FC"/>
          </w:tcPr>
          <w:p>
            <w:r/>
            <w:r>
              <w:rPr>
                <w:rFonts w:ascii="Calibri" w:hAnsi="Calibri"/>
                <w:color w:val="333333"/>
                <w:sz w:val="18"/>
              </w:rPr>
              <w:t>A-008</w:t>
            </w:r>
          </w:p>
        </w:tc>
        <w:tc>
          <w:tcPr>
            <w:tcW w:type="dxa" w:w="1440"/>
            <w:shd w:fill="F2F6FC"/>
          </w:tcPr>
          <w:p>
            <w:r/>
            <w:r>
              <w:rPr>
                <w:rFonts w:ascii="Calibri" w:hAnsi="Calibri"/>
                <w:color w:val="333333"/>
                <w:sz w:val="18"/>
              </w:rPr>
              <w:t>AMENDED</w:t>
            </w:r>
          </w:p>
        </w:tc>
        <w:tc>
          <w:tcPr>
            <w:tcW w:type="dxa" w:w="1440"/>
            <w:shd w:fill="F2F6FC"/>
          </w:tcPr>
          <w:p>
            <w:r/>
            <w:r>
              <w:rPr>
                <w:rFonts w:ascii="Calibri" w:hAnsi="Calibri"/>
                <w:color w:val="333333"/>
                <w:sz w:val="18"/>
              </w:rPr>
              <w:t>Sec 1.2.2</w:t>
            </w:r>
          </w:p>
        </w:tc>
        <w:tc>
          <w:tcPr>
            <w:tcW w:type="dxa" w:w="5328"/>
            <w:shd w:fill="F2F6FC"/>
          </w:tcPr>
          <w:p>
            <w:r/>
            <w:r>
              <w:rPr>
                <w:rFonts w:ascii="Calibri" w:hAnsi="Calibri"/>
                <w:color w:val="333333"/>
                <w:sz w:val="18"/>
              </w:rPr>
              <w:t>Out of Scope updated: Databricks connectivity now in scope</w:t>
            </w:r>
          </w:p>
        </w:tc>
      </w:tr>
      <w:tr>
        <w:tc>
          <w:tcPr>
            <w:tcW w:type="dxa" w:w="1152"/>
          </w:tcPr>
          <w:p>
            <w:r/>
            <w:r>
              <w:rPr>
                <w:rFonts w:ascii="Calibri" w:hAnsi="Calibri"/>
                <w:color w:val="333333"/>
                <w:sz w:val="18"/>
              </w:rPr>
              <w:t>A-009</w:t>
            </w:r>
          </w:p>
        </w:tc>
        <w:tc>
          <w:tcPr>
            <w:tcW w:type="dxa" w:w="1440"/>
          </w:tcPr>
          <w:p>
            <w:r/>
            <w:r>
              <w:rPr>
                <w:rFonts w:ascii="Calibri" w:hAnsi="Calibri"/>
                <w:color w:val="333333"/>
                <w:sz w:val="18"/>
              </w:rPr>
              <w:t>EXTENDED</w:t>
            </w:r>
          </w:p>
        </w:tc>
        <w:tc>
          <w:tcPr>
            <w:tcW w:type="dxa" w:w="1440"/>
          </w:tcPr>
          <w:p>
            <w:r/>
            <w:r>
              <w:rPr>
                <w:rFonts w:ascii="Calibri" w:hAnsi="Calibri"/>
                <w:color w:val="333333"/>
                <w:sz w:val="18"/>
              </w:rPr>
              <w:t>Sec 1.3</w:t>
            </w:r>
          </w:p>
        </w:tc>
        <w:tc>
          <w:tcPr>
            <w:tcW w:type="dxa" w:w="5328"/>
          </w:tcPr>
          <w:p>
            <w:r/>
            <w:r>
              <w:rPr>
                <w:rFonts w:ascii="Calibri" w:hAnsi="Calibri"/>
                <w:color w:val="333333"/>
                <w:sz w:val="18"/>
              </w:rPr>
              <w:t>9 new glossary terms for Databricks/FinSight concepts</w:t>
            </w:r>
          </w:p>
        </w:tc>
      </w:tr>
      <w:tr>
        <w:tc>
          <w:tcPr>
            <w:tcW w:type="dxa" w:w="1152"/>
            <w:shd w:fill="F2F6FC"/>
          </w:tcPr>
          <w:p>
            <w:r/>
            <w:r>
              <w:rPr>
                <w:rFonts w:ascii="Calibri" w:hAnsi="Calibri"/>
                <w:color w:val="333333"/>
                <w:sz w:val="18"/>
              </w:rPr>
              <w:t>A-010</w:t>
            </w:r>
          </w:p>
        </w:tc>
        <w:tc>
          <w:tcPr>
            <w:tcW w:type="dxa" w:w="1440"/>
            <w:shd w:fill="F2F6FC"/>
          </w:tcPr>
          <w:p>
            <w:r/>
            <w:r>
              <w:rPr>
                <w:rFonts w:ascii="Calibri" w:hAnsi="Calibri"/>
                <w:color w:val="333333"/>
                <w:sz w:val="18"/>
              </w:rPr>
              <w:t>EXTENDED</w:t>
            </w:r>
          </w:p>
        </w:tc>
        <w:tc>
          <w:tcPr>
            <w:tcW w:type="dxa" w:w="1440"/>
            <w:shd w:fill="F2F6FC"/>
          </w:tcPr>
          <w:p>
            <w:r/>
            <w:r>
              <w:rPr>
                <w:rFonts w:ascii="Calibri" w:hAnsi="Calibri"/>
                <w:color w:val="333333"/>
                <w:sz w:val="18"/>
              </w:rPr>
              <w:t>Sec 1.4</w:t>
            </w:r>
          </w:p>
        </w:tc>
        <w:tc>
          <w:tcPr>
            <w:tcW w:type="dxa" w:w="5328"/>
            <w:shd w:fill="F2F6FC"/>
          </w:tcPr>
          <w:p>
            <w:r/>
            <w:r>
              <w:rPr>
                <w:rFonts w:ascii="Calibri" w:hAnsi="Calibri"/>
                <w:color w:val="333333"/>
                <w:sz w:val="18"/>
              </w:rPr>
              <w:t>2 new references (FinIQ UC Documentation, Schema Reference)</w:t>
            </w:r>
          </w:p>
        </w:tc>
      </w:tr>
      <w:tr>
        <w:tc>
          <w:tcPr>
            <w:tcW w:type="dxa" w:w="1152"/>
          </w:tcPr>
          <w:p>
            <w:r/>
            <w:r>
              <w:rPr>
                <w:rFonts w:ascii="Calibri" w:hAnsi="Calibri"/>
                <w:color w:val="333333"/>
                <w:sz w:val="18"/>
              </w:rPr>
              <w:t>A-011</w:t>
            </w:r>
          </w:p>
        </w:tc>
        <w:tc>
          <w:tcPr>
            <w:tcW w:type="dxa" w:w="1440"/>
          </w:tcPr>
          <w:p>
            <w:r/>
            <w:r>
              <w:rPr>
                <w:rFonts w:ascii="Calibri" w:hAnsi="Calibri"/>
                <w:color w:val="333333"/>
                <w:sz w:val="18"/>
              </w:rPr>
              <w:t>EXTENDED</w:t>
            </w:r>
          </w:p>
        </w:tc>
        <w:tc>
          <w:tcPr>
            <w:tcW w:type="dxa" w:w="1440"/>
          </w:tcPr>
          <w:p>
            <w:r/>
            <w:r>
              <w:rPr>
                <w:rFonts w:ascii="Calibri" w:hAnsi="Calibri"/>
                <w:color w:val="333333"/>
                <w:sz w:val="18"/>
              </w:rPr>
              <w:t>Sec 2.1</w:t>
            </w:r>
          </w:p>
        </w:tc>
        <w:tc>
          <w:tcPr>
            <w:tcW w:type="dxa" w:w="5328"/>
          </w:tcPr>
          <w:p>
            <w:r/>
            <w:r>
              <w:rPr>
                <w:rFonts w:ascii="Calibri" w:hAnsi="Calibri"/>
                <w:color w:val="333333"/>
                <w:sz w:val="18"/>
              </w:rPr>
              <w:t>FinSight data layer added to current-state description</w:t>
            </w:r>
          </w:p>
        </w:tc>
      </w:tr>
      <w:tr>
        <w:tc>
          <w:tcPr>
            <w:tcW w:type="dxa" w:w="1152"/>
            <w:shd w:fill="F2F6FC"/>
          </w:tcPr>
          <w:p>
            <w:r/>
            <w:r>
              <w:rPr>
                <w:rFonts w:ascii="Calibri" w:hAnsi="Calibri"/>
                <w:color w:val="333333"/>
                <w:sz w:val="18"/>
              </w:rPr>
              <w:t>A-012</w:t>
            </w:r>
          </w:p>
        </w:tc>
        <w:tc>
          <w:tcPr>
            <w:tcW w:type="dxa" w:w="1440"/>
            <w:shd w:fill="F2F6FC"/>
          </w:tcPr>
          <w:p>
            <w:r/>
            <w:r>
              <w:rPr>
                <w:rFonts w:ascii="Calibri" w:hAnsi="Calibri"/>
                <w:color w:val="333333"/>
                <w:sz w:val="18"/>
              </w:rPr>
              <w:t>EXTENDED</w:t>
            </w:r>
          </w:p>
        </w:tc>
        <w:tc>
          <w:tcPr>
            <w:tcW w:type="dxa" w:w="1440"/>
            <w:shd w:fill="F2F6FC"/>
          </w:tcPr>
          <w:p>
            <w:r/>
            <w:r>
              <w:rPr>
                <w:rFonts w:ascii="Calibri" w:hAnsi="Calibri"/>
                <w:color w:val="333333"/>
                <w:sz w:val="18"/>
              </w:rPr>
              <w:t>Sec 2.1.3</w:t>
            </w:r>
          </w:p>
        </w:tc>
        <w:tc>
          <w:tcPr>
            <w:tcW w:type="dxa" w:w="5328"/>
            <w:shd w:fill="F2F6FC"/>
          </w:tcPr>
          <w:p>
            <w:r/>
            <w:r>
              <w:rPr>
                <w:rFonts w:ascii="Calibri" w:hAnsi="Calibri"/>
                <w:color w:val="333333"/>
                <w:sz w:val="18"/>
              </w:rPr>
              <w:t>4 new rows in Gap Analysis table</w:t>
            </w:r>
          </w:p>
        </w:tc>
      </w:tr>
      <w:tr>
        <w:tc>
          <w:tcPr>
            <w:tcW w:type="dxa" w:w="1152"/>
          </w:tcPr>
          <w:p>
            <w:r/>
            <w:r>
              <w:rPr>
                <w:rFonts w:ascii="Calibri" w:hAnsi="Calibri"/>
                <w:color w:val="333333"/>
                <w:sz w:val="18"/>
              </w:rPr>
              <w:t>A-013</w:t>
            </w:r>
          </w:p>
        </w:tc>
        <w:tc>
          <w:tcPr>
            <w:tcW w:type="dxa" w:w="1440"/>
          </w:tcPr>
          <w:p>
            <w:r/>
            <w:r>
              <w:rPr>
                <w:rFonts w:ascii="Calibri" w:hAnsi="Calibri"/>
                <w:color w:val="333333"/>
                <w:sz w:val="18"/>
              </w:rPr>
              <w:t>AMENDED</w:t>
            </w:r>
          </w:p>
        </w:tc>
        <w:tc>
          <w:tcPr>
            <w:tcW w:type="dxa" w:w="1440"/>
          </w:tcPr>
          <w:p>
            <w:r/>
            <w:r>
              <w:rPr>
                <w:rFonts w:ascii="Calibri" w:hAnsi="Calibri"/>
                <w:color w:val="333333"/>
                <w:sz w:val="18"/>
              </w:rPr>
              <w:t>Sec 2.4</w:t>
            </w:r>
          </w:p>
        </w:tc>
        <w:tc>
          <w:tcPr>
            <w:tcW w:type="dxa" w:w="5328"/>
          </w:tcPr>
          <w:p>
            <w:r/>
            <w:r>
              <w:rPr>
                <w:rFonts w:ascii="Calibri" w:hAnsi="Calibri"/>
                <w:color w:val="333333"/>
                <w:sz w:val="18"/>
              </w:rPr>
              <w:t>Constraint: Excel-only → Databricks-primary with Excel fallback</w:t>
            </w:r>
          </w:p>
        </w:tc>
      </w:tr>
      <w:tr>
        <w:tc>
          <w:tcPr>
            <w:tcW w:type="dxa" w:w="1152"/>
            <w:shd w:fill="F2F6FC"/>
          </w:tcPr>
          <w:p>
            <w:r/>
            <w:r>
              <w:rPr>
                <w:rFonts w:ascii="Calibri" w:hAnsi="Calibri"/>
                <w:color w:val="333333"/>
                <w:sz w:val="18"/>
              </w:rPr>
              <w:t>A-014</w:t>
            </w:r>
          </w:p>
        </w:tc>
        <w:tc>
          <w:tcPr>
            <w:tcW w:type="dxa" w:w="1440"/>
            <w:shd w:fill="F2F6FC"/>
          </w:tcPr>
          <w:p>
            <w:r/>
            <w:r>
              <w:rPr>
                <w:rFonts w:ascii="Calibri" w:hAnsi="Calibri"/>
                <w:color w:val="333333"/>
                <w:sz w:val="18"/>
              </w:rPr>
              <w:t>AMENDED</w:t>
            </w:r>
          </w:p>
        </w:tc>
        <w:tc>
          <w:tcPr>
            <w:tcW w:type="dxa" w:w="1440"/>
            <w:shd w:fill="F2F6FC"/>
          </w:tcPr>
          <w:p>
            <w:r/>
            <w:r>
              <w:rPr>
                <w:rFonts w:ascii="Calibri" w:hAnsi="Calibri"/>
                <w:color w:val="333333"/>
                <w:sz w:val="18"/>
              </w:rPr>
              <w:t>Sec 2.5</w:t>
            </w:r>
          </w:p>
        </w:tc>
        <w:tc>
          <w:tcPr>
            <w:tcW w:type="dxa" w:w="5328"/>
            <w:shd w:fill="F2F6FC"/>
          </w:tcPr>
          <w:p>
            <w:r/>
            <w:r>
              <w:rPr>
                <w:rFonts w:ascii="Calibri" w:hAnsi="Calibri"/>
                <w:color w:val="333333"/>
                <w:sz w:val="18"/>
              </w:rPr>
              <w:t>Assumption: Excel schema stability → Databricks schema stability</w:t>
            </w:r>
          </w:p>
        </w:tc>
      </w:tr>
      <w:tr>
        <w:tc>
          <w:tcPr>
            <w:tcW w:type="dxa" w:w="1152"/>
          </w:tcPr>
          <w:p>
            <w:r/>
            <w:r>
              <w:rPr>
                <w:rFonts w:ascii="Calibri" w:hAnsi="Calibri"/>
                <w:color w:val="333333"/>
                <w:sz w:val="18"/>
              </w:rPr>
              <w:t>A-015</w:t>
            </w:r>
          </w:p>
        </w:tc>
        <w:tc>
          <w:tcPr>
            <w:tcW w:type="dxa" w:w="1440"/>
          </w:tcPr>
          <w:p>
            <w:r/>
            <w:r>
              <w:rPr>
                <w:rFonts w:ascii="Calibri" w:hAnsi="Calibri"/>
                <w:color w:val="333333"/>
                <w:sz w:val="18"/>
              </w:rPr>
              <w:t>AMENDED</w:t>
            </w:r>
          </w:p>
        </w:tc>
        <w:tc>
          <w:tcPr>
            <w:tcW w:type="dxa" w:w="1440"/>
          </w:tcPr>
          <w:p>
            <w:r/>
            <w:r>
              <w:rPr>
                <w:rFonts w:ascii="Calibri" w:hAnsi="Calibri"/>
                <w:color w:val="333333"/>
                <w:sz w:val="18"/>
              </w:rPr>
              <w:t>Sec 4</w:t>
            </w:r>
          </w:p>
        </w:tc>
        <w:tc>
          <w:tcPr>
            <w:tcW w:type="dxa" w:w="5328"/>
          </w:tcPr>
          <w:p>
            <w:r/>
            <w:r>
              <w:rPr>
                <w:rFonts w:ascii="Calibri" w:hAnsi="Calibri"/>
                <w:color w:val="333333"/>
                <w:sz w:val="18"/>
              </w:rPr>
              <w:t>Data model: conceptual entities mapped to actual Databricks tables; 10 new entities</w:t>
            </w:r>
          </w:p>
        </w:tc>
      </w:tr>
      <w:tr>
        <w:tc>
          <w:tcPr>
            <w:tcW w:type="dxa" w:w="1152"/>
            <w:shd w:fill="F2F6FC"/>
          </w:tcPr>
          <w:p>
            <w:r/>
            <w:r>
              <w:rPr>
                <w:rFonts w:ascii="Calibri" w:hAnsi="Calibri"/>
                <w:color w:val="333333"/>
                <w:sz w:val="18"/>
              </w:rPr>
              <w:t>A-016</w:t>
            </w:r>
          </w:p>
        </w:tc>
        <w:tc>
          <w:tcPr>
            <w:tcW w:type="dxa" w:w="1440"/>
            <w:shd w:fill="F2F6FC"/>
          </w:tcPr>
          <w:p>
            <w:r/>
            <w:r>
              <w:rPr>
                <w:rFonts w:ascii="Calibri" w:hAnsi="Calibri"/>
                <w:color w:val="333333"/>
                <w:sz w:val="18"/>
              </w:rPr>
              <w:t>AMENDED</w:t>
            </w:r>
          </w:p>
        </w:tc>
        <w:tc>
          <w:tcPr>
            <w:tcW w:type="dxa" w:w="1440"/>
            <w:shd w:fill="F2F6FC"/>
          </w:tcPr>
          <w:p>
            <w:r/>
            <w:r>
              <w:rPr>
                <w:rFonts w:ascii="Calibri" w:hAnsi="Calibri"/>
                <w:color w:val="333333"/>
                <w:sz w:val="18"/>
              </w:rPr>
              <w:t>Sec 5</w:t>
            </w:r>
          </w:p>
        </w:tc>
        <w:tc>
          <w:tcPr>
            <w:tcW w:type="dxa" w:w="5328"/>
            <w:shd w:fill="F2F6FC"/>
          </w:tcPr>
          <w:p>
            <w:r/>
            <w:r>
              <w:rPr>
                <w:rFonts w:ascii="Calibri" w:hAnsi="Calibri"/>
                <w:color w:val="333333"/>
                <w:sz w:val="18"/>
              </w:rPr>
              <w:t>Architecture Layer 4 amended; 3 new components; Data Flow 1 amended</w:t>
            </w:r>
          </w:p>
        </w:tc>
      </w:tr>
      <w:tr>
        <w:tc>
          <w:tcPr>
            <w:tcW w:type="dxa" w:w="1152"/>
          </w:tcPr>
          <w:p>
            <w:r/>
            <w:r>
              <w:rPr>
                <w:rFonts w:ascii="Calibri" w:hAnsi="Calibri"/>
                <w:color w:val="333333"/>
                <w:sz w:val="18"/>
              </w:rPr>
              <w:t>A-017</w:t>
            </w:r>
          </w:p>
        </w:tc>
        <w:tc>
          <w:tcPr>
            <w:tcW w:type="dxa" w:w="1440"/>
          </w:tcPr>
          <w:p>
            <w:r/>
            <w:r>
              <w:rPr>
                <w:rFonts w:ascii="Calibri" w:hAnsi="Calibri"/>
                <w:color w:val="333333"/>
                <w:sz w:val="18"/>
              </w:rPr>
              <w:t>EXTENDED</w:t>
            </w:r>
          </w:p>
        </w:tc>
        <w:tc>
          <w:tcPr>
            <w:tcW w:type="dxa" w:w="1440"/>
          </w:tcPr>
          <w:p>
            <w:r/>
            <w:r>
              <w:rPr>
                <w:rFonts w:ascii="Calibri" w:hAnsi="Calibri"/>
                <w:color w:val="333333"/>
                <w:sz w:val="18"/>
              </w:rPr>
              <w:t>Sec 8</w:t>
            </w:r>
          </w:p>
        </w:tc>
        <w:tc>
          <w:tcPr>
            <w:tcW w:type="dxa" w:w="5328"/>
          </w:tcPr>
          <w:p>
            <w:r/>
            <w:r>
              <w:rPr>
                <w:rFonts w:ascii="Calibri" w:hAnsi="Calibri"/>
                <w:color w:val="333333"/>
                <w:sz w:val="18"/>
              </w:rPr>
              <w:t>6 new acceptance criteria for Databricks integration</w:t>
            </w:r>
          </w:p>
        </w:tc>
      </w:tr>
    </w:tbl>
    <w:p/>
    <w:p>
      <w:pPr>
        <w:spacing w:after="200"/>
      </w:pPr>
      <w:r>
        <w:rPr>
          <w:b/>
        </w:rPr>
        <w:t>Total: 4 amended requirements, 4 new requirements, 9 extended sections, yielding a net addition of 4 new functional requirements (FR1.6, FR2.7, FR6.5, FR7.6) bringing the effective total from 46 to 50 functional requirements when this addendum is applied to the base SRS.</w:t>
      </w:r>
    </w:p>
    <w:p/>
    <w:p>
      <w:pPr>
        <w:jc w:val="center"/>
      </w:pPr>
      <w:r>
        <w:rPr>
          <w:i/>
          <w:color w:val="999999"/>
          <w:sz w:val="18"/>
        </w:rPr>
        <w:t>--- End of Addendum A ---</w:t>
      </w:r>
    </w:p>
    <w:p>
      <w:pPr>
        <w:jc w:val="center"/>
      </w:pPr>
      <w:r>
        <w:rPr>
          <w:color w:val="999999"/>
          <w:sz w:val="16"/>
        </w:rPr>
        <w:t>Amira FinIQ SRS Addendum A | Confidential | Prepared for Mars, Incorporated</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1F44"/>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A56D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