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1F44"/>
          <w:sz w:val="72"/>
        </w:rPr>
        <w:t>Amira FinIQ</w:t>
      </w:r>
    </w:p>
    <w:p>
      <w:pPr>
        <w:jc w:val="center"/>
      </w:pPr>
      <w:r>
        <w:rPr>
          <w:rFonts w:ascii="Calibri" w:hAnsi="Calibri"/>
          <w:color w:val="1A56DB"/>
          <w:sz w:val="36"/>
        </w:rPr>
        <w:t>Unified Financial Analytics Hub</w:t>
      </w:r>
    </w:p>
    <w:p/>
    <w:p>
      <w:pPr>
        <w:jc w:val="center"/>
      </w:pPr>
      <w:r>
        <w:rPr>
          <w:rFonts w:ascii="Calibri" w:hAnsi="Calibri"/>
          <w:color w:val="333333"/>
          <w:sz w:val="32"/>
        </w:rPr>
        <w:t>Software Requirements Specification</w:t>
      </w:r>
    </w:p>
    <w:p>
      <w:pPr>
        <w:jc w:val="center"/>
      </w:pPr>
      <w:r>
        <w:rPr>
          <w:rFonts w:ascii="Calibri" w:hAnsi="Calibri"/>
          <w:color w:val="666666"/>
          <w:sz w:val="22"/>
        </w:rPr>
        <w:t>IEEE 830 / ISO/IEC/IEEE 29148 Format</w:t>
      </w:r>
    </w:p>
    <w:p/>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Calibri" w:hAnsi="Calibri"/>
                <w:b/>
                <w:color w:val="333333"/>
                <w:sz w:val="20"/>
              </w:rPr>
              <w:t>Document Version</w:t>
            </w:r>
          </w:p>
        </w:tc>
        <w:tc>
          <w:tcPr>
            <w:tcW w:type="dxa" w:w="4680"/>
          </w:tcPr>
          <w:p>
            <w:pPr>
              <w:jc w:val="center"/>
            </w:pPr>
            <w:r/>
            <w:r>
              <w:rPr>
                <w:rFonts w:ascii="Calibri" w:hAnsi="Calibri"/>
                <w:color w:val="333333"/>
                <w:sz w:val="20"/>
              </w:rPr>
              <w:t>2.0</w:t>
            </w:r>
          </w:p>
        </w:tc>
      </w:tr>
      <w:tr>
        <w:tc>
          <w:tcPr>
            <w:tcW w:type="dxa" w:w="4680"/>
          </w:tcPr>
          <w:p>
            <w:pPr>
              <w:jc w:val="center"/>
            </w:pPr>
            <w:r/>
            <w:r>
              <w:rPr>
                <w:rFonts w:ascii="Calibri" w:hAnsi="Calibri"/>
                <w:b/>
                <w:color w:val="333333"/>
                <w:sz w:val="20"/>
              </w:rPr>
              <w:t>Date</w:t>
            </w:r>
          </w:p>
        </w:tc>
        <w:tc>
          <w:tcPr>
            <w:tcW w:type="dxa" w:w="4680"/>
          </w:tcPr>
          <w:p>
            <w:pPr>
              <w:jc w:val="center"/>
            </w:pPr>
            <w:r/>
            <w:r>
              <w:rPr>
                <w:rFonts w:ascii="Calibri" w:hAnsi="Calibri"/>
                <w:color w:val="333333"/>
                <w:sz w:val="20"/>
              </w:rPr>
              <w:t>March 25, 2026</w:t>
            </w:r>
          </w:p>
        </w:tc>
      </w:tr>
      <w:tr>
        <w:tc>
          <w:tcPr>
            <w:tcW w:type="dxa" w:w="4680"/>
          </w:tcPr>
          <w:p>
            <w:pPr>
              <w:jc w:val="center"/>
            </w:pPr>
            <w:r/>
            <w:r>
              <w:rPr>
                <w:rFonts w:ascii="Calibri" w:hAnsi="Calibri"/>
                <w:b/>
                <w:color w:val="333333"/>
                <w:sz w:val="20"/>
              </w:rPr>
              <w:t>Classification</w:t>
            </w:r>
          </w:p>
        </w:tc>
        <w:tc>
          <w:tcPr>
            <w:tcW w:type="dxa" w:w="4680"/>
          </w:tcPr>
          <w:p>
            <w:pPr>
              <w:jc w:val="center"/>
            </w:pPr>
            <w:r/>
            <w:r>
              <w:rPr>
                <w:rFonts w:ascii="Calibri" w:hAnsi="Calibri"/>
                <w:color w:val="333333"/>
                <w:sz w:val="20"/>
              </w:rPr>
              <w:t>Confidential</w:t>
            </w:r>
          </w:p>
        </w:tc>
      </w:tr>
      <w:tr>
        <w:tc>
          <w:tcPr>
            <w:tcW w:type="dxa" w:w="4680"/>
          </w:tcPr>
          <w:p>
            <w:pPr>
              <w:jc w:val="center"/>
            </w:pPr>
            <w:r/>
            <w:r>
              <w:rPr>
                <w:rFonts w:ascii="Calibri" w:hAnsi="Calibri"/>
                <w:b/>
                <w:color w:val="333333"/>
                <w:sz w:val="20"/>
              </w:rPr>
              <w:t>Prepared For</w:t>
            </w:r>
          </w:p>
        </w:tc>
        <w:tc>
          <w:tcPr>
            <w:tcW w:type="dxa" w:w="4680"/>
          </w:tcPr>
          <w:p>
            <w:pPr>
              <w:jc w:val="center"/>
            </w:pPr>
            <w:r/>
            <w:r>
              <w:rPr>
                <w:rFonts w:ascii="Calibri" w:hAnsi="Calibri"/>
                <w:color w:val="333333"/>
                <w:sz w:val="20"/>
              </w:rPr>
              <w:t>Mars, Incorporated</w:t>
            </w:r>
          </w:p>
        </w:tc>
      </w:tr>
      <w:tr>
        <w:tc>
          <w:tcPr>
            <w:tcW w:type="dxa" w:w="4680"/>
          </w:tcPr>
          <w:p>
            <w:pPr>
              <w:jc w:val="center"/>
            </w:pPr>
            <w:r/>
            <w:r>
              <w:rPr>
                <w:rFonts w:ascii="Calibri" w:hAnsi="Calibri"/>
                <w:b/>
                <w:color w:val="333333"/>
                <w:sz w:val="20"/>
              </w:rPr>
              <w:t>Prepared By</w:t>
            </w:r>
          </w:p>
        </w:tc>
        <w:tc>
          <w:tcPr>
            <w:tcW w:type="dxa" w:w="4680"/>
          </w:tcPr>
          <w:p>
            <w:pPr>
              <w:jc w:val="center"/>
            </w:pPr>
            <w:r/>
            <w:r>
              <w:rPr>
                <w:rFonts w:ascii="Calibri" w:hAnsi="Calibri"/>
                <w:color w:val="333333"/>
                <w:sz w:val="20"/>
              </w:rPr>
              <w:t>Amira Technologies</w:t>
            </w:r>
          </w:p>
        </w:tc>
      </w:tr>
      <w:tr>
        <w:tc>
          <w:tcPr>
            <w:tcW w:type="dxa" w:w="4680"/>
          </w:tcPr>
          <w:p>
            <w:pPr>
              <w:jc w:val="center"/>
            </w:pPr>
            <w:r/>
            <w:r>
              <w:rPr>
                <w:rFonts w:ascii="Calibri" w:hAnsi="Calibri"/>
                <w:b/>
                <w:color w:val="333333"/>
                <w:sz w:val="20"/>
              </w:rPr>
              <w:t>Standard</w:t>
            </w:r>
          </w:p>
        </w:tc>
        <w:tc>
          <w:tcPr>
            <w:tcW w:type="dxa" w:w="4680"/>
          </w:tcPr>
          <w:p>
            <w:pPr>
              <w:jc w:val="center"/>
            </w:pPr>
            <w:r/>
            <w:r>
              <w:rPr>
                <w:rFonts w:ascii="Calibri" w:hAnsi="Calibri"/>
                <w:color w:val="333333"/>
                <w:sz w:val="20"/>
              </w:rPr>
              <w:t>IEEE 830-1998 / ISO/IEC/IEEE 29148:2018</w:t>
            </w:r>
          </w:p>
        </w:tc>
      </w:tr>
    </w:tbl>
    <w:p>
      <w:r>
        <w:br w:type="page"/>
      </w:r>
    </w:p>
    <w:p>
      <w:pPr>
        <w:pStyle w:val="Heading1"/>
      </w:pPr>
      <w:r>
        <w:t>Table of Contents</w:t>
      </w:r>
    </w:p>
    <w:p>
      <w:pPr>
        <w:spacing w:after="120"/>
      </w:pPr>
      <w:r>
        <w:rPr>
          <w:i/>
          <w:color w:val="999999"/>
        </w:rPr>
        <w:t>[Table of Contents will auto-generate when opened in Word: References &gt; Update Table]</w:t>
      </w:r>
    </w:p>
    <w:p>
      <w:r>
        <w:br w:type="page"/>
      </w:r>
    </w:p>
    <w:p>
      <w:pPr>
        <w:pStyle w:val="Heading1"/>
      </w:pPr>
      <w:r>
        <w:t>1. Introduction</w:t>
      </w:r>
    </w:p>
    <w:p>
      <w:pPr>
        <w:pStyle w:val="Heading2"/>
      </w:pPr>
      <w:r>
        <w:t>1.1 Purpose</w:t>
      </w:r>
    </w:p>
    <w:p>
      <w:pPr>
        <w:spacing w:after="120"/>
      </w:pPr>
      <w:r>
        <w:t>This Software Requirements Specification (SRS) defines the functional and non-functional requirements for Amira FinIQ, a Unified Financial Analytics Hub proposed for Mars, Incorporated. This document is intended for use by Amira Technologies' engineering and product teams, Mars's IT and digital leadership, and key business stakeholders who will evaluate, approve, and ultimately use the platform.</w:t>
      </w:r>
    </w:p>
    <w:p>
      <w:pPr>
        <w:spacing w:after="120"/>
      </w:pPr>
      <w:r>
        <w:t>This SRS follows the IEEE 830-1998 and ISO/IEC/IEEE 29148:2018 standards for software requirements specifications.</w:t>
      </w:r>
    </w:p>
    <w:p>
      <w:pPr>
        <w:pStyle w:val="Heading2"/>
      </w:pPr>
      <w:r>
        <w:t>1.2 Scope</w:t>
      </w:r>
    </w:p>
    <w:p>
      <w:pPr>
        <w:spacing w:after="120"/>
      </w:pPr>
      <w:r>
        <w:t>Amira FinIQ is a unified financial analytics hub designed to consolidate and augment Mars, Incorporated's existing analytical capabilities, transitioning from a dispersed setup to a single, intelligent platform. The system will unify internal financial reporting and external competitive intelligence into one hub, enabling on-demand report generation, natural language queries, and enterprise-scale agent-based job processing.</w:t>
      </w:r>
    </w:p>
    <w:p>
      <w:pPr>
        <w:spacing w:after="120"/>
      </w:pPr>
      <w:r>
        <w:t>The platform will integrate with Amira's existing Financial Forecasting and Marketing Analytics services, enabling forward-looking recommendations alongside historical analysis.</w:t>
      </w:r>
    </w:p>
    <w:p>
      <w:pPr>
        <w:pStyle w:val="Heading3"/>
      </w:pPr>
      <w:r>
        <w:t>1.2.1 In Scope</w:t>
      </w:r>
    </w:p>
    <w:p>
      <w:pPr>
        <w:pStyle w:val="ListBullet"/>
        <w:spacing w:after="40"/>
      </w:pPr>
      <w:r>
        <w:t>Internal financial data ingestion and processing (P&amp;L, Brand, Product, NCFO sheets)</w:t>
      </w:r>
    </w:p>
    <w:p>
      <w:pPr>
        <w:pStyle w:val="ListBullet"/>
        <w:spacing w:after="40"/>
      </w:pPr>
      <w:r>
        <w:t>External competitor document ingestion (earnings releases, presentations, transcripts)</w:t>
      </w:r>
    </w:p>
    <w:p>
      <w:pPr>
        <w:pStyle w:val="ListBullet"/>
        <w:spacing w:after="40"/>
      </w:pPr>
      <w:r>
        <w:t>Acquired research and third-party data integration</w:t>
      </w:r>
    </w:p>
    <w:p>
      <w:pPr>
        <w:pStyle w:val="ListBullet"/>
        <w:spacing w:after="40"/>
      </w:pPr>
      <w:r>
        <w:t>Natural language query interface for ad-hoc and structured reporting</w:t>
      </w:r>
    </w:p>
    <w:p>
      <w:pPr>
        <w:pStyle w:val="ListBullet"/>
        <w:spacing w:after="40"/>
      </w:pPr>
      <w:r>
        <w:t>Period End Summary generation (Summary, WWW, WNWW formats) with full configurability</w:t>
      </w:r>
    </w:p>
    <w:p>
      <w:pPr>
        <w:pStyle w:val="ListBullet"/>
        <w:spacing w:after="40"/>
      </w:pPr>
      <w:r>
        <w:t>Peer-to-peer competitive benchmarking with quantitative comparison tables</w:t>
      </w:r>
    </w:p>
    <w:p>
      <w:pPr>
        <w:pStyle w:val="ListBullet"/>
        <w:spacing w:after="40"/>
      </w:pPr>
      <w:r>
        <w:t>Enterprise job board with agent queue, priority routing, and SLA management</w:t>
      </w:r>
    </w:p>
    <w:p>
      <w:pPr>
        <w:pStyle w:val="ListBullet"/>
        <w:spacing w:after="40"/>
      </w:pPr>
      <w:r>
        <w:t>Integration APIs for Amira Financial Forecasting and Marketing Analytics platforms</w:t>
      </w:r>
    </w:p>
    <w:p>
      <w:pPr>
        <w:pStyle w:val="ListBullet"/>
        <w:spacing w:after="40"/>
      </w:pPr>
      <w:r>
        <w:t>Dynamic, configurable user interface with real-time updates</w:t>
      </w:r>
    </w:p>
    <w:p>
      <w:pPr>
        <w:pStyle w:val="ListBullet"/>
        <w:spacing w:after="40"/>
      </w:pPr>
      <w:r>
        <w:t>Role-based access control (RBAC) aligned with Mars organizational hierarchy</w:t>
      </w:r>
    </w:p>
    <w:p>
      <w:pPr>
        <w:pStyle w:val="ListBullet"/>
        <w:spacing w:after="40"/>
      </w:pPr>
      <w:r>
        <w:t>Audit trail and data lineage for all generated reports</w:t>
      </w:r>
    </w:p>
    <w:p>
      <w:pPr>
        <w:pStyle w:val="ListBullet"/>
        <w:spacing w:after="40"/>
      </w:pPr>
      <w:r>
        <w:t>Caching and performance optimization for sub-second cached retrieval</w:t>
      </w:r>
    </w:p>
    <w:p>
      <w:pPr>
        <w:pStyle w:val="Heading3"/>
      </w:pPr>
      <w:r>
        <w:t>1.2.2 Out of Scope</w:t>
      </w:r>
    </w:p>
    <w:p>
      <w:pPr>
        <w:pStyle w:val="ListBullet"/>
        <w:spacing w:after="40"/>
      </w:pPr>
      <w:r>
        <w:t>Direct SAP/ERP integration (data provided via preprocessed Excel exports)</w:t>
      </w:r>
    </w:p>
    <w:p>
      <w:pPr>
        <w:pStyle w:val="ListBullet"/>
        <w:spacing w:after="40"/>
      </w:pPr>
      <w:r>
        <w:t>Real-time streaming data (batch processing model)</w:t>
      </w:r>
    </w:p>
    <w:p>
      <w:pPr>
        <w:pStyle w:val="ListBullet"/>
        <w:spacing w:after="40"/>
      </w:pPr>
      <w:r>
        <w:t>Mobile native applications (responsive web application)</w:t>
      </w:r>
    </w:p>
    <w:p>
      <w:pPr>
        <w:pStyle w:val="ListBullet"/>
        <w:spacing w:after="40"/>
      </w:pPr>
      <w:r>
        <w:t>Multi-language report generation (English only initially)</w:t>
      </w:r>
    </w:p>
    <w:p>
      <w:pPr>
        <w:pStyle w:val="Heading2"/>
      </w:pPr>
      <w:r>
        <w:t>1.3 Definitions, Acronyms, and Abbreviations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160"/>
            <w:shd w:fill="1A56DB"/>
          </w:tcPr>
          <w:p>
            <w:r/>
            <w:r>
              <w:rPr>
                <w:rFonts w:ascii="Calibri" w:hAnsi="Calibri"/>
                <w:b/>
                <w:color w:val="FFFFFF"/>
                <w:sz w:val="20"/>
              </w:rPr>
              <w:t>Term</w:t>
            </w:r>
          </w:p>
        </w:tc>
        <w:tc>
          <w:tcPr>
            <w:tcW w:type="dxa" w:w="7200"/>
            <w:shd w:fill="1A56DB"/>
          </w:tcPr>
          <w:p>
            <w:r/>
            <w:r>
              <w:rPr>
                <w:rFonts w:ascii="Calibri" w:hAnsi="Calibri"/>
                <w:b/>
                <w:color w:val="FFFFFF"/>
                <w:sz w:val="20"/>
              </w:rPr>
              <w:t>Definition</w:t>
            </w:r>
          </w:p>
        </w:tc>
      </w:tr>
      <w:tr>
        <w:tc>
          <w:tcPr>
            <w:tcW w:type="dxa" w:w="2160"/>
          </w:tcPr>
          <w:p>
            <w:r/>
            <w:r>
              <w:rPr>
                <w:rFonts w:ascii="Calibri" w:hAnsi="Calibri"/>
                <w:color w:val="333333"/>
                <w:sz w:val="18"/>
              </w:rPr>
              <w:t>GBU</w:t>
            </w:r>
          </w:p>
        </w:tc>
        <w:tc>
          <w:tcPr>
            <w:tcW w:type="dxa" w:w="7200"/>
          </w:tcPr>
          <w:p>
            <w:r/>
            <w:r>
              <w:rPr>
                <w:rFonts w:ascii="Calibri" w:hAnsi="Calibri"/>
                <w:color w:val="333333"/>
                <w:sz w:val="18"/>
              </w:rPr>
              <w:t>Global Business Unit (e.g., Mars Snacking, Petcare, Food Nutrition &amp; Multisales)</w:t>
            </w:r>
          </w:p>
        </w:tc>
      </w:tr>
      <w:tr>
        <w:tc>
          <w:tcPr>
            <w:tcW w:type="dxa" w:w="2160"/>
            <w:shd w:fill="F2F6FC"/>
          </w:tcPr>
          <w:p>
            <w:r/>
            <w:r>
              <w:rPr>
                <w:rFonts w:ascii="Calibri" w:hAnsi="Calibri"/>
                <w:color w:val="333333"/>
                <w:sz w:val="18"/>
              </w:rPr>
              <w:t>PES</w:t>
            </w:r>
          </w:p>
        </w:tc>
        <w:tc>
          <w:tcPr>
            <w:tcW w:type="dxa" w:w="7200"/>
            <w:shd w:fill="F2F6FC"/>
          </w:tcPr>
          <w:p>
            <w:r/>
            <w:r>
              <w:rPr>
                <w:rFonts w:ascii="Calibri" w:hAnsi="Calibri"/>
                <w:color w:val="333333"/>
                <w:sz w:val="18"/>
              </w:rPr>
              <w:t>Period End Summary — the current Mars tool for financial narrative generation</w:t>
            </w:r>
          </w:p>
        </w:tc>
      </w:tr>
      <w:tr>
        <w:tc>
          <w:tcPr>
            <w:tcW w:type="dxa" w:w="2160"/>
          </w:tcPr>
          <w:p>
            <w:r/>
            <w:r>
              <w:rPr>
                <w:rFonts w:ascii="Calibri" w:hAnsi="Calibri"/>
                <w:color w:val="333333"/>
                <w:sz w:val="18"/>
              </w:rPr>
              <w:t>CI</w:t>
            </w:r>
          </w:p>
        </w:tc>
        <w:tc>
          <w:tcPr>
            <w:tcW w:type="dxa" w:w="7200"/>
          </w:tcPr>
          <w:p>
            <w:r/>
            <w:r>
              <w:rPr>
                <w:rFonts w:ascii="Calibri" w:hAnsi="Calibri"/>
                <w:color w:val="333333"/>
                <w:sz w:val="18"/>
              </w:rPr>
              <w:t>Competitive Intelligence — the current Mars tool for competitor analysis</w:t>
            </w:r>
          </w:p>
        </w:tc>
      </w:tr>
      <w:tr>
        <w:tc>
          <w:tcPr>
            <w:tcW w:type="dxa" w:w="2160"/>
            <w:shd w:fill="F2F6FC"/>
          </w:tcPr>
          <w:p>
            <w:r/>
            <w:r>
              <w:rPr>
                <w:rFonts w:ascii="Calibri" w:hAnsi="Calibri"/>
                <w:color w:val="333333"/>
                <w:sz w:val="18"/>
              </w:rPr>
              <w:t>KPI</w:t>
            </w:r>
          </w:p>
        </w:tc>
        <w:tc>
          <w:tcPr>
            <w:tcW w:type="dxa" w:w="7200"/>
            <w:shd w:fill="F2F6FC"/>
          </w:tcPr>
          <w:p>
            <w:r/>
            <w:r>
              <w:rPr>
                <w:rFonts w:ascii="Calibri" w:hAnsi="Calibri"/>
                <w:color w:val="333333"/>
                <w:sz w:val="18"/>
              </w:rPr>
              <w:t>Key Performance Indicator (e.g., Organic Growth, MAC Shape %)</w:t>
            </w:r>
          </w:p>
        </w:tc>
      </w:tr>
      <w:tr>
        <w:tc>
          <w:tcPr>
            <w:tcW w:type="dxa" w:w="2160"/>
          </w:tcPr>
          <w:p>
            <w:r/>
            <w:r>
              <w:rPr>
                <w:rFonts w:ascii="Calibri" w:hAnsi="Calibri"/>
                <w:color w:val="333333"/>
                <w:sz w:val="18"/>
              </w:rPr>
              <w:t>OG</w:t>
            </w:r>
          </w:p>
        </w:tc>
        <w:tc>
          <w:tcPr>
            <w:tcW w:type="dxa" w:w="7200"/>
          </w:tcPr>
          <w:p>
            <w:r/>
            <w:r>
              <w:rPr>
                <w:rFonts w:ascii="Calibri" w:hAnsi="Calibri"/>
                <w:color w:val="333333"/>
                <w:sz w:val="18"/>
              </w:rPr>
              <w:t>Organic Growth — top-line revenue growth excluding FX and M&amp;A</w:t>
            </w:r>
          </w:p>
        </w:tc>
      </w:tr>
      <w:tr>
        <w:tc>
          <w:tcPr>
            <w:tcW w:type="dxa" w:w="2160"/>
            <w:shd w:fill="F2F6FC"/>
          </w:tcPr>
          <w:p>
            <w:r/>
            <w:r>
              <w:rPr>
                <w:rFonts w:ascii="Calibri" w:hAnsi="Calibri"/>
                <w:color w:val="333333"/>
                <w:sz w:val="18"/>
              </w:rPr>
              <w:t>MAC Shape</w:t>
            </w:r>
          </w:p>
        </w:tc>
        <w:tc>
          <w:tcPr>
            <w:tcW w:type="dxa" w:w="7200"/>
            <w:shd w:fill="F2F6FC"/>
          </w:tcPr>
          <w:p>
            <w:r/>
            <w:r>
              <w:rPr>
                <w:rFonts w:ascii="Calibri" w:hAnsi="Calibri"/>
                <w:color w:val="333333"/>
                <w:sz w:val="18"/>
              </w:rPr>
              <w:t>Margin After Conversion as a percentage of Net Sales</w:t>
            </w:r>
          </w:p>
        </w:tc>
      </w:tr>
      <w:tr>
        <w:tc>
          <w:tcPr>
            <w:tcW w:type="dxa" w:w="2160"/>
          </w:tcPr>
          <w:p>
            <w:r/>
            <w:r>
              <w:rPr>
                <w:rFonts w:ascii="Calibri" w:hAnsi="Calibri"/>
                <w:color w:val="333333"/>
                <w:sz w:val="18"/>
              </w:rPr>
              <w:t>A&amp;CP Shape</w:t>
            </w:r>
          </w:p>
        </w:tc>
        <w:tc>
          <w:tcPr>
            <w:tcW w:type="dxa" w:w="7200"/>
          </w:tcPr>
          <w:p>
            <w:r/>
            <w:r>
              <w:rPr>
                <w:rFonts w:ascii="Calibri" w:hAnsi="Calibri"/>
                <w:color w:val="333333"/>
                <w:sz w:val="18"/>
              </w:rPr>
              <w:t>Advertising &amp; Consumer Promotions spend as a percentage of sales</w:t>
            </w:r>
          </w:p>
        </w:tc>
      </w:tr>
      <w:tr>
        <w:tc>
          <w:tcPr>
            <w:tcW w:type="dxa" w:w="2160"/>
            <w:shd w:fill="F2F6FC"/>
          </w:tcPr>
          <w:p>
            <w:r/>
            <w:r>
              <w:rPr>
                <w:rFonts w:ascii="Calibri" w:hAnsi="Calibri"/>
                <w:color w:val="333333"/>
                <w:sz w:val="18"/>
              </w:rPr>
              <w:t>CE Shape</w:t>
            </w:r>
          </w:p>
        </w:tc>
        <w:tc>
          <w:tcPr>
            <w:tcW w:type="dxa" w:w="7200"/>
            <w:shd w:fill="F2F6FC"/>
          </w:tcPr>
          <w:p>
            <w:r/>
            <w:r>
              <w:rPr>
                <w:rFonts w:ascii="Calibri" w:hAnsi="Calibri"/>
                <w:color w:val="333333"/>
                <w:sz w:val="18"/>
              </w:rPr>
              <w:t>Controllable Earnings as a percentage of Net Sales</w:t>
            </w:r>
          </w:p>
        </w:tc>
      </w:tr>
      <w:tr>
        <w:tc>
          <w:tcPr>
            <w:tcW w:type="dxa" w:w="2160"/>
          </w:tcPr>
          <w:p>
            <w:r/>
            <w:r>
              <w:rPr>
                <w:rFonts w:ascii="Calibri" w:hAnsi="Calibri"/>
                <w:color w:val="333333"/>
                <w:sz w:val="18"/>
              </w:rPr>
              <w:t>NCFO</w:t>
            </w:r>
          </w:p>
        </w:tc>
        <w:tc>
          <w:tcPr>
            <w:tcW w:type="dxa" w:w="7200"/>
          </w:tcPr>
          <w:p>
            <w:r/>
            <w:r>
              <w:rPr>
                <w:rFonts w:ascii="Calibri" w:hAnsi="Calibri"/>
                <w:color w:val="333333"/>
                <w:sz w:val="18"/>
              </w:rPr>
              <w:t>Net Cash From Operations</w:t>
            </w:r>
          </w:p>
        </w:tc>
      </w:tr>
      <w:tr>
        <w:tc>
          <w:tcPr>
            <w:tcW w:type="dxa" w:w="2160"/>
            <w:shd w:fill="F2F6FC"/>
          </w:tcPr>
          <w:p>
            <w:r/>
            <w:r>
              <w:rPr>
                <w:rFonts w:ascii="Calibri" w:hAnsi="Calibri"/>
                <w:color w:val="333333"/>
                <w:sz w:val="18"/>
              </w:rPr>
              <w:t>P2P</w:t>
            </w:r>
          </w:p>
        </w:tc>
        <w:tc>
          <w:tcPr>
            <w:tcW w:type="dxa" w:w="7200"/>
            <w:shd w:fill="F2F6FC"/>
          </w:tcPr>
          <w:p>
            <w:r/>
            <w:r>
              <w:rPr>
                <w:rFonts w:ascii="Calibri" w:hAnsi="Calibri"/>
                <w:color w:val="333333"/>
                <w:sz w:val="18"/>
              </w:rPr>
              <w:t>Peer-to-Peer benchmarking — comparing performance across competitor peer group</w:t>
            </w:r>
          </w:p>
        </w:tc>
      </w:tr>
      <w:tr>
        <w:tc>
          <w:tcPr>
            <w:tcW w:type="dxa" w:w="2160"/>
          </w:tcPr>
          <w:p>
            <w:r/>
            <w:r>
              <w:rPr>
                <w:rFonts w:ascii="Calibri" w:hAnsi="Calibri"/>
                <w:color w:val="333333"/>
                <w:sz w:val="18"/>
              </w:rPr>
              <w:t>WWW / WNWW</w:t>
            </w:r>
          </w:p>
        </w:tc>
        <w:tc>
          <w:tcPr>
            <w:tcW w:type="dxa" w:w="7200"/>
          </w:tcPr>
          <w:p>
            <w:r/>
            <w:r>
              <w:rPr>
                <w:rFonts w:ascii="Calibri" w:hAnsi="Calibri"/>
                <w:color w:val="333333"/>
                <w:sz w:val="18"/>
              </w:rPr>
              <w:t>What's Working Well / What's Not Working Well — output formats for PES</w:t>
            </w:r>
          </w:p>
        </w:tc>
      </w:tr>
      <w:tr>
        <w:tc>
          <w:tcPr>
            <w:tcW w:type="dxa" w:w="2160"/>
            <w:shd w:fill="F2F6FC"/>
          </w:tcPr>
          <w:p>
            <w:r/>
            <w:r>
              <w:rPr>
                <w:rFonts w:ascii="Calibri" w:hAnsi="Calibri"/>
                <w:color w:val="333333"/>
                <w:sz w:val="18"/>
              </w:rPr>
              <w:t>RAG</w:t>
            </w:r>
          </w:p>
        </w:tc>
        <w:tc>
          <w:tcPr>
            <w:tcW w:type="dxa" w:w="7200"/>
            <w:shd w:fill="F2F6FC"/>
          </w:tcPr>
          <w:p>
            <w:r/>
            <w:r>
              <w:rPr>
                <w:rFonts w:ascii="Calibri" w:hAnsi="Calibri"/>
                <w:color w:val="333333"/>
                <w:sz w:val="18"/>
              </w:rPr>
              <w:t>Retrieval Augmented Generation — LLM technique combining search with generation</w:t>
            </w:r>
          </w:p>
        </w:tc>
      </w:tr>
      <w:tr>
        <w:tc>
          <w:tcPr>
            <w:tcW w:type="dxa" w:w="2160"/>
          </w:tcPr>
          <w:p>
            <w:r/>
            <w:r>
              <w:rPr>
                <w:rFonts w:ascii="Calibri" w:hAnsi="Calibri"/>
                <w:color w:val="333333"/>
                <w:sz w:val="18"/>
              </w:rPr>
              <w:t>SSE</w:t>
            </w:r>
          </w:p>
        </w:tc>
        <w:tc>
          <w:tcPr>
            <w:tcW w:type="dxa" w:w="7200"/>
          </w:tcPr>
          <w:p>
            <w:r/>
            <w:r>
              <w:rPr>
                <w:rFonts w:ascii="Calibri" w:hAnsi="Calibri"/>
                <w:color w:val="333333"/>
                <w:sz w:val="18"/>
              </w:rPr>
              <w:t>Server-Sent Events — protocol for real-time server-to-client streaming</w:t>
            </w:r>
          </w:p>
        </w:tc>
      </w:tr>
      <w:tr>
        <w:tc>
          <w:tcPr>
            <w:tcW w:type="dxa" w:w="2160"/>
            <w:shd w:fill="F2F6FC"/>
          </w:tcPr>
          <w:p>
            <w:r/>
            <w:r>
              <w:rPr>
                <w:rFonts w:ascii="Calibri" w:hAnsi="Calibri"/>
                <w:color w:val="333333"/>
                <w:sz w:val="18"/>
              </w:rPr>
              <w:t>SLA</w:t>
            </w:r>
          </w:p>
        </w:tc>
        <w:tc>
          <w:tcPr>
            <w:tcW w:type="dxa" w:w="7200"/>
            <w:shd w:fill="F2F6FC"/>
          </w:tcPr>
          <w:p>
            <w:r/>
            <w:r>
              <w:rPr>
                <w:rFonts w:ascii="Calibri" w:hAnsi="Calibri"/>
                <w:color w:val="333333"/>
                <w:sz w:val="18"/>
              </w:rPr>
              <w:t>Service Level Agreement — target response time for job processing</w:t>
            </w:r>
          </w:p>
        </w:tc>
      </w:tr>
      <w:tr>
        <w:tc>
          <w:tcPr>
            <w:tcW w:type="dxa" w:w="2160"/>
          </w:tcPr>
          <w:p>
            <w:r/>
            <w:r>
              <w:rPr>
                <w:rFonts w:ascii="Calibri" w:hAnsi="Calibri"/>
                <w:color w:val="333333"/>
                <w:sz w:val="18"/>
              </w:rPr>
              <w:t>RBAC</w:t>
            </w:r>
          </w:p>
        </w:tc>
        <w:tc>
          <w:tcPr>
            <w:tcW w:type="dxa" w:w="7200"/>
          </w:tcPr>
          <w:p>
            <w:r/>
            <w:r>
              <w:rPr>
                <w:rFonts w:ascii="Calibri" w:hAnsi="Calibri"/>
                <w:color w:val="333333"/>
                <w:sz w:val="18"/>
              </w:rPr>
              <w:t>Role-Based Access Control</w:t>
            </w:r>
          </w:p>
        </w:tc>
      </w:tr>
      <w:tr>
        <w:tc>
          <w:tcPr>
            <w:tcW w:type="dxa" w:w="2160"/>
            <w:shd w:fill="F2F6FC"/>
          </w:tcPr>
          <w:p>
            <w:r/>
            <w:r>
              <w:rPr>
                <w:rFonts w:ascii="Calibri" w:hAnsi="Calibri"/>
                <w:color w:val="333333"/>
                <w:sz w:val="18"/>
              </w:rPr>
              <w:t>ROAS</w:t>
            </w:r>
          </w:p>
        </w:tc>
        <w:tc>
          <w:tcPr>
            <w:tcW w:type="dxa" w:w="7200"/>
            <w:shd w:fill="F2F6FC"/>
          </w:tcPr>
          <w:p>
            <w:r/>
            <w:r>
              <w:rPr>
                <w:rFonts w:ascii="Calibri" w:hAnsi="Calibri"/>
                <w:color w:val="333333"/>
                <w:sz w:val="18"/>
              </w:rPr>
              <w:t>Return on Ad Spend — marketing efficiency metric</w:t>
            </w:r>
          </w:p>
        </w:tc>
      </w:tr>
      <w:tr>
        <w:tc>
          <w:tcPr>
            <w:tcW w:type="dxa" w:w="2160"/>
          </w:tcPr>
          <w:p>
            <w:r/>
            <w:r>
              <w:rPr>
                <w:rFonts w:ascii="Calibri" w:hAnsi="Calibri"/>
                <w:color w:val="333333"/>
                <w:sz w:val="18"/>
              </w:rPr>
              <w:t>LLM</w:t>
            </w:r>
          </w:p>
        </w:tc>
        <w:tc>
          <w:tcPr>
            <w:tcW w:type="dxa" w:w="7200"/>
          </w:tcPr>
          <w:p>
            <w:r/>
            <w:r>
              <w:rPr>
                <w:rFonts w:ascii="Calibri" w:hAnsi="Calibri"/>
                <w:color w:val="333333"/>
                <w:sz w:val="18"/>
              </w:rPr>
              <w:t>Large Language Model</w:t>
            </w:r>
          </w:p>
        </w:tc>
      </w:tr>
    </w:tbl>
    <w:p/>
    <w:p>
      <w:pPr>
        <w:pStyle w:val="Heading2"/>
      </w:pPr>
      <w:r>
        <w:t>1.4 References</w:t>
      </w:r>
    </w:p>
    <w:p>
      <w:pPr>
        <w:pStyle w:val="ListBullet"/>
        <w:spacing w:after="40"/>
      </w:pPr>
      <w:r>
        <w:t>IEEE 830-1998: IEEE Recommended Practice for Software Requirements Specifications</w:t>
      </w:r>
    </w:p>
    <w:p>
      <w:pPr>
        <w:pStyle w:val="ListBullet"/>
        <w:spacing w:after="40"/>
      </w:pPr>
      <w:r>
        <w:t>ISO/IEC/IEEE 29148:2018: Systems and software engineering — Life cycle processes — Requirements engineering</w:t>
      </w:r>
    </w:p>
    <w:p>
      <w:pPr>
        <w:pStyle w:val="ListBullet"/>
        <w:spacing w:after="40"/>
      </w:pPr>
      <w:r>
        <w:t>Mars Period End Summary Technical Documentation (internal, 11 pages)</w:t>
      </w:r>
    </w:p>
    <w:p>
      <w:pPr>
        <w:pStyle w:val="ListBullet"/>
        <w:spacing w:after="40"/>
      </w:pPr>
      <w:r>
        <w:t>Mars Competitive Intelligence System Architecture (internal)</w:t>
      </w:r>
    </w:p>
    <w:p>
      <w:pPr>
        <w:pStyle w:val="ListBullet"/>
        <w:spacing w:after="40"/>
      </w:pPr>
      <w:r>
        <w:t>Amira Financial Forecasting API Specification (internal)</w:t>
      </w:r>
    </w:p>
    <w:p>
      <w:pPr>
        <w:pStyle w:val="ListBullet"/>
        <w:spacing w:after="40"/>
      </w:pPr>
      <w:r>
        <w:t>Amira Marketing Analytics API Specification (internal)</w:t>
      </w:r>
    </w:p>
    <w:p>
      <w:pPr>
        <w:pStyle w:val="Heading2"/>
      </w:pPr>
      <w:r>
        <w:t>1.5 Document Overview</w:t>
      </w:r>
    </w:p>
    <w:p>
      <w:pPr>
        <w:spacing w:after="120"/>
      </w:pPr>
      <w:r>
        <w:t>Section 2 provides an overall description of the product including its context, capabilities, users, and constraints. Section 3 contains the detailed specific requirements organized by external interfaces, functional requirements, performance requirements, design constraints, and system attributes. Sections 4-7 cover data model, system architecture, deployment, and acceptance criteria. Appendices provide supplementary reference material.</w:t>
      </w:r>
    </w:p>
    <w:p>
      <w:r>
        <w:br w:type="page"/>
      </w:r>
    </w:p>
    <w:p>
      <w:pPr>
        <w:pStyle w:val="Heading1"/>
      </w:pPr>
      <w:r>
        <w:t>2. Overall Description</w:t>
      </w:r>
    </w:p>
    <w:p>
      <w:pPr>
        <w:pStyle w:val="Heading2"/>
      </w:pPr>
      <w:r>
        <w:t>2.1 Product Perspective</w:t>
      </w:r>
    </w:p>
    <w:p>
      <w:pPr>
        <w:spacing w:after="120"/>
      </w:pPr>
      <w:r>
        <w:t>Mars currently operates two separate AI-powered analytical tools: a Period End Summary (PES) system for generating internal financial performance narratives, and a Competitive Intelligence (CI) system for analyzing competitor earnings documents. These systems operate independently, require engineering effort for even minor changes to report templates or data sources, and do not share a common data layer.</w:t>
      </w:r>
    </w:p>
    <w:p>
      <w:pPr>
        <w:spacing w:after="120"/>
      </w:pPr>
      <w:r>
        <w:t>Amira FinIQ consolidates these capabilities into a unified platform while augmenting them with new functionality: on-demand reporting via natural language queries, an enterprise agent job board for scalable analytics processing, cross-platform intelligence through integration with Amira's Forecasting and Marketing Analytics services, a dynamic configurable user interface, and self-service configuration for business users.</w:t>
      </w:r>
    </w:p>
    <w:p>
      <w:pPr>
        <w:pStyle w:val="Heading3"/>
      </w:pPr>
      <w:r>
        <w:t>2.1.1 Current System: Period End Summary (PES)</w:t>
      </w:r>
    </w:p>
    <w:p>
      <w:pPr>
        <w:pStyle w:val="ListBullet"/>
        <w:spacing w:after="40"/>
      </w:pPr>
      <w:r>
        <w:t>Function: Transforms raw financial Excel data into AI-generated executive performance summaries</w:t>
      </w:r>
    </w:p>
    <w:p>
      <w:pPr>
        <w:pStyle w:val="ListBullet"/>
        <w:spacing w:after="40"/>
      </w:pPr>
      <w:r>
        <w:t>Input: Preprocessed Excel workbooks (P&amp;L, Product, Brand, NCFO sheets) from Azure Blob Storage</w:t>
      </w:r>
    </w:p>
    <w:p>
      <w:pPr>
        <w:pStyle w:val="ListBullet"/>
        <w:spacing w:after="40"/>
      </w:pPr>
      <w:r>
        <w:t>Processing: 6 parallel GPT-4.1 pipelines (one per KPI: Organic Growth, MAC Shape, A&amp;CP Shape, CE Shape, Overhead Shape, NCFO)</w:t>
      </w:r>
    </w:p>
    <w:p>
      <w:pPr>
        <w:pStyle w:val="ListBullet"/>
        <w:spacing w:after="40"/>
      </w:pPr>
      <w:r>
        <w:t>Output: Markdown narratives with trend taglines, sub-unit rankings, and HTML KPI tables</w:t>
      </w:r>
    </w:p>
    <w:p>
      <w:pPr>
        <w:pStyle w:val="ListBullet"/>
        <w:spacing w:after="40"/>
      </w:pPr>
      <w:r>
        <w:t>Performance: 10-15 seconds first generation, &lt; 1 second cached retrieval</w:t>
      </w:r>
    </w:p>
    <w:p>
      <w:pPr>
        <w:pStyle w:val="ListBullet"/>
        <w:spacing w:after="40"/>
      </w:pPr>
      <w:r>
        <w:t>Formats: Summary (balanced), What's Working Well (positive), What's Not Working Well (negative)</w:t>
      </w:r>
    </w:p>
    <w:p>
      <w:pPr>
        <w:pStyle w:val="Heading3"/>
      </w:pPr>
      <w:r>
        <w:t>2.1.2 Current System: Competitive Intelligence (CI)</w:t>
      </w:r>
    </w:p>
    <w:p>
      <w:pPr>
        <w:pStyle w:val="ListBullet"/>
        <w:spacing w:after="40"/>
      </w:pPr>
      <w:r>
        <w:t>Function: Ingests competitor earnings documents and generates structured competitive analysis</w:t>
      </w:r>
    </w:p>
    <w:p>
      <w:pPr>
        <w:pStyle w:val="ListBullet"/>
        <w:spacing w:after="40"/>
      </w:pPr>
      <w:r>
        <w:t>Input: PDF documents (press releases, earnings presentations, prepared remarks)</w:t>
      </w:r>
    </w:p>
    <w:p>
      <w:pPr>
        <w:pStyle w:val="ListBullet"/>
        <w:spacing w:after="40"/>
      </w:pPr>
      <w:r>
        <w:t>Pipeline: Upload &gt; Parse/Extract metadata &gt; Chunk/Embed to Azure AI Search &gt; Generate themed summaries &gt; Peer-to-peer benchmarking</w:t>
      </w:r>
    </w:p>
    <w:p>
      <w:pPr>
        <w:pStyle w:val="ListBullet"/>
        <w:spacing w:after="40"/>
      </w:pPr>
      <w:r>
        <w:t>Output: Themed summaries (Organic Growth, Margins, Projections, Consumer, Products, etc.), P2P quantitative tables, Q&amp;A chat</w:t>
      </w:r>
    </w:p>
    <w:p>
      <w:pPr>
        <w:pStyle w:val="ListBullet"/>
        <w:spacing w:after="40"/>
      </w:pPr>
      <w:r>
        <w:t>Infrastructure: Azure Blob Storage, Azure Document Intelligence, Azure OpenAI, Azure AI Search, Cosmos DB</w:t>
      </w:r>
    </w:p>
    <w:p>
      <w:pPr>
        <w:pStyle w:val="Heading3"/>
      </w:pPr>
      <w:r>
        <w:t>2.1.3 Gap Analysis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Gap</w:t>
            </w:r>
          </w:p>
        </w:tc>
        <w:tc>
          <w:tcPr>
            <w:tcW w:type="dxa" w:w="3168"/>
            <w:shd w:fill="1A56DB"/>
          </w:tcPr>
          <w:p>
            <w:r/>
            <w:r>
              <w:rPr>
                <w:rFonts w:ascii="Calibri" w:hAnsi="Calibri"/>
                <w:b/>
                <w:color w:val="FFFFFF"/>
                <w:sz w:val="20"/>
              </w:rPr>
              <w:t>Impact</w:t>
            </w:r>
          </w:p>
        </w:tc>
        <w:tc>
          <w:tcPr>
            <w:tcW w:type="dxa" w:w="3600"/>
            <w:shd w:fill="1A56DB"/>
          </w:tcPr>
          <w:p>
            <w:r/>
            <w:r>
              <w:rPr>
                <w:rFonts w:ascii="Calibri" w:hAnsi="Calibri"/>
                <w:b/>
                <w:color w:val="FFFFFF"/>
                <w:sz w:val="20"/>
              </w:rPr>
              <w:t>FinIQ Resolution</w:t>
            </w:r>
          </w:p>
        </w:tc>
      </w:tr>
      <w:tr>
        <w:tc>
          <w:tcPr>
            <w:tcW w:type="dxa" w:w="2592"/>
          </w:tcPr>
          <w:p>
            <w:r/>
            <w:r>
              <w:rPr>
                <w:rFonts w:ascii="Calibri" w:hAnsi="Calibri"/>
                <w:color w:val="333333"/>
                <w:sz w:val="18"/>
              </w:rPr>
              <w:t>Separate systems</w:t>
            </w:r>
          </w:p>
        </w:tc>
        <w:tc>
          <w:tcPr>
            <w:tcW w:type="dxa" w:w="3168"/>
          </w:tcPr>
          <w:p>
            <w:r/>
            <w:r>
              <w:rPr>
                <w:rFonts w:ascii="Calibri" w:hAnsi="Calibri"/>
                <w:color w:val="333333"/>
                <w:sz w:val="18"/>
              </w:rPr>
              <w:t>Users switch between PES and CI tools; no cross-referencing</w:t>
            </w:r>
          </w:p>
        </w:tc>
        <w:tc>
          <w:tcPr>
            <w:tcW w:type="dxa" w:w="3600"/>
          </w:tcPr>
          <w:p>
            <w:r/>
            <w:r>
              <w:rPr>
                <w:rFonts w:ascii="Calibri" w:hAnsi="Calibri"/>
                <w:color w:val="333333"/>
                <w:sz w:val="18"/>
              </w:rPr>
              <w:t>Unified platform with single query interface</w:t>
            </w:r>
          </w:p>
        </w:tc>
      </w:tr>
      <w:tr>
        <w:tc>
          <w:tcPr>
            <w:tcW w:type="dxa" w:w="2592"/>
            <w:shd w:fill="F2F6FC"/>
          </w:tcPr>
          <w:p>
            <w:r/>
            <w:r>
              <w:rPr>
                <w:rFonts w:ascii="Calibri" w:hAnsi="Calibri"/>
                <w:color w:val="333333"/>
                <w:sz w:val="18"/>
              </w:rPr>
              <w:t>No ad-hoc queries on internal data</w:t>
            </w:r>
          </w:p>
        </w:tc>
        <w:tc>
          <w:tcPr>
            <w:tcW w:type="dxa" w:w="3168"/>
            <w:shd w:fill="F2F6FC"/>
          </w:tcPr>
          <w:p>
            <w:r/>
            <w:r>
              <w:rPr>
                <w:rFonts w:ascii="Calibri" w:hAnsi="Calibri"/>
                <w:color w:val="333333"/>
                <w:sz w:val="18"/>
              </w:rPr>
              <w:t>PES only generates predefined 6-KPI summaries</w:t>
            </w:r>
          </w:p>
        </w:tc>
        <w:tc>
          <w:tcPr>
            <w:tcW w:type="dxa" w:w="3600"/>
            <w:shd w:fill="F2F6FC"/>
          </w:tcPr>
          <w:p>
            <w:r/>
            <w:r>
              <w:rPr>
                <w:rFonts w:ascii="Calibri" w:hAnsi="Calibri"/>
                <w:color w:val="333333"/>
                <w:sz w:val="18"/>
              </w:rPr>
              <w:t>Natural language queries across all data</w:t>
            </w:r>
          </w:p>
        </w:tc>
      </w:tr>
      <w:tr>
        <w:tc>
          <w:tcPr>
            <w:tcW w:type="dxa" w:w="2592"/>
          </w:tcPr>
          <w:p>
            <w:r/>
            <w:r>
              <w:rPr>
                <w:rFonts w:ascii="Calibri" w:hAnsi="Calibri"/>
                <w:color w:val="333333"/>
                <w:sz w:val="18"/>
              </w:rPr>
              <w:t>Template changes require engineering</w:t>
            </w:r>
          </w:p>
        </w:tc>
        <w:tc>
          <w:tcPr>
            <w:tcW w:type="dxa" w:w="3168"/>
          </w:tcPr>
          <w:p>
            <w:r/>
            <w:r>
              <w:rPr>
                <w:rFonts w:ascii="Calibri" w:hAnsi="Calibri"/>
                <w:color w:val="333333"/>
                <w:sz w:val="18"/>
              </w:rPr>
              <w:t>Business users cannot modify report structure</w:t>
            </w:r>
          </w:p>
        </w:tc>
        <w:tc>
          <w:tcPr>
            <w:tcW w:type="dxa" w:w="3600"/>
          </w:tcPr>
          <w:p>
            <w:r/>
            <w:r>
              <w:rPr>
                <w:rFonts w:ascii="Calibri" w:hAnsi="Calibri"/>
                <w:color w:val="333333"/>
                <w:sz w:val="18"/>
              </w:rPr>
              <w:t>Self-service template builder</w:t>
            </w:r>
          </w:p>
        </w:tc>
      </w:tr>
      <w:tr>
        <w:tc>
          <w:tcPr>
            <w:tcW w:type="dxa" w:w="2592"/>
            <w:shd w:fill="F2F6FC"/>
          </w:tcPr>
          <w:p>
            <w:r/>
            <w:r>
              <w:rPr>
                <w:rFonts w:ascii="Calibri" w:hAnsi="Calibri"/>
                <w:color w:val="333333"/>
                <w:sz w:val="18"/>
              </w:rPr>
              <w:t>No forecast integration</w:t>
            </w:r>
          </w:p>
        </w:tc>
        <w:tc>
          <w:tcPr>
            <w:tcW w:type="dxa" w:w="3168"/>
            <w:shd w:fill="F2F6FC"/>
          </w:tcPr>
          <w:p>
            <w:r/>
            <w:r>
              <w:rPr>
                <w:rFonts w:ascii="Calibri" w:hAnsi="Calibri"/>
                <w:color w:val="333333"/>
                <w:sz w:val="18"/>
              </w:rPr>
              <w:t>Reports are backward-looking only</w:t>
            </w:r>
          </w:p>
        </w:tc>
        <w:tc>
          <w:tcPr>
            <w:tcW w:type="dxa" w:w="3600"/>
            <w:shd w:fill="F2F6FC"/>
          </w:tcPr>
          <w:p>
            <w:r/>
            <w:r>
              <w:rPr>
                <w:rFonts w:ascii="Calibri" w:hAnsi="Calibri"/>
                <w:color w:val="333333"/>
                <w:sz w:val="18"/>
              </w:rPr>
              <w:t>Amira Forecasting API integration</w:t>
            </w:r>
          </w:p>
        </w:tc>
      </w:tr>
      <w:tr>
        <w:tc>
          <w:tcPr>
            <w:tcW w:type="dxa" w:w="2592"/>
          </w:tcPr>
          <w:p>
            <w:r/>
            <w:r>
              <w:rPr>
                <w:rFonts w:ascii="Calibri" w:hAnsi="Calibri"/>
                <w:color w:val="333333"/>
                <w:sz w:val="18"/>
              </w:rPr>
              <w:t>No marketing analytics link</w:t>
            </w:r>
          </w:p>
        </w:tc>
        <w:tc>
          <w:tcPr>
            <w:tcW w:type="dxa" w:w="3168"/>
          </w:tcPr>
          <w:p>
            <w:r/>
            <w:r>
              <w:rPr>
                <w:rFonts w:ascii="Calibri" w:hAnsi="Calibri"/>
                <w:color w:val="333333"/>
                <w:sz w:val="18"/>
              </w:rPr>
              <w:t>Cannot correlate financial performance with marketing spend</w:t>
            </w:r>
          </w:p>
        </w:tc>
        <w:tc>
          <w:tcPr>
            <w:tcW w:type="dxa" w:w="3600"/>
          </w:tcPr>
          <w:p>
            <w:r/>
            <w:r>
              <w:rPr>
                <w:rFonts w:ascii="Calibri" w:hAnsi="Calibri"/>
                <w:color w:val="333333"/>
                <w:sz w:val="18"/>
              </w:rPr>
              <w:t>Amira Marketing Analytics integration</w:t>
            </w:r>
          </w:p>
        </w:tc>
      </w:tr>
      <w:tr>
        <w:tc>
          <w:tcPr>
            <w:tcW w:type="dxa" w:w="2592"/>
            <w:shd w:fill="F2F6FC"/>
          </w:tcPr>
          <w:p>
            <w:r/>
            <w:r>
              <w:rPr>
                <w:rFonts w:ascii="Calibri" w:hAnsi="Calibri"/>
                <w:color w:val="333333"/>
                <w:sz w:val="18"/>
              </w:rPr>
              <w:t>Single-user architecture</w:t>
            </w:r>
          </w:p>
        </w:tc>
        <w:tc>
          <w:tcPr>
            <w:tcW w:type="dxa" w:w="3168"/>
            <w:shd w:fill="F2F6FC"/>
          </w:tcPr>
          <w:p>
            <w:r/>
            <w:r>
              <w:rPr>
                <w:rFonts w:ascii="Calibri" w:hAnsi="Calibri"/>
                <w:color w:val="333333"/>
                <w:sz w:val="18"/>
              </w:rPr>
              <w:t>No queue or prioritization for multiple users</w:t>
            </w:r>
          </w:p>
        </w:tc>
        <w:tc>
          <w:tcPr>
            <w:tcW w:type="dxa" w:w="3600"/>
            <w:shd w:fill="F2F6FC"/>
          </w:tcPr>
          <w:p>
            <w:r/>
            <w:r>
              <w:rPr>
                <w:rFonts w:ascii="Calibri" w:hAnsi="Calibri"/>
                <w:color w:val="333333"/>
                <w:sz w:val="18"/>
              </w:rPr>
              <w:t>Enterprise job board with agent queue</w:t>
            </w:r>
          </w:p>
        </w:tc>
      </w:tr>
      <w:tr>
        <w:tc>
          <w:tcPr>
            <w:tcW w:type="dxa" w:w="2592"/>
          </w:tcPr>
          <w:p>
            <w:r/>
            <w:r>
              <w:rPr>
                <w:rFonts w:ascii="Calibri" w:hAnsi="Calibri"/>
                <w:color w:val="333333"/>
                <w:sz w:val="18"/>
              </w:rPr>
              <w:t>Limited data sources</w:t>
            </w:r>
          </w:p>
        </w:tc>
        <w:tc>
          <w:tcPr>
            <w:tcW w:type="dxa" w:w="3168"/>
          </w:tcPr>
          <w:p>
            <w:r/>
            <w:r>
              <w:rPr>
                <w:rFonts w:ascii="Calibri" w:hAnsi="Calibri"/>
                <w:color w:val="333333"/>
                <w:sz w:val="18"/>
              </w:rPr>
              <w:t>Only internal Excel + competitor PDFs</w:t>
            </w:r>
          </w:p>
        </w:tc>
        <w:tc>
          <w:tcPr>
            <w:tcW w:type="dxa" w:w="3600"/>
          </w:tcPr>
          <w:p>
            <w:r/>
            <w:r>
              <w:rPr>
                <w:rFonts w:ascii="Calibri" w:hAnsi="Calibri"/>
                <w:color w:val="333333"/>
                <w:sz w:val="18"/>
              </w:rPr>
              <w:t>Extensible connector framework</w:t>
            </w:r>
          </w:p>
        </w:tc>
      </w:tr>
      <w:tr>
        <w:tc>
          <w:tcPr>
            <w:tcW w:type="dxa" w:w="2592"/>
            <w:shd w:fill="F2F6FC"/>
          </w:tcPr>
          <w:p>
            <w:r/>
            <w:r>
              <w:rPr>
                <w:rFonts w:ascii="Calibri" w:hAnsi="Calibri"/>
                <w:color w:val="333333"/>
                <w:sz w:val="18"/>
              </w:rPr>
              <w:t>No data lineage</w:t>
            </w:r>
          </w:p>
        </w:tc>
        <w:tc>
          <w:tcPr>
            <w:tcW w:type="dxa" w:w="3168"/>
            <w:shd w:fill="F2F6FC"/>
          </w:tcPr>
          <w:p>
            <w:r/>
            <w:r>
              <w:rPr>
                <w:rFonts w:ascii="Calibri" w:hAnsi="Calibri"/>
                <w:color w:val="333333"/>
                <w:sz w:val="18"/>
              </w:rPr>
              <w:t>Cannot trace generated insights back to source</w:t>
            </w:r>
          </w:p>
        </w:tc>
        <w:tc>
          <w:tcPr>
            <w:tcW w:type="dxa" w:w="3600"/>
            <w:shd w:fill="F2F6FC"/>
          </w:tcPr>
          <w:p>
            <w:r/>
            <w:r>
              <w:rPr>
                <w:rFonts w:ascii="Calibri" w:hAnsi="Calibri"/>
                <w:color w:val="333333"/>
                <w:sz w:val="18"/>
              </w:rPr>
              <w:t>Full audit trail with source references</w:t>
            </w:r>
          </w:p>
        </w:tc>
      </w:tr>
      <w:tr>
        <w:tc>
          <w:tcPr>
            <w:tcW w:type="dxa" w:w="2592"/>
          </w:tcPr>
          <w:p>
            <w:r/>
            <w:r>
              <w:rPr>
                <w:rFonts w:ascii="Calibri" w:hAnsi="Calibri"/>
                <w:color w:val="333333"/>
                <w:sz w:val="18"/>
              </w:rPr>
              <w:t>Static user interface</w:t>
            </w:r>
          </w:p>
        </w:tc>
        <w:tc>
          <w:tcPr>
            <w:tcW w:type="dxa" w:w="3168"/>
          </w:tcPr>
          <w:p>
            <w:r/>
            <w:r>
              <w:rPr>
                <w:rFonts w:ascii="Calibri" w:hAnsi="Calibri"/>
                <w:color w:val="333333"/>
                <w:sz w:val="18"/>
              </w:rPr>
              <w:t>No dashboard customization or real-time updates</w:t>
            </w:r>
          </w:p>
        </w:tc>
        <w:tc>
          <w:tcPr>
            <w:tcW w:type="dxa" w:w="3600"/>
          </w:tcPr>
          <w:p>
            <w:r/>
            <w:r>
              <w:rPr>
                <w:rFonts w:ascii="Calibri" w:hAnsi="Calibri"/>
                <w:color w:val="333333"/>
                <w:sz w:val="18"/>
              </w:rPr>
              <w:t>Dynamic configurable UI with live updates</w:t>
            </w:r>
          </w:p>
        </w:tc>
      </w:tr>
    </w:tbl>
    <w:p/>
    <w:p>
      <w:pPr>
        <w:pStyle w:val="Heading2"/>
      </w:pPr>
      <w:r>
        <w:t>2.2 Product Functions</w:t>
      </w:r>
    </w:p>
    <w:p>
      <w:pPr>
        <w:spacing w:after="120"/>
      </w:pPr>
      <w:r>
        <w:t>Amira FinIQ provides the following high-level capabilities:</w:t>
      </w:r>
    </w:p>
    <w:p>
      <w:pPr>
        <w:pStyle w:val="ListBullet"/>
        <w:spacing w:after="40"/>
      </w:pPr>
      <w:r>
        <w:t>Unified Platform: One hub consolidating two existing tools, with a single data layer and query interface</w:t>
      </w:r>
    </w:p>
    <w:p>
      <w:pPr>
        <w:pStyle w:val="ListBullet"/>
        <w:spacing w:after="40"/>
      </w:pPr>
      <w:r>
        <w:t>On-Demand Reporting: Any financial report generated in seconds from natural language queries</w:t>
      </w:r>
    </w:p>
    <w:p>
      <w:pPr>
        <w:pStyle w:val="ListBullet"/>
        <w:spacing w:after="40"/>
      </w:pPr>
      <w:r>
        <w:t>Enterprise Agent Queue: 100+ users submit queries simultaneously; AI agents process them autonomously with SLAs and priority routing</w:t>
      </w:r>
    </w:p>
    <w:p>
      <w:pPr>
        <w:pStyle w:val="ListBullet"/>
        <w:spacing w:after="40"/>
      </w:pPr>
      <w:r>
        <w:t>Cross-Platform Intelligence: Recommendations enriched by Amira's Financial Forecasting and Marketing Analytics engines</w:t>
      </w:r>
    </w:p>
    <w:p>
      <w:pPr>
        <w:pStyle w:val="ListBullet"/>
        <w:spacing w:after="40"/>
      </w:pPr>
      <w:r>
        <w:t>Dynamic User Interface: Configurable dashboards, real-time updates, adaptive query interface, and responsive design</w:t>
      </w:r>
    </w:p>
    <w:p>
      <w:pPr>
        <w:pStyle w:val="ListBullet"/>
        <w:spacing w:after="40"/>
      </w:pPr>
      <w:r>
        <w:t>Self-Service Configuration: Business users modify report templates, KPI definitions, and data sources without code changes</w:t>
      </w:r>
    </w:p>
    <w:p>
      <w:pPr>
        <w:pStyle w:val="ListBullet"/>
        <w:spacing w:after="40"/>
      </w:pPr>
      <w:r>
        <w:t>Comprehensive Data Coverage: Internal financials, competitor intelligence, commodity markets, acquired research, and third-party data in one place</w:t>
      </w:r>
    </w:p>
    <w:p>
      <w:pPr>
        <w:pStyle w:val="Heading2"/>
      </w:pPr>
      <w:r>
        <w:t>2.3 User Characteristics</w:t>
      </w:r>
    </w:p>
    <w:p>
      <w:pPr>
        <w:pStyle w:val="Heading3"/>
      </w:pPr>
      <w:r>
        <w:t>2.3.1 Stakeholder Map</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Role</w:t>
            </w:r>
          </w:p>
        </w:tc>
        <w:tc>
          <w:tcPr>
            <w:tcW w:type="dxa" w:w="2880"/>
            <w:shd w:fill="1A56DB"/>
          </w:tcPr>
          <w:p>
            <w:r/>
            <w:r>
              <w:rPr>
                <w:rFonts w:ascii="Calibri" w:hAnsi="Calibri"/>
                <w:b/>
                <w:color w:val="FFFFFF"/>
                <w:sz w:val="20"/>
              </w:rPr>
              <w:t>Description</w:t>
            </w:r>
          </w:p>
        </w:tc>
        <w:tc>
          <w:tcPr>
            <w:tcW w:type="dxa" w:w="4320"/>
            <w:shd w:fill="1A56DB"/>
          </w:tcPr>
          <w:p>
            <w:r/>
            <w:r>
              <w:rPr>
                <w:rFonts w:ascii="Calibri" w:hAnsi="Calibri"/>
                <w:b/>
                <w:color w:val="FFFFFF"/>
                <w:sz w:val="20"/>
              </w:rPr>
              <w:t>Key Interests</w:t>
            </w:r>
          </w:p>
        </w:tc>
      </w:tr>
      <w:tr>
        <w:tc>
          <w:tcPr>
            <w:tcW w:type="dxa" w:w="2160"/>
          </w:tcPr>
          <w:p>
            <w:r/>
            <w:r>
              <w:rPr>
                <w:rFonts w:ascii="Calibri" w:hAnsi="Calibri"/>
                <w:color w:val="333333"/>
                <w:sz w:val="18"/>
              </w:rPr>
              <w:t>Executive Leadership</w:t>
            </w:r>
          </w:p>
        </w:tc>
        <w:tc>
          <w:tcPr>
            <w:tcW w:type="dxa" w:w="2880"/>
          </w:tcPr>
          <w:p>
            <w:r/>
            <w:r>
              <w:rPr>
                <w:rFonts w:ascii="Calibri" w:hAnsi="Calibri"/>
                <w:color w:val="333333"/>
                <w:sz w:val="18"/>
              </w:rPr>
              <w:t>C-suite, GBU Presidents</w:t>
            </w:r>
          </w:p>
        </w:tc>
        <w:tc>
          <w:tcPr>
            <w:tcW w:type="dxa" w:w="4320"/>
          </w:tcPr>
          <w:p>
            <w:r/>
            <w:r>
              <w:rPr>
                <w:rFonts w:ascii="Calibri" w:hAnsi="Calibri"/>
                <w:color w:val="333333"/>
                <w:sz w:val="18"/>
              </w:rPr>
              <w:t>Strategic insights, competitive positioning, board-ready reports</w:t>
            </w:r>
          </w:p>
        </w:tc>
      </w:tr>
      <w:tr>
        <w:tc>
          <w:tcPr>
            <w:tcW w:type="dxa" w:w="2160"/>
            <w:shd w:fill="F2F6FC"/>
          </w:tcPr>
          <w:p>
            <w:r/>
            <w:r>
              <w:rPr>
                <w:rFonts w:ascii="Calibri" w:hAnsi="Calibri"/>
                <w:color w:val="333333"/>
                <w:sz w:val="18"/>
              </w:rPr>
              <w:t>Finance Directors</w:t>
            </w:r>
          </w:p>
        </w:tc>
        <w:tc>
          <w:tcPr>
            <w:tcW w:type="dxa" w:w="2880"/>
            <w:shd w:fill="F2F6FC"/>
          </w:tcPr>
          <w:p>
            <w:r/>
            <w:r>
              <w:rPr>
                <w:rFonts w:ascii="Calibri" w:hAnsi="Calibri"/>
                <w:color w:val="333333"/>
                <w:sz w:val="18"/>
              </w:rPr>
              <w:t>Regional/divisional finance leads</w:t>
            </w:r>
          </w:p>
        </w:tc>
        <w:tc>
          <w:tcPr>
            <w:tcW w:type="dxa" w:w="4320"/>
            <w:shd w:fill="F2F6FC"/>
          </w:tcPr>
          <w:p>
            <w:r/>
            <w:r>
              <w:rPr>
                <w:rFonts w:ascii="Calibri" w:hAnsi="Calibri"/>
                <w:color w:val="333333"/>
                <w:sz w:val="18"/>
              </w:rPr>
              <w:t>Period-end summaries, KPI tracking, variance analysis</w:t>
            </w:r>
          </w:p>
        </w:tc>
      </w:tr>
      <w:tr>
        <w:tc>
          <w:tcPr>
            <w:tcW w:type="dxa" w:w="2160"/>
          </w:tcPr>
          <w:p>
            <w:r/>
            <w:r>
              <w:rPr>
                <w:rFonts w:ascii="Calibri" w:hAnsi="Calibri"/>
                <w:color w:val="333333"/>
                <w:sz w:val="18"/>
              </w:rPr>
              <w:t>Strategy &amp; Analytics</w:t>
            </w:r>
          </w:p>
        </w:tc>
        <w:tc>
          <w:tcPr>
            <w:tcW w:type="dxa" w:w="2880"/>
          </w:tcPr>
          <w:p>
            <w:r/>
            <w:r>
              <w:rPr>
                <w:rFonts w:ascii="Calibri" w:hAnsi="Calibri"/>
                <w:color w:val="333333"/>
                <w:sz w:val="18"/>
              </w:rPr>
              <w:t>Competitive intelligence analysts</w:t>
            </w:r>
          </w:p>
        </w:tc>
        <w:tc>
          <w:tcPr>
            <w:tcW w:type="dxa" w:w="4320"/>
          </w:tcPr>
          <w:p>
            <w:r/>
            <w:r>
              <w:rPr>
                <w:rFonts w:ascii="Calibri" w:hAnsi="Calibri"/>
                <w:color w:val="333333"/>
                <w:sz w:val="18"/>
              </w:rPr>
              <w:t>Competitor benchmarking, market trends, peer comparisons</w:t>
            </w:r>
          </w:p>
        </w:tc>
      </w:tr>
      <w:tr>
        <w:tc>
          <w:tcPr>
            <w:tcW w:type="dxa" w:w="2160"/>
            <w:shd w:fill="F2F6FC"/>
          </w:tcPr>
          <w:p>
            <w:r/>
            <w:r>
              <w:rPr>
                <w:rFonts w:ascii="Calibri" w:hAnsi="Calibri"/>
                <w:color w:val="333333"/>
                <w:sz w:val="18"/>
              </w:rPr>
              <w:t>Brand &amp; Marketing</w:t>
            </w:r>
          </w:p>
        </w:tc>
        <w:tc>
          <w:tcPr>
            <w:tcW w:type="dxa" w:w="2880"/>
            <w:shd w:fill="F2F6FC"/>
          </w:tcPr>
          <w:p>
            <w:r/>
            <w:r>
              <w:rPr>
                <w:rFonts w:ascii="Calibri" w:hAnsi="Calibri"/>
                <w:color w:val="333333"/>
                <w:sz w:val="18"/>
              </w:rPr>
              <w:t>Brand managers, marketing leads</w:t>
            </w:r>
          </w:p>
        </w:tc>
        <w:tc>
          <w:tcPr>
            <w:tcW w:type="dxa" w:w="4320"/>
            <w:shd w:fill="F2F6FC"/>
          </w:tcPr>
          <w:p>
            <w:r/>
            <w:r>
              <w:rPr>
                <w:rFonts w:ascii="Calibri" w:hAnsi="Calibri"/>
                <w:color w:val="333333"/>
                <w:sz w:val="18"/>
              </w:rPr>
              <w:t>Brand performance, marketing ROI, consumer insights</w:t>
            </w:r>
          </w:p>
        </w:tc>
      </w:tr>
      <w:tr>
        <w:tc>
          <w:tcPr>
            <w:tcW w:type="dxa" w:w="2160"/>
          </w:tcPr>
          <w:p>
            <w:r/>
            <w:r>
              <w:rPr>
                <w:rFonts w:ascii="Calibri" w:hAnsi="Calibri"/>
                <w:color w:val="333333"/>
                <w:sz w:val="18"/>
              </w:rPr>
              <w:t>IT / Digital</w:t>
            </w:r>
          </w:p>
        </w:tc>
        <w:tc>
          <w:tcPr>
            <w:tcW w:type="dxa" w:w="2880"/>
          </w:tcPr>
          <w:p>
            <w:r/>
            <w:r>
              <w:rPr>
                <w:rFonts w:ascii="Calibri" w:hAnsi="Calibri"/>
                <w:color w:val="333333"/>
                <w:sz w:val="18"/>
              </w:rPr>
              <w:t>Platform engineering, data ops</w:t>
            </w:r>
          </w:p>
        </w:tc>
        <w:tc>
          <w:tcPr>
            <w:tcW w:type="dxa" w:w="4320"/>
          </w:tcPr>
          <w:p>
            <w:r/>
            <w:r>
              <w:rPr>
                <w:rFonts w:ascii="Calibri" w:hAnsi="Calibri"/>
                <w:color w:val="333333"/>
                <w:sz w:val="18"/>
              </w:rPr>
              <w:t>Architecture, security, integration, scalability</w:t>
            </w:r>
          </w:p>
        </w:tc>
      </w:tr>
      <w:tr>
        <w:tc>
          <w:tcPr>
            <w:tcW w:type="dxa" w:w="2160"/>
            <w:shd w:fill="F2F6FC"/>
          </w:tcPr>
          <w:p>
            <w:r/>
            <w:r>
              <w:rPr>
                <w:rFonts w:ascii="Calibri" w:hAnsi="Calibri"/>
                <w:color w:val="333333"/>
                <w:sz w:val="18"/>
              </w:rPr>
              <w:t>Data Science</w:t>
            </w:r>
          </w:p>
        </w:tc>
        <w:tc>
          <w:tcPr>
            <w:tcW w:type="dxa" w:w="2880"/>
            <w:shd w:fill="F2F6FC"/>
          </w:tcPr>
          <w:p>
            <w:r/>
            <w:r>
              <w:rPr>
                <w:rFonts w:ascii="Calibri" w:hAnsi="Calibri"/>
                <w:color w:val="333333"/>
                <w:sz w:val="18"/>
              </w:rPr>
              <w:t>Forecasting and modeling teams</w:t>
            </w:r>
          </w:p>
        </w:tc>
        <w:tc>
          <w:tcPr>
            <w:tcW w:type="dxa" w:w="4320"/>
            <w:shd w:fill="F2F6FC"/>
          </w:tcPr>
          <w:p>
            <w:r/>
            <w:r>
              <w:rPr>
                <w:rFonts w:ascii="Calibri" w:hAnsi="Calibri"/>
                <w:color w:val="333333"/>
                <w:sz w:val="18"/>
              </w:rPr>
              <w:t>Data quality, model integration, feature requests</w:t>
            </w:r>
          </w:p>
        </w:tc>
      </w:tr>
    </w:tbl>
    <w:p/>
    <w:p>
      <w:pPr>
        <w:pStyle w:val="Heading3"/>
      </w:pPr>
      <w:r>
        <w:t>2.3.2 User Personas</w:t>
      </w:r>
    </w:p>
    <w:p>
      <w:pPr>
        <w:spacing w:after="120"/>
      </w:pPr>
      <w:r>
        <w:rPr>
          <w:b/>
        </w:rPr>
        <w:t>Persona 1: The Finance Director (Primary User)</w:t>
      </w:r>
    </w:p>
    <w:p>
      <w:pPr>
        <w:pStyle w:val="ListBullet"/>
        <w:spacing w:after="40"/>
      </w:pPr>
      <w:r>
        <w:t>Needs: Generate period-end summaries for their GBU, compare performance across divisions, drill into KPI drivers</w:t>
      </w:r>
    </w:p>
    <w:p>
      <w:pPr>
        <w:pStyle w:val="ListBullet"/>
        <w:spacing w:after="40"/>
      </w:pPr>
      <w:r>
        <w:t>Pain today: Waits for reports to be generated, cannot customize output format, no cross-referencing with forecasts</w:t>
      </w:r>
    </w:p>
    <w:p>
      <w:pPr>
        <w:pStyle w:val="ListBullet"/>
        <w:spacing w:after="40"/>
      </w:pPr>
      <w:r>
        <w:t>With FinIQ: Self-service report generation, configurable KPIs, integrated forecast comparisons</w:t>
      </w:r>
    </w:p>
    <w:p>
      <w:pPr>
        <w:spacing w:after="120"/>
      </w:pPr>
      <w:r>
        <w:rPr>
          <w:b/>
        </w:rPr>
        <w:t>Persona 2: The Strategy Analyst (Power User)</w:t>
      </w:r>
    </w:p>
    <w:p>
      <w:pPr>
        <w:pStyle w:val="ListBullet"/>
        <w:spacing w:after="40"/>
      </w:pPr>
      <w:r>
        <w:t>Needs: Deep competitive analysis, cross-competitor benchmarking, ad-hoc queries across all data sources</w:t>
      </w:r>
    </w:p>
    <w:p>
      <w:pPr>
        <w:pStyle w:val="ListBullet"/>
        <w:spacing w:after="40"/>
      </w:pPr>
      <w:r>
        <w:t>Pain today: Manually downloads competitor PDFs, uses separate CI tool, no connection to internal data</w:t>
      </w:r>
    </w:p>
    <w:p>
      <w:pPr>
        <w:pStyle w:val="ListBullet"/>
        <w:spacing w:after="40"/>
      </w:pPr>
      <w:r>
        <w:t>With FinIQ: Unified query across internal + external data, automated competitor monitoring, job queue for complex analyses</w:t>
      </w:r>
    </w:p>
    <w:p>
      <w:pPr>
        <w:spacing w:after="120"/>
      </w:pPr>
      <w:r>
        <w:rPr>
          <w:b/>
        </w:rPr>
        <w:t>Persona 3: The Executive (Consumer)</w:t>
      </w:r>
    </w:p>
    <w:p>
      <w:pPr>
        <w:pStyle w:val="ListBullet"/>
        <w:spacing w:after="40"/>
      </w:pPr>
      <w:r>
        <w:t>Needs: Board-ready summaries, key takeaways, trend indicators, strategic recommendations</w:t>
      </w:r>
    </w:p>
    <w:p>
      <w:pPr>
        <w:pStyle w:val="ListBullet"/>
        <w:spacing w:after="40"/>
      </w:pPr>
      <w:r>
        <w:t>Pain today: Receives static reports, cannot ask follow-up questions, no forward-looking insights</w:t>
      </w:r>
    </w:p>
    <w:p>
      <w:pPr>
        <w:pStyle w:val="ListBullet"/>
        <w:spacing w:after="40"/>
      </w:pPr>
      <w:r>
        <w:t>With FinIQ: Interactive Q&amp;A, forecast-enriched summaries, one-click export to presentation format</w:t>
      </w:r>
    </w:p>
    <w:p>
      <w:pPr>
        <w:pStyle w:val="Heading2"/>
      </w:pPr>
      <w:r>
        <w:t>2.4 Constraints</w:t>
      </w:r>
    </w:p>
    <w:p>
      <w:pPr>
        <w:pStyle w:val="ListBullet"/>
        <w:spacing w:after="40"/>
      </w:pPr>
      <w:r>
        <w:t>All infrastructure must be deployed within Mars's Azure tenant (no data egress to public internet)</w:t>
      </w:r>
    </w:p>
    <w:p>
      <w:pPr>
        <w:pStyle w:val="ListBullet"/>
        <w:spacing w:after="40"/>
      </w:pPr>
      <w:r>
        <w:t>LLM service must be Azure OpenAI with data processing agreement ensuring no training on Mars data</w:t>
      </w:r>
    </w:p>
    <w:p>
      <w:pPr>
        <w:pStyle w:val="ListBullet"/>
        <w:spacing w:after="40"/>
      </w:pPr>
      <w:r>
        <w:t>Authentication must integrate with Mars's existing Azure Entra ID (SSO)</w:t>
      </w:r>
    </w:p>
    <w:p>
      <w:pPr>
        <w:pStyle w:val="ListBullet"/>
        <w:spacing w:after="40"/>
      </w:pPr>
      <w:r>
        <w:t>Initial data ingestion limited to preprocessed Excel exports (no direct SAP/ERP integration)</w:t>
      </w:r>
    </w:p>
    <w:p>
      <w:pPr>
        <w:pStyle w:val="ListBullet"/>
        <w:spacing w:after="40"/>
      </w:pPr>
      <w:r>
        <w:t>English-only report generation initially</w:t>
      </w:r>
    </w:p>
    <w:p>
      <w:pPr>
        <w:pStyle w:val="Heading2"/>
      </w:pPr>
      <w:r>
        <w:t>2.5 Assumptions and Dependencies</w:t>
      </w:r>
    </w:p>
    <w:p>
      <w:pPr>
        <w:pStyle w:val="ListBullet"/>
        <w:spacing w:after="40"/>
      </w:pPr>
      <w:r>
        <w:t>Mars will provide access to Azure tenant with sufficient quota for Azure OpenAI, AI Search, and compute resources</w:t>
      </w:r>
    </w:p>
    <w:p>
      <w:pPr>
        <w:pStyle w:val="ListBullet"/>
        <w:spacing w:after="40"/>
      </w:pPr>
      <w:r>
        <w:t>Preprocessed Excel workbooks will continue to follow the existing naming convention and schema</w:t>
      </w:r>
    </w:p>
    <w:p>
      <w:pPr>
        <w:pStyle w:val="ListBullet"/>
        <w:spacing w:after="40"/>
      </w:pPr>
      <w:r>
        <w:t>Amira Financial Forecasting and Marketing Analytics APIs will be available and documented</w:t>
      </w:r>
    </w:p>
    <w:p>
      <w:pPr>
        <w:pStyle w:val="ListBullet"/>
        <w:spacing w:after="40"/>
      </w:pPr>
      <w:r>
        <w:t>Mars's organizational hierarchy data will be provided and maintained by Mars IT</w:t>
      </w:r>
    </w:p>
    <w:p>
      <w:pPr>
        <w:pStyle w:val="ListBullet"/>
        <w:spacing w:after="40"/>
      </w:pPr>
      <w:r>
        <w:t>Competitor earnings documents will be sourced via existing public filings and Mars's research subscriptions</w:t>
      </w:r>
    </w:p>
    <w:p>
      <w:r>
        <w:br w:type="page"/>
      </w:r>
    </w:p>
    <w:p>
      <w:pPr>
        <w:pStyle w:val="Heading1"/>
      </w:pPr>
      <w:r>
        <w:t>3. Specific Requirements</w:t>
      </w:r>
    </w:p>
    <w:p>
      <w:pPr>
        <w:pStyle w:val="Heading2"/>
      </w:pPr>
      <w:r>
        <w:t>3.1 External Interface Requirements</w:t>
      </w:r>
    </w:p>
    <w:p>
      <w:pPr>
        <w:pStyle w:val="Heading3"/>
      </w:pPr>
      <w:r>
        <w:t>3.1.1 User Interfaces</w:t>
      </w:r>
    </w:p>
    <w:p>
      <w:pPr>
        <w:spacing w:after="120"/>
      </w:pPr>
      <w:r>
        <w:t>The system shall provide a React-based single-page application (SPA) with responsive design, accessible via modern web browsers (Chrome, Edge, Safari). The UI shall include:</w:t>
      </w:r>
    </w:p>
    <w:p>
      <w:pPr>
        <w:pStyle w:val="ListBullet"/>
        <w:spacing w:after="40"/>
      </w:pPr>
      <w:r>
        <w:t>Interactive dashboards with configurable widget layout</w:t>
      </w:r>
    </w:p>
    <w:p>
      <w:pPr>
        <w:pStyle w:val="ListBullet"/>
        <w:spacing w:after="40"/>
      </w:pPr>
      <w:r>
        <w:t>Conversational query interface (chat-style) with streaming responses</w:t>
      </w:r>
    </w:p>
    <w:p>
      <w:pPr>
        <w:pStyle w:val="ListBullet"/>
        <w:spacing w:after="40"/>
      </w:pPr>
      <w:r>
        <w:t>Job board dashboard showing active jobs, statuses, and SLA compliance</w:t>
      </w:r>
    </w:p>
    <w:p>
      <w:pPr>
        <w:pStyle w:val="ListBullet"/>
        <w:spacing w:after="40"/>
      </w:pPr>
      <w:r>
        <w:t>Administration console for templates, KPIs, peer groups, and user management</w:t>
      </w:r>
    </w:p>
    <w:p>
      <w:pPr>
        <w:pStyle w:val="ListBullet"/>
        <w:spacing w:after="40"/>
      </w:pPr>
      <w:r>
        <w:t>Real-time updates via Server-Sent Events (SSE) for report generation progress and job status</w:t>
      </w:r>
    </w:p>
    <w:p>
      <w:pPr>
        <w:pStyle w:val="ListBullet"/>
        <w:spacing w:after="40"/>
      </w:pPr>
      <w:r>
        <w:t>Embeddable widgets for integration into existing Mars portals</w:t>
      </w:r>
    </w:p>
    <w:p>
      <w:pPr>
        <w:pStyle w:val="Heading3"/>
      </w:pPr>
      <w:r>
        <w:t>3.1.2 Hardware Interfaces</w:t>
      </w:r>
    </w:p>
    <w:p>
      <w:pPr>
        <w:spacing w:after="120"/>
      </w:pPr>
      <w:r>
        <w:t>No direct hardware interfaces. All interaction through web browser on standard desktop/laptop devices.</w:t>
      </w:r>
    </w:p>
    <w:p>
      <w:pPr>
        <w:pStyle w:val="Heading3"/>
      </w:pPr>
      <w:r>
        <w:t>3.1.3 Software Interfaces</w:t>
      </w:r>
    </w:p>
    <w:p>
      <w:pPr>
        <w:spacing w:after="120"/>
      </w:pPr>
      <w:r>
        <w:t>Amira FinIQ integrates with the following external systems:</w:t>
      </w:r>
    </w:p>
    <w:p>
      <w:pPr>
        <w:spacing w:after="120"/>
      </w:pPr>
      <w:r>
        <w:rPr>
          <w:b/>
        </w:rPr>
        <w:t>Amira Financial Forecasting API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168"/>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2880"/>
            <w:shd w:fill="1A56DB"/>
          </w:tcPr>
          <w:p>
            <w:r/>
            <w:r>
              <w:rPr>
                <w:rFonts w:ascii="Calibri" w:hAnsi="Calibri"/>
                <w:b/>
                <w:color w:val="FFFFFF"/>
                <w:sz w:val="20"/>
              </w:rPr>
              <w:t>Description</w:t>
            </w:r>
          </w:p>
        </w:tc>
        <w:tc>
          <w:tcPr>
            <w:tcW w:type="dxa" w:w="2160"/>
            <w:shd w:fill="1A56DB"/>
          </w:tcPr>
          <w:p>
            <w:r/>
            <w:r>
              <w:rPr>
                <w:rFonts w:ascii="Calibri" w:hAnsi="Calibri"/>
                <w:b/>
                <w:color w:val="FFFFFF"/>
                <w:sz w:val="20"/>
              </w:rPr>
              <w:t>Response</w:t>
            </w:r>
          </w:p>
        </w:tc>
      </w:tr>
      <w:tr>
        <w:tc>
          <w:tcPr>
            <w:tcW w:type="dxa" w:w="3168"/>
          </w:tcPr>
          <w:p>
            <w:r/>
            <w:r>
              <w:rPr>
                <w:rFonts w:ascii="Calibri" w:hAnsi="Calibri"/>
                <w:color w:val="333333"/>
                <w:sz w:val="18"/>
              </w:rPr>
              <w:t>/api/v1/forecast/{unit_id}</w:t>
            </w:r>
          </w:p>
        </w:tc>
        <w:tc>
          <w:tcPr>
            <w:tcW w:type="dxa" w:w="1152"/>
          </w:tcPr>
          <w:p>
            <w:r/>
            <w:r>
              <w:rPr>
                <w:rFonts w:ascii="Calibri" w:hAnsi="Calibri"/>
                <w:color w:val="333333"/>
                <w:sz w:val="18"/>
              </w:rPr>
              <w:t>GET</w:t>
            </w:r>
          </w:p>
        </w:tc>
        <w:tc>
          <w:tcPr>
            <w:tcW w:type="dxa" w:w="2880"/>
          </w:tcPr>
          <w:p>
            <w:r/>
            <w:r>
              <w:rPr>
                <w:rFonts w:ascii="Calibri" w:hAnsi="Calibri"/>
                <w:color w:val="333333"/>
                <w:sz w:val="18"/>
              </w:rPr>
              <w:t>Get forecast for organizational unit</w:t>
            </w:r>
          </w:p>
        </w:tc>
        <w:tc>
          <w:tcPr>
            <w:tcW w:type="dxa" w:w="2160"/>
          </w:tcPr>
          <w:p>
            <w:r/>
            <w:r>
              <w:rPr>
                <w:rFonts w:ascii="Calibri" w:hAnsi="Calibri"/>
                <w:color w:val="333333"/>
                <w:sz w:val="18"/>
              </w:rPr>
              <w:t>KPI projections with confidence intervals</w:t>
            </w:r>
          </w:p>
        </w:tc>
      </w:tr>
      <w:tr>
        <w:tc>
          <w:tcPr>
            <w:tcW w:type="dxa" w:w="3168"/>
            <w:shd w:fill="F2F6FC"/>
          </w:tcPr>
          <w:p>
            <w:r/>
            <w:r>
              <w:rPr>
                <w:rFonts w:ascii="Calibri" w:hAnsi="Calibri"/>
                <w:color w:val="333333"/>
                <w:sz w:val="18"/>
              </w:rPr>
              <w:t>/api/v1/forecast/{unit_id}/scenarios</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Get scenario analysis (bull/base/bear)</w:t>
            </w:r>
          </w:p>
        </w:tc>
        <w:tc>
          <w:tcPr>
            <w:tcW w:type="dxa" w:w="2160"/>
            <w:shd w:fill="F2F6FC"/>
          </w:tcPr>
          <w:p>
            <w:r/>
            <w:r>
              <w:rPr>
                <w:rFonts w:ascii="Calibri" w:hAnsi="Calibri"/>
                <w:color w:val="333333"/>
                <w:sz w:val="18"/>
              </w:rPr>
              <w:t>Three scenarios with drivers</w:t>
            </w:r>
          </w:p>
        </w:tc>
      </w:tr>
      <w:tr>
        <w:tc>
          <w:tcPr>
            <w:tcW w:type="dxa" w:w="3168"/>
          </w:tcPr>
          <w:p>
            <w:r/>
            <w:r>
              <w:rPr>
                <w:rFonts w:ascii="Calibri" w:hAnsi="Calibri"/>
                <w:color w:val="333333"/>
                <w:sz w:val="18"/>
              </w:rPr>
              <w:t>/api/v1/forecast/compare</w:t>
            </w:r>
          </w:p>
        </w:tc>
        <w:tc>
          <w:tcPr>
            <w:tcW w:type="dxa" w:w="1152"/>
          </w:tcPr>
          <w:p>
            <w:r/>
            <w:r>
              <w:rPr>
                <w:rFonts w:ascii="Calibri" w:hAnsi="Calibri"/>
                <w:color w:val="333333"/>
                <w:sz w:val="18"/>
              </w:rPr>
              <w:t>POST</w:t>
            </w:r>
          </w:p>
        </w:tc>
        <w:tc>
          <w:tcPr>
            <w:tcW w:type="dxa" w:w="2880"/>
          </w:tcPr>
          <w:p>
            <w:r/>
            <w:r>
              <w:rPr>
                <w:rFonts w:ascii="Calibri" w:hAnsi="Calibri"/>
                <w:color w:val="333333"/>
                <w:sz w:val="18"/>
              </w:rPr>
              <w:t>Compare actuals vs forecast</w:t>
            </w:r>
          </w:p>
        </w:tc>
        <w:tc>
          <w:tcPr>
            <w:tcW w:type="dxa" w:w="2160"/>
          </w:tcPr>
          <w:p>
            <w:r/>
            <w:r>
              <w:rPr>
                <w:rFonts w:ascii="Calibri" w:hAnsi="Calibri"/>
                <w:color w:val="333333"/>
                <w:sz w:val="18"/>
              </w:rPr>
              <w:t>Variance analysis with explanations</w:t>
            </w:r>
          </w:p>
        </w:tc>
      </w:tr>
      <w:tr>
        <w:tc>
          <w:tcPr>
            <w:tcW w:type="dxa" w:w="3168"/>
            <w:shd w:fill="F2F6FC"/>
          </w:tcPr>
          <w:p>
            <w:r/>
            <w:r>
              <w:rPr>
                <w:rFonts w:ascii="Calibri" w:hAnsi="Calibri"/>
                <w:color w:val="333333"/>
                <w:sz w:val="18"/>
              </w:rPr>
              <w:t>/api/v1/forecast/drivers/{kpi_id}</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Get forecast drivers for a KPI</w:t>
            </w:r>
          </w:p>
        </w:tc>
        <w:tc>
          <w:tcPr>
            <w:tcW w:type="dxa" w:w="2160"/>
            <w:shd w:fill="F2F6FC"/>
          </w:tcPr>
          <w:p>
            <w:r/>
            <w:r>
              <w:rPr>
                <w:rFonts w:ascii="Calibri" w:hAnsi="Calibri"/>
                <w:color w:val="333333"/>
                <w:sz w:val="18"/>
              </w:rPr>
              <w:t>Input factors, sensitivities, risk factors</w:t>
            </w:r>
          </w:p>
        </w:tc>
      </w:tr>
    </w:tbl>
    <w:p/>
    <w:p>
      <w:pPr>
        <w:spacing w:after="120"/>
      </w:pPr>
      <w:r>
        <w:rPr>
          <w:sz w:val="20"/>
        </w:rPr>
        <w:t>Integration Pattern: Request-response with 30-second timeout. Responses cached for 1 hour. Fallback: if Forecasting API unavailable, reports generated without forecast data (clearly labeled).</w:t>
      </w:r>
    </w:p>
    <w:p>
      <w:pPr>
        <w:spacing w:after="120"/>
      </w:pPr>
      <w:r>
        <w:rPr>
          <w:b/>
        </w:rPr>
        <w:t>Amira Marketing Analytics API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600"/>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2880"/>
            <w:shd w:fill="1A56DB"/>
          </w:tcPr>
          <w:p>
            <w:r/>
            <w:r>
              <w:rPr>
                <w:rFonts w:ascii="Calibri" w:hAnsi="Calibri"/>
                <w:b/>
                <w:color w:val="FFFFFF"/>
                <w:sz w:val="20"/>
              </w:rPr>
              <w:t>Description</w:t>
            </w:r>
          </w:p>
        </w:tc>
        <w:tc>
          <w:tcPr>
            <w:tcW w:type="dxa" w:w="1728"/>
            <w:shd w:fill="1A56DB"/>
          </w:tcPr>
          <w:p>
            <w:r/>
            <w:r>
              <w:rPr>
                <w:rFonts w:ascii="Calibri" w:hAnsi="Calibri"/>
                <w:b/>
                <w:color w:val="FFFFFF"/>
                <w:sz w:val="20"/>
              </w:rPr>
              <w:t>Response</w:t>
            </w:r>
          </w:p>
        </w:tc>
      </w:tr>
      <w:tr>
        <w:tc>
          <w:tcPr>
            <w:tcW w:type="dxa" w:w="3600"/>
          </w:tcPr>
          <w:p>
            <w:r/>
            <w:r>
              <w:rPr>
                <w:rFonts w:ascii="Calibri" w:hAnsi="Calibri"/>
                <w:color w:val="333333"/>
                <w:sz w:val="18"/>
              </w:rPr>
              <w:t>/api/v1/marketing/{unit_id}/spend</w:t>
            </w:r>
          </w:p>
        </w:tc>
        <w:tc>
          <w:tcPr>
            <w:tcW w:type="dxa" w:w="1152"/>
          </w:tcPr>
          <w:p>
            <w:r/>
            <w:r>
              <w:rPr>
                <w:rFonts w:ascii="Calibri" w:hAnsi="Calibri"/>
                <w:color w:val="333333"/>
                <w:sz w:val="18"/>
              </w:rPr>
              <w:t>GET</w:t>
            </w:r>
          </w:p>
        </w:tc>
        <w:tc>
          <w:tcPr>
            <w:tcW w:type="dxa" w:w="2880"/>
          </w:tcPr>
          <w:p>
            <w:r/>
            <w:r>
              <w:rPr>
                <w:rFonts w:ascii="Calibri" w:hAnsi="Calibri"/>
                <w:color w:val="333333"/>
                <w:sz w:val="18"/>
              </w:rPr>
              <w:t>Marketing spend by channel/brand</w:t>
            </w:r>
          </w:p>
        </w:tc>
        <w:tc>
          <w:tcPr>
            <w:tcW w:type="dxa" w:w="1728"/>
          </w:tcPr>
          <w:p>
            <w:r/>
            <w:r>
              <w:rPr>
                <w:rFonts w:ascii="Calibri" w:hAnsi="Calibri"/>
                <w:color w:val="333333"/>
                <w:sz w:val="18"/>
              </w:rPr>
              <w:t>Spend breakdown with period comparison</w:t>
            </w:r>
          </w:p>
        </w:tc>
      </w:tr>
      <w:tr>
        <w:tc>
          <w:tcPr>
            <w:tcW w:type="dxa" w:w="3600"/>
            <w:shd w:fill="F2F6FC"/>
          </w:tcPr>
          <w:p>
            <w:r/>
            <w:r>
              <w:rPr>
                <w:rFonts w:ascii="Calibri" w:hAnsi="Calibri"/>
                <w:color w:val="333333"/>
                <w:sz w:val="18"/>
              </w:rPr>
              <w:t>/api/v1/marketing/{unit_id}/roi</w:t>
            </w:r>
          </w:p>
        </w:tc>
        <w:tc>
          <w:tcPr>
            <w:tcW w:type="dxa" w:w="1152"/>
            <w:shd w:fill="F2F6FC"/>
          </w:tcPr>
          <w:p>
            <w:r/>
            <w:r>
              <w:rPr>
                <w:rFonts w:ascii="Calibri" w:hAnsi="Calibri"/>
                <w:color w:val="333333"/>
                <w:sz w:val="18"/>
              </w:rPr>
              <w:t>GET</w:t>
            </w:r>
          </w:p>
        </w:tc>
        <w:tc>
          <w:tcPr>
            <w:tcW w:type="dxa" w:w="2880"/>
            <w:shd w:fill="F2F6FC"/>
          </w:tcPr>
          <w:p>
            <w:r/>
            <w:r>
              <w:rPr>
                <w:rFonts w:ascii="Calibri" w:hAnsi="Calibri"/>
                <w:color w:val="333333"/>
                <w:sz w:val="18"/>
              </w:rPr>
              <w:t>Marketing ROI metrics</w:t>
            </w:r>
          </w:p>
        </w:tc>
        <w:tc>
          <w:tcPr>
            <w:tcW w:type="dxa" w:w="1728"/>
            <w:shd w:fill="F2F6FC"/>
          </w:tcPr>
          <w:p>
            <w:r/>
            <w:r>
              <w:rPr>
                <w:rFonts w:ascii="Calibri" w:hAnsi="Calibri"/>
                <w:color w:val="333333"/>
                <w:sz w:val="18"/>
              </w:rPr>
              <w:t>ROAS, CAC, CLV by channel</w:t>
            </w:r>
          </w:p>
        </w:tc>
      </w:tr>
      <w:tr>
        <w:tc>
          <w:tcPr>
            <w:tcW w:type="dxa" w:w="3600"/>
          </w:tcPr>
          <w:p>
            <w:r/>
            <w:r>
              <w:rPr>
                <w:rFonts w:ascii="Calibri" w:hAnsi="Calibri"/>
                <w:color w:val="333333"/>
                <w:sz w:val="18"/>
              </w:rPr>
              <w:t>/api/v1/marketing/{unit_id}/attribution</w:t>
            </w:r>
          </w:p>
        </w:tc>
        <w:tc>
          <w:tcPr>
            <w:tcW w:type="dxa" w:w="1152"/>
          </w:tcPr>
          <w:p>
            <w:r/>
            <w:r>
              <w:rPr>
                <w:rFonts w:ascii="Calibri" w:hAnsi="Calibri"/>
                <w:color w:val="333333"/>
                <w:sz w:val="18"/>
              </w:rPr>
              <w:t>GET</w:t>
            </w:r>
          </w:p>
        </w:tc>
        <w:tc>
          <w:tcPr>
            <w:tcW w:type="dxa" w:w="2880"/>
          </w:tcPr>
          <w:p>
            <w:r/>
            <w:r>
              <w:rPr>
                <w:rFonts w:ascii="Calibri" w:hAnsi="Calibri"/>
                <w:color w:val="333333"/>
                <w:sz w:val="18"/>
              </w:rPr>
              <w:t>Revenue attribution to marketing</w:t>
            </w:r>
          </w:p>
        </w:tc>
        <w:tc>
          <w:tcPr>
            <w:tcW w:type="dxa" w:w="1728"/>
          </w:tcPr>
          <w:p>
            <w:r/>
            <w:r>
              <w:rPr>
                <w:rFonts w:ascii="Calibri" w:hAnsi="Calibri"/>
                <w:color w:val="333333"/>
                <w:sz w:val="18"/>
              </w:rPr>
              <w:t>Multi-touch attribution percentages</w:t>
            </w:r>
          </w:p>
        </w:tc>
      </w:tr>
      <w:tr>
        <w:tc>
          <w:tcPr>
            <w:tcW w:type="dxa" w:w="3600"/>
            <w:shd w:fill="F2F6FC"/>
          </w:tcPr>
          <w:p>
            <w:r/>
            <w:r>
              <w:rPr>
                <w:rFonts w:ascii="Calibri" w:hAnsi="Calibri"/>
                <w:color w:val="333333"/>
                <w:sz w:val="18"/>
              </w:rPr>
              <w:t>/api/v1/marketing/recommendations</w:t>
            </w:r>
          </w:p>
        </w:tc>
        <w:tc>
          <w:tcPr>
            <w:tcW w:type="dxa" w:w="1152"/>
            <w:shd w:fill="F2F6FC"/>
          </w:tcPr>
          <w:p>
            <w:r/>
            <w:r>
              <w:rPr>
                <w:rFonts w:ascii="Calibri" w:hAnsi="Calibri"/>
                <w:color w:val="333333"/>
                <w:sz w:val="18"/>
              </w:rPr>
              <w:t>POST</w:t>
            </w:r>
          </w:p>
        </w:tc>
        <w:tc>
          <w:tcPr>
            <w:tcW w:type="dxa" w:w="2880"/>
            <w:shd w:fill="F2F6FC"/>
          </w:tcPr>
          <w:p>
            <w:r/>
            <w:r>
              <w:rPr>
                <w:rFonts w:ascii="Calibri" w:hAnsi="Calibri"/>
                <w:color w:val="333333"/>
                <w:sz w:val="18"/>
              </w:rPr>
              <w:t>Get budget optimization suggestions</w:t>
            </w:r>
          </w:p>
        </w:tc>
        <w:tc>
          <w:tcPr>
            <w:tcW w:type="dxa" w:w="1728"/>
            <w:shd w:fill="F2F6FC"/>
          </w:tcPr>
          <w:p>
            <w:r/>
            <w:r>
              <w:rPr>
                <w:rFonts w:ascii="Calibri" w:hAnsi="Calibri"/>
                <w:color w:val="333333"/>
                <w:sz w:val="18"/>
              </w:rPr>
              <w:t>Recommended allocation shifts</w:t>
            </w:r>
          </w:p>
        </w:tc>
      </w:tr>
    </w:tbl>
    <w:p/>
    <w:p>
      <w:pPr>
        <w:spacing w:after="120"/>
      </w:pPr>
      <w:r>
        <w:rPr>
          <w:sz w:val="20"/>
        </w:rPr>
        <w:t>Integration Pattern: Same as Forecasting API. Marketing data enriches reports only when the user's organizational unit has marketing data available and the user has marketing-authorized access.</w:t>
      </w:r>
    </w:p>
    <w:p>
      <w:pPr>
        <w:pStyle w:val="Heading3"/>
      </w:pPr>
      <w:r>
        <w:t>3.1.4 Communication Interfaces</w:t>
      </w:r>
    </w:p>
    <w:p>
      <w:pPr>
        <w:spacing w:after="120"/>
      </w:pPr>
      <w:r>
        <w:t>Amira FinIQ exposes the following RESTful API for third-party consumers and programmatic access: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600"/>
            <w:shd w:fill="1A56DB"/>
          </w:tcPr>
          <w:p>
            <w:r/>
            <w:r>
              <w:rPr>
                <w:rFonts w:ascii="Calibri" w:hAnsi="Calibri"/>
                <w:b/>
                <w:color w:val="FFFFFF"/>
                <w:sz w:val="20"/>
              </w:rPr>
              <w:t>Endpoint</w:t>
            </w:r>
          </w:p>
        </w:tc>
        <w:tc>
          <w:tcPr>
            <w:tcW w:type="dxa" w:w="1152"/>
            <w:shd w:fill="1A56DB"/>
          </w:tcPr>
          <w:p>
            <w:r/>
            <w:r>
              <w:rPr>
                <w:rFonts w:ascii="Calibri" w:hAnsi="Calibri"/>
                <w:b/>
                <w:color w:val="FFFFFF"/>
                <w:sz w:val="20"/>
              </w:rPr>
              <w:t>Method</w:t>
            </w:r>
          </w:p>
        </w:tc>
        <w:tc>
          <w:tcPr>
            <w:tcW w:type="dxa" w:w="4608"/>
            <w:shd w:fill="1A56DB"/>
          </w:tcPr>
          <w:p>
            <w:r/>
            <w:r>
              <w:rPr>
                <w:rFonts w:ascii="Calibri" w:hAnsi="Calibri"/>
                <w:b/>
                <w:color w:val="FFFFFF"/>
                <w:sz w:val="20"/>
              </w:rPr>
              <w:t>Description</w:t>
            </w:r>
          </w:p>
        </w:tc>
      </w:tr>
      <w:tr>
        <w:tc>
          <w:tcPr>
            <w:tcW w:type="dxa" w:w="3600"/>
          </w:tcPr>
          <w:p>
            <w:r/>
            <w:r>
              <w:rPr>
                <w:rFonts w:ascii="Calibri" w:hAnsi="Calibri"/>
                <w:color w:val="333333"/>
                <w:sz w:val="18"/>
              </w:rPr>
              <w:t>/api/v1/reports/generate</w:t>
            </w:r>
          </w:p>
        </w:tc>
        <w:tc>
          <w:tcPr>
            <w:tcW w:type="dxa" w:w="1152"/>
          </w:tcPr>
          <w:p>
            <w:r/>
            <w:r>
              <w:rPr>
                <w:rFonts w:ascii="Calibri" w:hAnsi="Calibri"/>
                <w:color w:val="333333"/>
                <w:sz w:val="18"/>
              </w:rPr>
              <w:t>POST</w:t>
            </w:r>
          </w:p>
        </w:tc>
        <w:tc>
          <w:tcPr>
            <w:tcW w:type="dxa" w:w="4608"/>
          </w:tcPr>
          <w:p>
            <w:r/>
            <w:r>
              <w:rPr>
                <w:rFonts w:ascii="Calibri" w:hAnsi="Calibri"/>
                <w:color w:val="333333"/>
                <w:sz w:val="18"/>
              </w:rPr>
              <w:t>Generate a report (PES, competitive, custom)</w:t>
            </w:r>
          </w:p>
        </w:tc>
      </w:tr>
      <w:tr>
        <w:tc>
          <w:tcPr>
            <w:tcW w:type="dxa" w:w="3600"/>
            <w:shd w:fill="F2F6FC"/>
          </w:tcPr>
          <w:p>
            <w:r/>
            <w:r>
              <w:rPr>
                <w:rFonts w:ascii="Calibri" w:hAnsi="Calibri"/>
                <w:color w:val="333333"/>
                <w:sz w:val="18"/>
              </w:rPr>
              <w:t>/api/v1/reports/{report_id}</w:t>
            </w:r>
          </w:p>
        </w:tc>
        <w:tc>
          <w:tcPr>
            <w:tcW w:type="dxa" w:w="1152"/>
            <w:shd w:fill="F2F6FC"/>
          </w:tcPr>
          <w:p>
            <w:r/>
            <w:r>
              <w:rPr>
                <w:rFonts w:ascii="Calibri" w:hAnsi="Calibri"/>
                <w:color w:val="333333"/>
                <w:sz w:val="18"/>
              </w:rPr>
              <w:t>GET</w:t>
            </w:r>
          </w:p>
        </w:tc>
        <w:tc>
          <w:tcPr>
            <w:tcW w:type="dxa" w:w="4608"/>
            <w:shd w:fill="F2F6FC"/>
          </w:tcPr>
          <w:p>
            <w:r/>
            <w:r>
              <w:rPr>
                <w:rFonts w:ascii="Calibri" w:hAnsi="Calibri"/>
                <w:color w:val="333333"/>
                <w:sz w:val="18"/>
              </w:rPr>
              <w:t>Retrieve a generated report</w:t>
            </w:r>
          </w:p>
        </w:tc>
      </w:tr>
      <w:tr>
        <w:tc>
          <w:tcPr>
            <w:tcW w:type="dxa" w:w="3600"/>
          </w:tcPr>
          <w:p>
            <w:r/>
            <w:r>
              <w:rPr>
                <w:rFonts w:ascii="Calibri" w:hAnsi="Calibri"/>
                <w:color w:val="333333"/>
                <w:sz w:val="18"/>
              </w:rPr>
              <w:t>/api/v1/query</w:t>
            </w:r>
          </w:p>
        </w:tc>
        <w:tc>
          <w:tcPr>
            <w:tcW w:type="dxa" w:w="1152"/>
          </w:tcPr>
          <w:p>
            <w:r/>
            <w:r>
              <w:rPr>
                <w:rFonts w:ascii="Calibri" w:hAnsi="Calibri"/>
                <w:color w:val="333333"/>
                <w:sz w:val="18"/>
              </w:rPr>
              <w:t>POST</w:t>
            </w:r>
          </w:p>
        </w:tc>
        <w:tc>
          <w:tcPr>
            <w:tcW w:type="dxa" w:w="4608"/>
          </w:tcPr>
          <w:p>
            <w:r/>
            <w:r>
              <w:rPr>
                <w:rFonts w:ascii="Calibri" w:hAnsi="Calibri"/>
                <w:color w:val="333333"/>
                <w:sz w:val="18"/>
              </w:rPr>
              <w:t>Submit a natural language query</w:t>
            </w:r>
          </w:p>
        </w:tc>
      </w:tr>
      <w:tr>
        <w:tc>
          <w:tcPr>
            <w:tcW w:type="dxa" w:w="3600"/>
            <w:shd w:fill="F2F6FC"/>
          </w:tcPr>
          <w:p>
            <w:r/>
            <w:r>
              <w:rPr>
                <w:rFonts w:ascii="Calibri" w:hAnsi="Calibri"/>
                <w:color w:val="333333"/>
                <w:sz w:val="18"/>
              </w:rPr>
              <w:t>/api/v1/jobs</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Submit a job to the agent queue</w:t>
            </w:r>
          </w:p>
        </w:tc>
      </w:tr>
      <w:tr>
        <w:tc>
          <w:tcPr>
            <w:tcW w:type="dxa" w:w="3600"/>
          </w:tcPr>
          <w:p>
            <w:r/>
            <w:r>
              <w:rPr>
                <w:rFonts w:ascii="Calibri" w:hAnsi="Calibri"/>
                <w:color w:val="333333"/>
                <w:sz w:val="18"/>
              </w:rPr>
              <w:t>/api/v1/jobs/{job_id}</w:t>
            </w:r>
          </w:p>
        </w:tc>
        <w:tc>
          <w:tcPr>
            <w:tcW w:type="dxa" w:w="1152"/>
          </w:tcPr>
          <w:p>
            <w:r/>
            <w:r>
              <w:rPr>
                <w:rFonts w:ascii="Calibri" w:hAnsi="Calibri"/>
                <w:color w:val="333333"/>
                <w:sz w:val="18"/>
              </w:rPr>
              <w:t>GET</w:t>
            </w:r>
          </w:p>
        </w:tc>
        <w:tc>
          <w:tcPr>
            <w:tcW w:type="dxa" w:w="4608"/>
          </w:tcPr>
          <w:p>
            <w:r/>
            <w:r>
              <w:rPr>
                <w:rFonts w:ascii="Calibri" w:hAnsi="Calibri"/>
                <w:color w:val="333333"/>
                <w:sz w:val="18"/>
              </w:rPr>
              <w:t>Check job status and retrieve result</w:t>
            </w:r>
          </w:p>
        </w:tc>
      </w:tr>
      <w:tr>
        <w:tc>
          <w:tcPr>
            <w:tcW w:type="dxa" w:w="3600"/>
            <w:shd w:fill="F2F6FC"/>
          </w:tcPr>
          <w:p>
            <w:r/>
            <w:r>
              <w:rPr>
                <w:rFonts w:ascii="Calibri" w:hAnsi="Calibri"/>
                <w:color w:val="333333"/>
                <w:sz w:val="18"/>
              </w:rPr>
              <w:t>/api/v1/jobs/{job_id}/cancel</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Cancel a queued or in-progress job</w:t>
            </w:r>
          </w:p>
        </w:tc>
      </w:tr>
      <w:tr>
        <w:tc>
          <w:tcPr>
            <w:tcW w:type="dxa" w:w="3600"/>
          </w:tcPr>
          <w:p>
            <w:r/>
            <w:r>
              <w:rPr>
                <w:rFonts w:ascii="Calibri" w:hAnsi="Calibri"/>
                <w:color w:val="333333"/>
                <w:sz w:val="18"/>
              </w:rPr>
              <w:t>/api/v1/catalog/units</w:t>
            </w:r>
          </w:p>
        </w:tc>
        <w:tc>
          <w:tcPr>
            <w:tcW w:type="dxa" w:w="1152"/>
          </w:tcPr>
          <w:p>
            <w:r/>
            <w:r>
              <w:rPr>
                <w:rFonts w:ascii="Calibri" w:hAnsi="Calibri"/>
                <w:color w:val="333333"/>
                <w:sz w:val="18"/>
              </w:rPr>
              <w:t>GET</w:t>
            </w:r>
          </w:p>
        </w:tc>
        <w:tc>
          <w:tcPr>
            <w:tcW w:type="dxa" w:w="4608"/>
          </w:tcPr>
          <w:p>
            <w:r/>
            <w:r>
              <w:rPr>
                <w:rFonts w:ascii="Calibri" w:hAnsi="Calibri"/>
                <w:color w:val="333333"/>
                <w:sz w:val="18"/>
              </w:rPr>
              <w:t>List organizational units (filtered by RBAC)</w:t>
            </w:r>
          </w:p>
        </w:tc>
      </w:tr>
      <w:tr>
        <w:tc>
          <w:tcPr>
            <w:tcW w:type="dxa" w:w="3600"/>
            <w:shd w:fill="F2F6FC"/>
          </w:tcPr>
          <w:p>
            <w:r/>
            <w:r>
              <w:rPr>
                <w:rFonts w:ascii="Calibri" w:hAnsi="Calibri"/>
                <w:color w:val="333333"/>
                <w:sz w:val="18"/>
              </w:rPr>
              <w:t>/api/v1/catalog/kpis</w:t>
            </w:r>
          </w:p>
        </w:tc>
        <w:tc>
          <w:tcPr>
            <w:tcW w:type="dxa" w:w="1152"/>
            <w:shd w:fill="F2F6FC"/>
          </w:tcPr>
          <w:p>
            <w:r/>
            <w:r>
              <w:rPr>
                <w:rFonts w:ascii="Calibri" w:hAnsi="Calibri"/>
                <w:color w:val="333333"/>
                <w:sz w:val="18"/>
              </w:rPr>
              <w:t>GET</w:t>
            </w:r>
          </w:p>
        </w:tc>
        <w:tc>
          <w:tcPr>
            <w:tcW w:type="dxa" w:w="4608"/>
            <w:shd w:fill="F2F6FC"/>
          </w:tcPr>
          <w:p>
            <w:r/>
            <w:r>
              <w:rPr>
                <w:rFonts w:ascii="Calibri" w:hAnsi="Calibri"/>
                <w:color w:val="333333"/>
                <w:sz w:val="18"/>
              </w:rPr>
              <w:t>List available KPI definitions</w:t>
            </w:r>
          </w:p>
        </w:tc>
      </w:tr>
      <w:tr>
        <w:tc>
          <w:tcPr>
            <w:tcW w:type="dxa" w:w="3600"/>
          </w:tcPr>
          <w:p>
            <w:r/>
            <w:r>
              <w:rPr>
                <w:rFonts w:ascii="Calibri" w:hAnsi="Calibri"/>
                <w:color w:val="333333"/>
                <w:sz w:val="18"/>
              </w:rPr>
              <w:t>/api/v1/catalog/competitors</w:t>
            </w:r>
          </w:p>
        </w:tc>
        <w:tc>
          <w:tcPr>
            <w:tcW w:type="dxa" w:w="1152"/>
          </w:tcPr>
          <w:p>
            <w:r/>
            <w:r>
              <w:rPr>
                <w:rFonts w:ascii="Calibri" w:hAnsi="Calibri"/>
                <w:color w:val="333333"/>
                <w:sz w:val="18"/>
              </w:rPr>
              <w:t>GET</w:t>
            </w:r>
          </w:p>
        </w:tc>
        <w:tc>
          <w:tcPr>
            <w:tcW w:type="dxa" w:w="4608"/>
          </w:tcPr>
          <w:p>
            <w:r/>
            <w:r>
              <w:rPr>
                <w:rFonts w:ascii="Calibri" w:hAnsi="Calibri"/>
                <w:color w:val="333333"/>
                <w:sz w:val="18"/>
              </w:rPr>
              <w:t>List tracked competitors and peer groups</w:t>
            </w:r>
          </w:p>
        </w:tc>
      </w:tr>
      <w:tr>
        <w:tc>
          <w:tcPr>
            <w:tcW w:type="dxa" w:w="3600"/>
            <w:shd w:fill="F2F6FC"/>
          </w:tcPr>
          <w:p>
            <w:r/>
            <w:r>
              <w:rPr>
                <w:rFonts w:ascii="Calibri" w:hAnsi="Calibri"/>
                <w:color w:val="333333"/>
                <w:sz w:val="18"/>
              </w:rPr>
              <w:t>/api/v1/webhooks</w:t>
            </w:r>
          </w:p>
        </w:tc>
        <w:tc>
          <w:tcPr>
            <w:tcW w:type="dxa" w:w="1152"/>
            <w:shd w:fill="F2F6FC"/>
          </w:tcPr>
          <w:p>
            <w:r/>
            <w:r>
              <w:rPr>
                <w:rFonts w:ascii="Calibri" w:hAnsi="Calibri"/>
                <w:color w:val="333333"/>
                <w:sz w:val="18"/>
              </w:rPr>
              <w:t>POST</w:t>
            </w:r>
          </w:p>
        </w:tc>
        <w:tc>
          <w:tcPr>
            <w:tcW w:type="dxa" w:w="4608"/>
            <w:shd w:fill="F2F6FC"/>
          </w:tcPr>
          <w:p>
            <w:r/>
            <w:r>
              <w:rPr>
                <w:rFonts w:ascii="Calibri" w:hAnsi="Calibri"/>
                <w:color w:val="333333"/>
                <w:sz w:val="18"/>
              </w:rPr>
              <w:t>Register a webhook for event notifications</w:t>
            </w:r>
          </w:p>
        </w:tc>
      </w:tr>
    </w:tbl>
    <w:p/>
    <w:p>
      <w:r>
        <w:br w:type="page"/>
      </w:r>
    </w:p>
    <w:p>
      <w:pPr>
        <w:pStyle w:val="Heading2"/>
      </w:pPr>
      <w:r>
        <w:t>3.2 Functional Requirements</w:t>
      </w:r>
    </w:p>
    <w:p>
      <w:pPr>
        <w:pStyle w:val="Heading3"/>
      </w:pPr>
      <w:r>
        <w:t>3.2.1 FR1: Unified Data Ingestion Engine</w:t>
      </w:r>
    </w:p>
    <w:p>
      <w:pPr>
        <w:spacing w:after="120"/>
      </w:pPr>
      <w:r>
        <w:t>The ingestion engine is the foundation of Amira FinIQ. It normalizes data from all sources into a unified data layer that the analytics engine queries against.</w:t>
      </w:r>
    </w:p>
    <w:p>
      <w:pPr>
        <w:spacing w:after="80"/>
      </w:pPr>
      <w:r>
        <w:rPr>
          <w:b/>
          <w:color w:val="1A56DB"/>
          <w:sz w:val="22"/>
        </w:rPr>
        <w:t>FR1.1: Internal Financial Data Ingestion</w:t>
      </w:r>
    </w:p>
    <w:p>
      <w:pPr>
        <w:spacing w:after="40"/>
      </w:pPr>
      <w:r>
        <w:t>The system shall ingest preprocessed Excel workbooks containing P&amp;L, Product, Brand, and NCFO sheets from Azure Blob Storage. Column renaming, KPI mapping, unit filtering (150+ predefined organizational units), and derived metric calculations shall be applied automatically. The system shall support the existing naming convention: preprocessed_output_{Period}_{YearShort}.xlsx.</w:t>
      </w:r>
    </w:p>
    <w:p>
      <w:pPr>
        <w:spacing w:after="200"/>
      </w:pPr>
      <w:r>
        <w:rPr>
          <w:i/>
          <w:color w:val="666666"/>
          <w:sz w:val="18"/>
        </w:rPr>
        <w:t>Priority: High  |  Category: Functional</w:t>
      </w:r>
    </w:p>
    <w:p>
      <w:pPr>
        <w:spacing w:after="80"/>
      </w:pPr>
      <w:r>
        <w:rPr>
          <w:b/>
          <w:color w:val="1A56DB"/>
          <w:sz w:val="22"/>
        </w:rPr>
        <w:t>FR1.2: Competitor Document Ingestion</w:t>
      </w:r>
    </w:p>
    <w:p>
      <w:pPr>
        <w:spacing w:after="40"/>
      </w:pPr>
      <w:r>
        <w:t>The system shall ingest PDF documents (earnings releases, presentations, transcripts) via upload or automated scraping. Documents shall be parsed using Azure Document Intelligence, chunked, embedded, and indexed in a vector search store. Metadata extraction (company, quarter, document type) shall be automatic.</w:t>
      </w:r>
    </w:p>
    <w:p>
      <w:pPr>
        <w:spacing w:after="200"/>
      </w:pPr>
      <w:r>
        <w:rPr>
          <w:i/>
          <w:color w:val="666666"/>
          <w:sz w:val="18"/>
        </w:rPr>
        <w:t>Priority: High  |  Category: Functional</w:t>
      </w:r>
    </w:p>
    <w:p>
      <w:pPr>
        <w:spacing w:after="80"/>
      </w:pPr>
      <w:r>
        <w:rPr>
          <w:b/>
          <w:color w:val="1A56DB"/>
          <w:sz w:val="22"/>
        </w:rPr>
        <w:t>FR1.3: Third-Party Data Connectors</w:t>
      </w:r>
    </w:p>
    <w:p>
      <w:pPr>
        <w:spacing w:after="40"/>
      </w:pPr>
      <w:r>
        <w:t>The system shall provide a connector framework for integrating third-party data sources including commodity price feeds, acquired research databases, and market data providers. Each connector shall normalize data into the unified schema with source lineage metadata.</w:t>
      </w:r>
    </w:p>
    <w:p>
      <w:pPr>
        <w:spacing w:after="200"/>
      </w:pPr>
      <w:r>
        <w:rPr>
          <w:i/>
          <w:color w:val="666666"/>
          <w:sz w:val="18"/>
        </w:rPr>
        <w:t>Priority: High  |  Category: Functional</w:t>
      </w:r>
    </w:p>
    <w:p>
      <w:pPr>
        <w:spacing w:after="80"/>
      </w:pPr>
      <w:r>
        <w:rPr>
          <w:b/>
          <w:color w:val="1A56DB"/>
          <w:sz w:val="22"/>
        </w:rPr>
        <w:t>FR1.4: Data Catalog &amp; Lineage</w:t>
      </w:r>
    </w:p>
    <w:p>
      <w:pPr>
        <w:spacing w:after="40"/>
      </w:pPr>
      <w:r>
        <w:t>All ingested data shall be cataloged with metadata (source, ingestion timestamp, schema version, quality score). Every derived metric and generated insight shall maintain a provenance chain back to its source data.</w:t>
      </w:r>
    </w:p>
    <w:p>
      <w:pPr>
        <w:spacing w:after="200"/>
      </w:pPr>
      <w:r>
        <w:rPr>
          <w:i/>
          <w:color w:val="666666"/>
          <w:sz w:val="18"/>
        </w:rPr>
        <w:t>Priority: High  |  Category: Functional</w:t>
      </w:r>
    </w:p>
    <w:p>
      <w:pPr>
        <w:spacing w:after="80"/>
      </w:pPr>
      <w:r>
        <w:rPr>
          <w:b/>
          <w:color w:val="1A56DB"/>
          <w:sz w:val="22"/>
        </w:rPr>
        <w:t>FR1.5: Incremental &amp; Scheduled Ingestion</w:t>
      </w:r>
    </w:p>
    <w:p>
      <w:pPr>
        <w:spacing w:after="40"/>
      </w:pPr>
      <w:r>
        <w:t>The system shall support both manual uploads and scheduled ingestion jobs. Incremental ingestion shall detect changes and update only affected records. Ingestion status and errors shall be visible in the admin dashboard.</w:t>
      </w:r>
    </w:p>
    <w:p>
      <w:pPr>
        <w:spacing w:after="200"/>
      </w:pPr>
      <w:r>
        <w:rPr>
          <w:i/>
          <w:color w:val="666666"/>
          <w:sz w:val="18"/>
        </w:rPr>
        <w:t>Priority: High  |  Category: Functional</w:t>
      </w:r>
    </w:p>
    <w:p>
      <w:pPr>
        <w:pStyle w:val="Heading3"/>
      </w:pPr>
      <w:r>
        <w:t>3.2.2 FR2: Financial Analytics &amp; Reporting Engine</w:t>
      </w:r>
    </w:p>
    <w:p>
      <w:pPr>
        <w:spacing w:after="120"/>
      </w:pPr>
      <w:r>
        <w:t>The analytics engine generates structured financial reports from the unified data layer. It evolves the current PES system into a more flexible, configurable architecture.</w:t>
      </w:r>
    </w:p>
    <w:p>
      <w:pPr>
        <w:spacing w:after="80"/>
      </w:pPr>
      <w:r>
        <w:rPr>
          <w:b/>
          <w:color w:val="1A56DB"/>
          <w:sz w:val="22"/>
        </w:rPr>
        <w:t>FR2.1: Period End Summary Generation</w:t>
      </w:r>
    </w:p>
    <w:p>
      <w:pPr>
        <w:spacing w:after="40"/>
      </w:pPr>
      <w:r>
        <w:t>The system shall generate executive performance summaries for any organizational unit, time period, and output format. Six KPI narratives (Organic Growth, MAC Shape, A&amp;CP Shape, CE Shape, Controllable Overhead Shape, NCFO) shall be generated in parallel, with trend analysis taglines injected from multi-period historical data. Output formats: Summary, What's Working Well, What's Not Working Well.</w:t>
      </w:r>
    </w:p>
    <w:p>
      <w:pPr>
        <w:spacing w:after="200"/>
      </w:pPr>
      <w:r>
        <w:rPr>
          <w:i/>
          <w:color w:val="666666"/>
          <w:sz w:val="18"/>
        </w:rPr>
        <w:t>Priority: High  |  Category: Functional</w:t>
      </w:r>
    </w:p>
    <w:p>
      <w:pPr>
        <w:spacing w:after="80"/>
      </w:pPr>
      <w:r>
        <w:rPr>
          <w:b/>
          <w:color w:val="1A56DB"/>
          <w:sz w:val="22"/>
        </w:rPr>
        <w:t>FR2.2: Configurable KPI Framework</w:t>
      </w:r>
    </w:p>
    <w:p>
      <w:pPr>
        <w:spacing w:after="40"/>
      </w:pPr>
      <w:r>
        <w:t>Business users shall be able to define, modify, and add KPIs without code changes. Each KPI definition shall include: formula, data sources, display name, narrative prompt template, and threshold parameters for trend analysis. KPI changes shall take effect on the next report generation.</w:t>
      </w:r>
    </w:p>
    <w:p>
      <w:pPr>
        <w:spacing w:after="200"/>
      </w:pPr>
      <w:r>
        <w:rPr>
          <w:i/>
          <w:color w:val="666666"/>
          <w:sz w:val="18"/>
        </w:rPr>
        <w:t>Priority: High  |  Category: Functional</w:t>
      </w:r>
    </w:p>
    <w:p>
      <w:pPr>
        <w:spacing w:after="80"/>
      </w:pPr>
      <w:r>
        <w:rPr>
          <w:b/>
          <w:color w:val="1A56DB"/>
          <w:sz w:val="22"/>
        </w:rPr>
        <w:t>FR2.3: Sub-Unit Ranking &amp; Driver Analysis</w:t>
      </w:r>
    </w:p>
    <w:p>
      <w:pPr>
        <w:spacing w:after="40"/>
      </w:pPr>
      <w:r>
        <w:t>For each KPI, the system shall automatically identify and rank sub-units (child business units) by performance for both Periodic and YTD timeframes. Driver analysis shall explain what is driving each sub-unit's performance, with explicit rank labels (RANK 1, TOP 3, BOTTOM 3).</w:t>
      </w:r>
    </w:p>
    <w:p>
      <w:pPr>
        <w:spacing w:after="200"/>
      </w:pPr>
      <w:r>
        <w:rPr>
          <w:i/>
          <w:color w:val="666666"/>
          <w:sz w:val="18"/>
        </w:rPr>
        <w:t>Priority: High  |  Category: Functional</w:t>
      </w:r>
    </w:p>
    <w:p>
      <w:pPr>
        <w:spacing w:after="80"/>
      </w:pPr>
      <w:r>
        <w:rPr>
          <w:b/>
          <w:color w:val="1A56DB"/>
          <w:sz w:val="22"/>
        </w:rPr>
        <w:t>FR2.4: Interactive KPI Tables</w:t>
      </w:r>
    </w:p>
    <w:p>
      <w:pPr>
        <w:spacing w:after="40"/>
      </w:pPr>
      <w:r>
        <w:t>Every generated summary shall include interactive HTML KPI tables with the underlying data, enabling users to cross-reference AI-generated narratives with source numbers. Tables shall support sorting, filtering, and drill-down.</w:t>
      </w:r>
    </w:p>
    <w:p>
      <w:pPr>
        <w:spacing w:after="200"/>
      </w:pPr>
      <w:r>
        <w:rPr>
          <w:i/>
          <w:color w:val="666666"/>
          <w:sz w:val="18"/>
        </w:rPr>
        <w:t>Priority: High  |  Category: Functional</w:t>
      </w:r>
    </w:p>
    <w:p>
      <w:pPr>
        <w:spacing w:after="80"/>
      </w:pPr>
      <w:r>
        <w:rPr>
          <w:b/>
          <w:color w:val="1A56DB"/>
          <w:sz w:val="22"/>
        </w:rPr>
        <w:t>FR2.5: Custom Report Builder</w:t>
      </w:r>
    </w:p>
    <w:p>
      <w:pPr>
        <w:spacing w:after="40"/>
      </w:pPr>
      <w:r>
        <w:t>Users shall be able to compose custom reports by selecting KPIs, organizational units, time periods, comparison bases (vs LY, vs Budget, vs Forecast), and output sections. Reports shall be saveable as templates for reuse.</w:t>
      </w:r>
    </w:p>
    <w:p>
      <w:pPr>
        <w:spacing w:after="200"/>
      </w:pPr>
      <w:r>
        <w:rPr>
          <w:i/>
          <w:color w:val="666666"/>
          <w:sz w:val="18"/>
        </w:rPr>
        <w:t>Priority: High  |  Category: Functional</w:t>
      </w:r>
    </w:p>
    <w:p>
      <w:pPr>
        <w:spacing w:after="80"/>
      </w:pPr>
      <w:r>
        <w:rPr>
          <w:b/>
          <w:color w:val="1A56DB"/>
          <w:sz w:val="22"/>
        </w:rPr>
        <w:t>FR2.6: Export Capabilities</w:t>
      </w:r>
    </w:p>
    <w:p>
      <w:pPr>
        <w:spacing w:after="40"/>
      </w:pPr>
      <w:r>
        <w:t>Reports shall be exportable to PDF, Word (.docx), PowerPoint (.pptx), Excel (.xlsx), and email. PowerPoint exports shall use Mars-branded templates with charts and tables pre-formatted for board presentation.</w:t>
      </w:r>
    </w:p>
    <w:p>
      <w:pPr>
        <w:spacing w:after="200"/>
      </w:pPr>
      <w:r>
        <w:rPr>
          <w:i/>
          <w:color w:val="666666"/>
          <w:sz w:val="18"/>
        </w:rPr>
        <w:t>Priority: High  |  Category: Functional</w:t>
      </w:r>
    </w:p>
    <w:p>
      <w:pPr>
        <w:pStyle w:val="Heading3"/>
      </w:pPr>
      <w:r>
        <w:t>3.2.3 FR3: Competitive Intelligence Module</w:t>
      </w:r>
    </w:p>
    <w:p>
      <w:pPr>
        <w:spacing w:after="120"/>
      </w:pPr>
      <w:r>
        <w:t>The CI module evolves the current standalone Competitive Intelligence tool into an integrated component of the analytics hub, with cross-referencing to internal data.</w:t>
      </w:r>
    </w:p>
    <w:p>
      <w:pPr>
        <w:spacing w:after="80"/>
      </w:pPr>
      <w:r>
        <w:rPr>
          <w:b/>
          <w:color w:val="1A56DB"/>
          <w:sz w:val="22"/>
        </w:rPr>
        <w:t>FR3.1: Themed Competitor Summaries</w:t>
      </w:r>
    </w:p>
    <w:p>
      <w:pPr>
        <w:spacing w:after="40"/>
      </w:pPr>
      <w:r>
        <w:t>The system shall generate structured summaries of competitor earnings organized by themes: Organic Growth, Margins, Projections, Consumer Trends, Product Launches, and Miscellaneous. Each bullet shall include source references (clickable links to source document sections).</w:t>
      </w:r>
    </w:p>
    <w:p>
      <w:pPr>
        <w:spacing w:after="200"/>
      </w:pPr>
      <w:r>
        <w:rPr>
          <w:i/>
          <w:color w:val="666666"/>
          <w:sz w:val="18"/>
        </w:rPr>
        <w:t>Priority: High  |  Category: Functional</w:t>
      </w:r>
    </w:p>
    <w:p>
      <w:pPr>
        <w:spacing w:after="80"/>
      </w:pPr>
      <w:r>
        <w:rPr>
          <w:b/>
          <w:color w:val="1A56DB"/>
          <w:sz w:val="22"/>
        </w:rPr>
        <w:t>FR3.2: Peer-to-Peer Benchmarking</w:t>
      </w:r>
    </w:p>
    <w:p>
      <w:pPr>
        <w:spacing w:after="40"/>
      </w:pPr>
      <w:r>
        <w:t>The system shall generate quantitative P2P comparison tables across predefined competitor peer groups (e.g., Petcare segment: Mars, Nestle PetCare, Colgate-Palmolive, Freshpet, IDEXX, J.M. Smucker). Metrics shall include OG%, Price, Volume, Mix, Adj. Core Operating Profit %, with both Quarterly and YTD views. Narrative analysis shall identify leaders, laggards, and drivers.</w:t>
      </w:r>
    </w:p>
    <w:p>
      <w:pPr>
        <w:spacing w:after="200"/>
      </w:pPr>
      <w:r>
        <w:rPr>
          <w:i/>
          <w:color w:val="666666"/>
          <w:sz w:val="18"/>
        </w:rPr>
        <w:t>Priority: High  |  Category: Functional</w:t>
      </w:r>
    </w:p>
    <w:p>
      <w:pPr>
        <w:spacing w:after="80"/>
      </w:pPr>
      <w:r>
        <w:rPr>
          <w:b/>
          <w:color w:val="1A56DB"/>
          <w:sz w:val="22"/>
        </w:rPr>
        <w:t>FR3.3: Internal-External Cross-Reference</w:t>
      </w:r>
    </w:p>
    <w:p>
      <w:pPr>
        <w:spacing w:after="40"/>
      </w:pPr>
      <w:r>
        <w:t>The system shall enable queries that combine internal Mars data with competitor data. Example: 'Compare our Petcare organic growth vs Nestle PetCare and Freshpet for Q2 2024, and show our forecast for Q3.' This requires joining the unified data layer across internal and external sources.</w:t>
      </w:r>
    </w:p>
    <w:p>
      <w:pPr>
        <w:spacing w:after="200"/>
      </w:pPr>
      <w:r>
        <w:rPr>
          <w:i/>
          <w:color w:val="666666"/>
          <w:sz w:val="18"/>
        </w:rPr>
        <w:t>Priority: Critical  |  Category: Functional</w:t>
      </w:r>
    </w:p>
    <w:p>
      <w:pPr>
        <w:spacing w:after="80"/>
      </w:pPr>
      <w:r>
        <w:rPr>
          <w:b/>
          <w:color w:val="1A56DB"/>
          <w:sz w:val="22"/>
        </w:rPr>
        <w:t>FR3.4: Competitor Monitoring &amp; Alerts</w:t>
      </w:r>
    </w:p>
    <w:p>
      <w:pPr>
        <w:spacing w:after="40"/>
      </w:pPr>
      <w:r>
        <w:t>The system shall support automated monitoring of competitor document sources. When new earnings documents are detected, the system shall automatically ingest, process, and notify relevant users. Users shall configure alert rules based on competitor, metric thresholds, or keywords.</w:t>
      </w:r>
    </w:p>
    <w:p>
      <w:pPr>
        <w:spacing w:after="200"/>
      </w:pPr>
      <w:r>
        <w:rPr>
          <w:i/>
          <w:color w:val="666666"/>
          <w:sz w:val="18"/>
        </w:rPr>
        <w:t>Priority: High  |  Category: Functional</w:t>
      </w:r>
    </w:p>
    <w:p>
      <w:pPr>
        <w:pStyle w:val="Heading3"/>
      </w:pPr>
      <w:r>
        <w:t>3.2.4 FR4: Natural Language Query Interface</w:t>
      </w:r>
    </w:p>
    <w:p>
      <w:pPr>
        <w:spacing w:after="120"/>
      </w:pPr>
      <w:r>
        <w:t>The query interface is the primary user interaction layer. Users ask questions in natural language and receive structured, sourced answers.</w:t>
      </w:r>
    </w:p>
    <w:p>
      <w:pPr>
        <w:spacing w:after="80"/>
      </w:pPr>
      <w:r>
        <w:rPr>
          <w:b/>
          <w:color w:val="1A56DB"/>
          <w:sz w:val="22"/>
        </w:rPr>
        <w:t>FR4.1: Conversational Query Engine</w:t>
      </w:r>
    </w:p>
    <w:p>
      <w:pPr>
        <w:spacing w:after="40"/>
      </w:pPr>
      <w:r>
        <w:t>The system shall accept natural language queries and return structured answers with supporting data tables and source references. Examples: 'What was Nestle's organic growth in Q2 2024?', 'Show me our Petcare MAC Shape vs last year by division', 'Which competitor had the highest margin improvement this quarter?'</w:t>
      </w:r>
    </w:p>
    <w:p>
      <w:pPr>
        <w:spacing w:after="200"/>
      </w:pPr>
      <w:r>
        <w:rPr>
          <w:i/>
          <w:color w:val="666666"/>
          <w:sz w:val="18"/>
        </w:rPr>
        <w:t>Priority: High  |  Category: Functional</w:t>
      </w:r>
    </w:p>
    <w:p>
      <w:pPr>
        <w:spacing w:after="80"/>
      </w:pPr>
      <w:r>
        <w:rPr>
          <w:b/>
          <w:color w:val="1A56DB"/>
          <w:sz w:val="22"/>
        </w:rPr>
        <w:t>FR4.2: Multi-Turn Conversations</w:t>
      </w:r>
    </w:p>
    <w:p>
      <w:pPr>
        <w:spacing w:after="40"/>
      </w:pPr>
      <w:r>
        <w:t>The system shall maintain conversation context across multiple turns, allowing follow-up questions ('Break that down by region', 'What about YTD?', 'Compare that with our forecast'). Conversation history shall be persisted per user session.</w:t>
      </w:r>
    </w:p>
    <w:p>
      <w:pPr>
        <w:spacing w:after="200"/>
      </w:pPr>
      <w:r>
        <w:rPr>
          <w:i/>
          <w:color w:val="666666"/>
          <w:sz w:val="18"/>
        </w:rPr>
        <w:t>Priority: High  |  Category: Functional</w:t>
      </w:r>
    </w:p>
    <w:p>
      <w:pPr>
        <w:spacing w:after="80"/>
      </w:pPr>
      <w:r>
        <w:rPr>
          <w:b/>
          <w:color w:val="1A56DB"/>
          <w:sz w:val="22"/>
        </w:rPr>
        <w:t>FR4.3: Query Intent Classification</w:t>
      </w:r>
    </w:p>
    <w:p>
      <w:pPr>
        <w:spacing w:after="40"/>
      </w:pPr>
      <w:r>
        <w:t>The system shall classify queries into types: factual lookup, comparison, trend analysis, recommendation, report generation, or job submission. Each type shall route to the appropriate processing pipeline (direct answer, analytics engine, forecasting API, or agent queue).</w:t>
      </w:r>
    </w:p>
    <w:p>
      <w:pPr>
        <w:spacing w:after="200"/>
      </w:pPr>
      <w:r>
        <w:rPr>
          <w:i/>
          <w:color w:val="666666"/>
          <w:sz w:val="18"/>
        </w:rPr>
        <w:t>Priority: High  |  Category: Functional</w:t>
      </w:r>
    </w:p>
    <w:p>
      <w:pPr>
        <w:spacing w:after="80"/>
      </w:pPr>
      <w:r>
        <w:rPr>
          <w:b/>
          <w:color w:val="1A56DB"/>
          <w:sz w:val="22"/>
        </w:rPr>
        <w:t>FR4.4: Source Attribution</w:t>
      </w:r>
    </w:p>
    <w:p>
      <w:pPr>
        <w:spacing w:after="40"/>
      </w:pPr>
      <w:r>
        <w:t>Every answer shall include source attribution: document name, section, page number (for PDFs), or cell reference (for Excel data). Users shall be able to click through to the source material.</w:t>
      </w:r>
    </w:p>
    <w:p>
      <w:pPr>
        <w:spacing w:after="200"/>
      </w:pPr>
      <w:r>
        <w:rPr>
          <w:i/>
          <w:color w:val="666666"/>
          <w:sz w:val="18"/>
        </w:rPr>
        <w:t>Priority: High  |  Category: Functional</w:t>
      </w:r>
    </w:p>
    <w:p>
      <w:pPr>
        <w:pStyle w:val="Heading3"/>
      </w:pPr>
      <w:r>
        <w:t>3.2.5 FR5: Enterprise Job Board &amp; Agent Queue</w:t>
      </w:r>
    </w:p>
    <w:p>
      <w:pPr>
        <w:spacing w:after="120"/>
      </w:pPr>
      <w:r>
        <w:t>The job board is a critical differentiator. It transforms Amira FinIQ from a single-user query tool into an enterprise-scale analytics service that can handle hundreds of concurrent requests.</w:t>
      </w:r>
    </w:p>
    <w:p>
      <w:pPr>
        <w:spacing w:after="80"/>
      </w:pPr>
      <w:r>
        <w:rPr>
          <w:b/>
          <w:color w:val="1A56DB"/>
          <w:sz w:val="22"/>
        </w:rPr>
        <w:t>FR5.1: Job Submission</w:t>
      </w:r>
    </w:p>
    <w:p>
      <w:pPr>
        <w:spacing w:after="40"/>
      </w:pPr>
      <w:r>
        <w:t>Users shall submit analytical jobs via: (a) the query interface (complex queries auto-routed to queue), (b) a dedicated job submission form with fields for query, priority, deadline, recipients, and output format, (c) email integration (forward a question to finiq@mars.com), (d) API for programmatic submission.</w:t>
      </w:r>
    </w:p>
    <w:p>
      <w:pPr>
        <w:spacing w:after="200"/>
      </w:pPr>
      <w:r>
        <w:rPr>
          <w:i/>
          <w:color w:val="666666"/>
          <w:sz w:val="18"/>
        </w:rPr>
        <w:t>Priority: Critical  |  Category: Functional</w:t>
      </w:r>
    </w:p>
    <w:p>
      <w:pPr>
        <w:spacing w:after="80"/>
      </w:pPr>
      <w:r>
        <w:rPr>
          <w:b/>
          <w:color w:val="1A56DB"/>
          <w:sz w:val="22"/>
        </w:rPr>
        <w:t>FR5.2: Agent Pool &amp; Specialization</w:t>
      </w:r>
    </w:p>
    <w:p>
      <w:pPr>
        <w:spacing w:after="40"/>
      </w:pPr>
      <w:r>
        <w:t>The system shall maintain a pool of specialized AI agents, each optimized for specific query types: Period End Summary Agent, Competitive Analysis Agent, Forecasting Agent, Marketing Analytics Agent, Ad-Hoc Query Agent, and Data Quality Agent. Agents shall be horizontally scalable based on queue depth.</w:t>
      </w:r>
    </w:p>
    <w:p>
      <w:pPr>
        <w:spacing w:after="200"/>
      </w:pPr>
      <w:r>
        <w:rPr>
          <w:i/>
          <w:color w:val="666666"/>
          <w:sz w:val="18"/>
        </w:rPr>
        <w:t>Priority: High  |  Category: Functional</w:t>
      </w:r>
    </w:p>
    <w:p>
      <w:pPr>
        <w:spacing w:after="80"/>
      </w:pPr>
      <w:r>
        <w:rPr>
          <w:b/>
          <w:color w:val="1A56DB"/>
          <w:sz w:val="22"/>
        </w:rPr>
        <w:t>FR5.3: Priority Routing &amp; SLA Management</w:t>
      </w:r>
    </w:p>
    <w:p>
      <w:pPr>
        <w:spacing w:after="40"/>
      </w:pPr>
      <w:r>
        <w:t>Jobs shall be assigned priority levels (Critical, High, Medium, Low) with corresponding SLA targets. Critical jobs: &lt; 2 minutes. High: &lt; 10 minutes. Medium: &lt; 30 minutes. Low: &lt; 2 hours. The system shall monitor SLA compliance and escalate breaches to administrators.</w:t>
      </w:r>
    </w:p>
    <w:p>
      <w:pPr>
        <w:spacing w:after="200"/>
      </w:pPr>
      <w:r>
        <w:rPr>
          <w:i/>
          <w:color w:val="666666"/>
          <w:sz w:val="18"/>
        </w:rPr>
        <w:t>Priority: High  |  Category: Functional</w:t>
      </w:r>
    </w:p>
    <w:p>
      <w:pPr>
        <w:spacing w:after="80"/>
      </w:pPr>
      <w:r>
        <w:rPr>
          <w:b/>
          <w:color w:val="1A56DB"/>
          <w:sz w:val="22"/>
        </w:rPr>
        <w:t>FR5.4: Job Lifecycle Management</w:t>
      </w:r>
    </w:p>
    <w:p>
      <w:pPr>
        <w:spacing w:after="40"/>
      </w:pPr>
      <w:r>
        <w:t>Each job shall have a visible lifecycle: Submitted &gt; Queued &gt; Assigned (to agent) &gt; Processing &gt; Review &gt; Completed/Failed. Users shall see real-time status updates. Failed jobs shall include error details and retry options.</w:t>
      </w:r>
    </w:p>
    <w:p>
      <w:pPr>
        <w:spacing w:after="200"/>
      </w:pPr>
      <w:r>
        <w:rPr>
          <w:i/>
          <w:color w:val="666666"/>
          <w:sz w:val="18"/>
        </w:rPr>
        <w:t>Priority: High  |  Category: Functional</w:t>
      </w:r>
    </w:p>
    <w:p>
      <w:pPr>
        <w:spacing w:after="80"/>
      </w:pPr>
      <w:r>
        <w:rPr>
          <w:b/>
          <w:color w:val="1A56DB"/>
          <w:sz w:val="22"/>
        </w:rPr>
        <w:t>FR5.5: Job Dashboard</w:t>
      </w:r>
    </w:p>
    <w:p>
      <w:pPr>
        <w:spacing w:after="40"/>
      </w:pPr>
      <w:r>
        <w:t>An enterprise dashboard shall show: active jobs by status, agent utilization, SLA compliance rates, average processing times by query type, top requestors, and historical trends. Filterable by department, priority, agent type, and date range.</w:t>
      </w:r>
    </w:p>
    <w:p>
      <w:pPr>
        <w:spacing w:after="200"/>
      </w:pPr>
      <w:r>
        <w:rPr>
          <w:i/>
          <w:color w:val="666666"/>
          <w:sz w:val="18"/>
        </w:rPr>
        <w:t>Priority: High  |  Category: Functional</w:t>
      </w:r>
    </w:p>
    <w:p>
      <w:pPr>
        <w:spacing w:after="80"/>
      </w:pPr>
      <w:r>
        <w:rPr>
          <w:b/>
          <w:color w:val="1A56DB"/>
          <w:sz w:val="22"/>
        </w:rPr>
        <w:t>FR5.6: Scheduled &amp; Recurring Jobs</w:t>
      </w:r>
    </w:p>
    <w:p>
      <w:pPr>
        <w:spacing w:after="40"/>
      </w:pPr>
      <w:r>
        <w:t>Users shall schedule recurring jobs (e.g., 'Generate Petcare Period End Summary on the 5th of every month' or 'Run competitive benchmarking weekly for all peer groups'). The scheduler shall support cron-like expressions with timezone awareness.</w:t>
      </w:r>
    </w:p>
    <w:p>
      <w:pPr>
        <w:spacing w:after="200"/>
      </w:pPr>
      <w:r>
        <w:rPr>
          <w:i/>
          <w:color w:val="666666"/>
          <w:sz w:val="18"/>
        </w:rPr>
        <w:t>Priority: High  |  Category: Functional</w:t>
      </w:r>
    </w:p>
    <w:p>
      <w:pPr>
        <w:spacing w:after="80"/>
      </w:pPr>
      <w:r>
        <w:rPr>
          <w:b/>
          <w:color w:val="1A56DB"/>
          <w:sz w:val="22"/>
        </w:rPr>
        <w:t>FR5.7: Collaborative Review &amp; Approval</w:t>
      </w:r>
    </w:p>
    <w:p>
      <w:pPr>
        <w:spacing w:after="40"/>
      </w:pPr>
      <w:r>
        <w:t>Jobs producing sensitive or high-visibility reports shall support a review workflow: the AI agent generates a draft, a designated reviewer approves/edits, and the final version is distributed. Review assignments shall be configurable per report type and organizational unit.</w:t>
      </w:r>
    </w:p>
    <w:p>
      <w:pPr>
        <w:spacing w:after="200"/>
      </w:pPr>
      <w:r>
        <w:rPr>
          <w:i/>
          <w:color w:val="666666"/>
          <w:sz w:val="18"/>
        </w:rPr>
        <w:t>Priority: High  |  Category: Functional</w:t>
      </w:r>
    </w:p>
    <w:p>
      <w:pPr>
        <w:pStyle w:val="Heading3"/>
      </w:pPr>
      <w:r>
        <w:t>3.2.6 FR6: Integration Layer</w:t>
      </w:r>
    </w:p>
    <w:p>
      <w:pPr>
        <w:spacing w:after="120"/>
      </w:pPr>
      <w:r>
        <w:t>Amira FinIQ integrates with Amira's existing platform services to provide forward-looking recommendations alongside historical analysis.</w:t>
      </w:r>
    </w:p>
    <w:p>
      <w:pPr>
        <w:spacing w:after="80"/>
      </w:pPr>
      <w:r>
        <w:rPr>
          <w:b/>
          <w:color w:val="1A56DB"/>
          <w:sz w:val="22"/>
        </w:rPr>
        <w:t>FR6.1: Amira Financial Forecasting Integration</w:t>
      </w:r>
    </w:p>
    <w:p>
      <w:pPr>
        <w:spacing w:after="40"/>
      </w:pPr>
      <w:r>
        <w:t>The system shall call the Amira Financial Forecasting API to enrich reports with forward-looking projections. When a user queries historical performance, the system shall optionally append forecast data: 'Your Q2 Organic Growth was 6.3%. Based on current trends, our forecast model projects 5.8% for Q3, with downside risk from cocoa input costs.' Forecasts shall be clearly labeled as projections with confidence intervals.</w:t>
      </w:r>
    </w:p>
    <w:p>
      <w:pPr>
        <w:spacing w:after="200"/>
      </w:pPr>
      <w:r>
        <w:rPr>
          <w:i/>
          <w:color w:val="666666"/>
          <w:sz w:val="18"/>
        </w:rPr>
        <w:t>Priority: Critical  |  Category: Functional</w:t>
      </w:r>
    </w:p>
    <w:p>
      <w:pPr>
        <w:spacing w:after="80"/>
      </w:pPr>
      <w:r>
        <w:rPr>
          <w:b/>
          <w:color w:val="1A56DB"/>
          <w:sz w:val="22"/>
        </w:rPr>
        <w:t>FR6.2: Amira Marketing Analytics Integration</w:t>
      </w:r>
    </w:p>
    <w:p>
      <w:pPr>
        <w:spacing w:after="40"/>
      </w:pPr>
      <w:r>
        <w:t>The system shall call the Amira Marketing Analytics API to correlate financial performance with marketing spend and effectiveness. Example: 'Royal Canin posted 11.3% OG in Q2. Marketing analytics shows a 15% increase in digital ad spend with a 2.3x ROAS, suggesting the growth is partially marketing-driven.' Marketing data shall be available as a dimension in custom reports.</w:t>
      </w:r>
    </w:p>
    <w:p>
      <w:pPr>
        <w:spacing w:after="200"/>
      </w:pPr>
      <w:r>
        <w:rPr>
          <w:i/>
          <w:color w:val="666666"/>
          <w:sz w:val="18"/>
        </w:rPr>
        <w:t>Priority: Critical  |  Category: Functional</w:t>
      </w:r>
    </w:p>
    <w:p>
      <w:pPr>
        <w:spacing w:after="80"/>
      </w:pPr>
      <w:r>
        <w:rPr>
          <w:b/>
          <w:color w:val="1A56DB"/>
          <w:sz w:val="22"/>
        </w:rPr>
        <w:t>FR6.3: Unified Recommendation Engine</w:t>
      </w:r>
    </w:p>
    <w:p>
      <w:pPr>
        <w:spacing w:after="40"/>
      </w:pPr>
      <w:r>
        <w:t>When both forecasting and marketing data are available, the system shall generate actionable recommendations: 'Based on forecasted cocoa price increases of 12% in Q3 and your current marketing ROI on Confectionery brands, consider shifting 5% of Confectionery marketing budget to Petcare, which shows stronger pricing power.' Recommendations shall be flagged as AI-generated suggestions.</w:t>
      </w:r>
    </w:p>
    <w:p>
      <w:pPr>
        <w:spacing w:after="200"/>
      </w:pPr>
      <w:r>
        <w:rPr>
          <w:i/>
          <w:color w:val="666666"/>
          <w:sz w:val="18"/>
        </w:rPr>
        <w:t>Priority: High  |  Category: Functional</w:t>
      </w:r>
    </w:p>
    <w:p>
      <w:pPr>
        <w:spacing w:after="80"/>
      </w:pPr>
      <w:r>
        <w:rPr>
          <w:b/>
          <w:color w:val="1A56DB"/>
          <w:sz w:val="22"/>
        </w:rPr>
        <w:t>FR6.4: External API Gateway</w:t>
      </w:r>
    </w:p>
    <w:p>
      <w:pPr>
        <w:spacing w:after="40"/>
      </w:pPr>
      <w:r>
        <w:t>The system shall expose a RESTful API gateway for third-party integrations. Endpoints shall include: report generation, job submission, query execution, data catalog browsing, and webhook registration for event notifications.</w:t>
      </w:r>
    </w:p>
    <w:p>
      <w:pPr>
        <w:spacing w:after="200"/>
      </w:pPr>
      <w:r>
        <w:rPr>
          <w:i/>
          <w:color w:val="666666"/>
          <w:sz w:val="18"/>
        </w:rPr>
        <w:t>Priority: High  |  Category: Functional</w:t>
      </w:r>
    </w:p>
    <w:p>
      <w:pPr>
        <w:pStyle w:val="Heading3"/>
      </w:pPr>
      <w:r>
        <w:t>3.2.7 FR7: Administration &amp; Configuration</w:t>
      </w:r>
    </w:p>
    <w:p>
      <w:pPr>
        <w:spacing w:after="80"/>
      </w:pPr>
      <w:r>
        <w:rPr>
          <w:b/>
          <w:color w:val="1A56DB"/>
          <w:sz w:val="22"/>
        </w:rPr>
        <w:t>FR7.1: Template Management</w:t>
      </w:r>
    </w:p>
    <w:p>
      <w:pPr>
        <w:spacing w:after="40"/>
      </w:pPr>
      <w:r>
        <w:t>Administrators shall manage report templates through a visual editor. Templates define: sections, KPI selection, narrative tone, data filters, and output format. Templates shall be versionable with rollback capability.</w:t>
      </w:r>
    </w:p>
    <w:p>
      <w:pPr>
        <w:spacing w:after="200"/>
      </w:pPr>
      <w:r>
        <w:rPr>
          <w:i/>
          <w:color w:val="666666"/>
          <w:sz w:val="18"/>
        </w:rPr>
        <w:t>Priority: High  |  Category: Functional</w:t>
      </w:r>
    </w:p>
    <w:p>
      <w:pPr>
        <w:spacing w:after="80"/>
      </w:pPr>
      <w:r>
        <w:rPr>
          <w:b/>
          <w:color w:val="1A56DB"/>
          <w:sz w:val="22"/>
        </w:rPr>
        <w:t>FR7.2: Organizational Hierarchy Management</w:t>
      </w:r>
    </w:p>
    <w:p>
      <w:pPr>
        <w:spacing w:after="40"/>
      </w:pPr>
      <w:r>
        <w:t>The system shall maintain Mars's organizational hierarchy (Mars Inc &gt; GBUs &gt; Divisions &gt; Regions &gt; Sub-units) with the ability to add, modify, or reorganize units. Hierarchy changes shall automatically propagate to report generation and access control.</w:t>
      </w:r>
    </w:p>
    <w:p>
      <w:pPr>
        <w:spacing w:after="200"/>
      </w:pPr>
      <w:r>
        <w:rPr>
          <w:i/>
          <w:color w:val="666666"/>
          <w:sz w:val="18"/>
        </w:rPr>
        <w:t>Priority: High  |  Category: Functional</w:t>
      </w:r>
    </w:p>
    <w:p>
      <w:pPr>
        <w:spacing w:after="80"/>
      </w:pPr>
      <w:r>
        <w:rPr>
          <w:b/>
          <w:color w:val="1A56DB"/>
          <w:sz w:val="22"/>
        </w:rPr>
        <w:t>FR7.3: Peer Group Configuration</w:t>
      </w:r>
    </w:p>
    <w:p>
      <w:pPr>
        <w:spacing w:after="40"/>
      </w:pPr>
      <w:r>
        <w:t>Administrators shall define and modify competitor peer groups for benchmarking. Each peer group specifies: segment name, included companies, relevant metrics, and data source mappings.</w:t>
      </w:r>
    </w:p>
    <w:p>
      <w:pPr>
        <w:spacing w:after="200"/>
      </w:pPr>
      <w:r>
        <w:rPr>
          <w:i/>
          <w:color w:val="666666"/>
          <w:sz w:val="18"/>
        </w:rPr>
        <w:t>Priority: High  |  Category: Functional</w:t>
      </w:r>
    </w:p>
    <w:p>
      <w:pPr>
        <w:spacing w:after="80"/>
      </w:pPr>
      <w:r>
        <w:rPr>
          <w:b/>
          <w:color w:val="1A56DB"/>
          <w:sz w:val="22"/>
        </w:rPr>
        <w:t>FR7.4: Prompt Management</w:t>
      </w:r>
    </w:p>
    <w:p>
      <w:pPr>
        <w:spacing w:after="40"/>
      </w:pPr>
      <w:r>
        <w:t>LLM prompts shall be managed as configurable assets, not hardcoded. Each prompt shall have: system message, dynamic sections (output format selection), user message template, and injected data variables. Prompt changes shall take effect immediately without deployment.</w:t>
      </w:r>
    </w:p>
    <w:p>
      <w:pPr>
        <w:spacing w:after="200"/>
      </w:pPr>
      <w:r>
        <w:rPr>
          <w:i/>
          <w:color w:val="666666"/>
          <w:sz w:val="18"/>
        </w:rPr>
        <w:t>Priority: High  |  Category: Functional</w:t>
      </w:r>
    </w:p>
    <w:p>
      <w:pPr>
        <w:spacing w:after="80"/>
      </w:pPr>
      <w:r>
        <w:rPr>
          <w:b/>
          <w:color w:val="1A56DB"/>
          <w:sz w:val="22"/>
        </w:rPr>
        <w:t>FR7.5: User &amp; Access Management</w:t>
      </w:r>
    </w:p>
    <w:p>
      <w:pPr>
        <w:spacing w:after="40"/>
      </w:pPr>
      <w:r>
        <w:t>RBAC aligned with Mars organizational hierarchy. Roles: Admin, Analyst, Viewer, API Consumer. Data access scoped by organizational unit (a Petcare analyst cannot access Snacking financials unless explicitly granted). SSO integration with Mars identity provider.</w:t>
      </w:r>
    </w:p>
    <w:p>
      <w:pPr>
        <w:spacing w:after="200"/>
      </w:pPr>
      <w:r>
        <w:rPr>
          <w:i/>
          <w:color w:val="666666"/>
          <w:sz w:val="18"/>
        </w:rPr>
        <w:t>Priority: High  |  Category: Functional</w:t>
      </w:r>
    </w:p>
    <w:p>
      <w:pPr>
        <w:pStyle w:val="Heading3"/>
      </w:pPr>
      <w:r>
        <w:t>3.2.8 FR8: Dynamic User Interface</w:t>
      </w:r>
    </w:p>
    <w:p>
      <w:pPr>
        <w:spacing w:after="120"/>
      </w:pPr>
      <w:r>
        <w:t>The user interface shall be dynamic and configurable, enabling users to personalize their experience and interact with data in real time without page reloads or engineering intervention.</w:t>
      </w:r>
    </w:p>
    <w:p>
      <w:pPr>
        <w:spacing w:after="80"/>
      </w:pPr>
      <w:r>
        <w:rPr>
          <w:b/>
          <w:color w:val="1A56DB"/>
          <w:sz w:val="22"/>
        </w:rPr>
        <w:t>FR8.1: Configurable Dashboard Layout</w:t>
      </w:r>
    </w:p>
    <w:p>
      <w:pPr>
        <w:spacing w:after="40"/>
      </w:pPr>
      <w:r>
        <w:t>Users shall be able to arrange, resize, and pin dashboard widgets (KPI cards, charts, tables, job queue status panels) via drag-and-drop. Dashboard configurations shall be saved per user and shareable across teams. Administrators shall define default layouts per role.</w:t>
      </w:r>
    </w:p>
    <w:p>
      <w:pPr>
        <w:spacing w:after="200"/>
      </w:pPr>
      <w:r>
        <w:rPr>
          <w:i/>
          <w:color w:val="666666"/>
          <w:sz w:val="18"/>
        </w:rPr>
        <w:t>Priority: High  |  Category: Functional</w:t>
      </w:r>
    </w:p>
    <w:p>
      <w:pPr>
        <w:spacing w:after="80"/>
      </w:pPr>
      <w:r>
        <w:rPr>
          <w:b/>
          <w:color w:val="1A56DB"/>
          <w:sz w:val="22"/>
        </w:rPr>
        <w:t>FR8.2: Dynamic Report Viewer</w:t>
      </w:r>
    </w:p>
    <w:p>
      <w:pPr>
        <w:spacing w:after="40"/>
      </w:pPr>
      <w:r>
        <w:t>Reports shall render dynamically based on content type. The viewer shall support interactive charts (zoom, hover tooltips, click-to-drill-down), expandable/collapsible sections, inline data tables with sorting and filtering, and side-by-side comparisons of multiple reports or time periods.</w:t>
      </w:r>
    </w:p>
    <w:p>
      <w:pPr>
        <w:spacing w:after="200"/>
      </w:pPr>
      <w:r>
        <w:rPr>
          <w:i/>
          <w:color w:val="666666"/>
          <w:sz w:val="18"/>
        </w:rPr>
        <w:t>Priority: High  |  Category: Functional</w:t>
      </w:r>
    </w:p>
    <w:p>
      <w:pPr>
        <w:spacing w:after="80"/>
      </w:pPr>
      <w:r>
        <w:rPr>
          <w:b/>
          <w:color w:val="1A56DB"/>
          <w:sz w:val="22"/>
        </w:rPr>
        <w:t>FR8.3: Real-Time UI Updates</w:t>
      </w:r>
    </w:p>
    <w:p>
      <w:pPr>
        <w:spacing w:after="40"/>
      </w:pPr>
      <w:r>
        <w:t>The interface shall update in real time via Server-Sent Events (SSE) without requiring page refresh. This includes: report generation progress (streaming tokens), job status transitions, new data ingestion notifications, alert triggers, and collaborative review status changes.</w:t>
      </w:r>
    </w:p>
    <w:p>
      <w:pPr>
        <w:spacing w:after="200"/>
      </w:pPr>
      <w:r>
        <w:rPr>
          <w:i/>
          <w:color w:val="666666"/>
          <w:sz w:val="18"/>
        </w:rPr>
        <w:t>Priority: High  |  Category: Functional</w:t>
      </w:r>
    </w:p>
    <w:p>
      <w:pPr>
        <w:spacing w:after="80"/>
      </w:pPr>
      <w:r>
        <w:rPr>
          <w:b/>
          <w:color w:val="1A56DB"/>
          <w:sz w:val="22"/>
        </w:rPr>
        <w:t>FR8.4: Adaptive Query Interface</w:t>
      </w:r>
    </w:p>
    <w:p>
      <w:pPr>
        <w:spacing w:after="40"/>
      </w:pPr>
      <w:r>
        <w:t>The query interface shall adapt based on user context: suggesting relevant filters and organizational units, auto-completing entity names (companies, KPIs, periods), displaying recent queries for quick re-execution, and recommending follow-up questions based on the current conversation context.</w:t>
      </w:r>
    </w:p>
    <w:p>
      <w:pPr>
        <w:spacing w:after="200"/>
      </w:pPr>
      <w:r>
        <w:rPr>
          <w:i/>
          <w:color w:val="666666"/>
          <w:sz w:val="18"/>
        </w:rPr>
        <w:t>Priority: High  |  Category: Functional</w:t>
      </w:r>
    </w:p>
    <w:p>
      <w:pPr>
        <w:spacing w:after="80"/>
      </w:pPr>
      <w:r>
        <w:rPr>
          <w:b/>
          <w:color w:val="1A56DB"/>
          <w:sz w:val="22"/>
        </w:rPr>
        <w:t>FR8.5: Theme &amp; Branding Customization</w:t>
      </w:r>
    </w:p>
    <w:p>
      <w:pPr>
        <w:spacing w:after="40"/>
      </w:pPr>
      <w:r>
        <w:t>Administrators shall configure UI themes including Mars branding assets, color schemes per GBU or division, and custom logo placement. The system shall support light and dark display modes. Branding shall carry through to exported reports and presentations.</w:t>
      </w:r>
    </w:p>
    <w:p>
      <w:pPr>
        <w:spacing w:after="200"/>
      </w:pPr>
      <w:r>
        <w:rPr>
          <w:i/>
          <w:color w:val="666666"/>
          <w:sz w:val="18"/>
        </w:rPr>
        <w:t>Priority: High  |  Category: Functional</w:t>
      </w:r>
    </w:p>
    <w:p>
      <w:pPr>
        <w:spacing w:after="80"/>
      </w:pPr>
      <w:r>
        <w:rPr>
          <w:b/>
          <w:color w:val="1A56DB"/>
          <w:sz w:val="22"/>
        </w:rPr>
        <w:t>FR8.6: Responsive &amp; Accessible Design</w:t>
      </w:r>
    </w:p>
    <w:p>
      <w:pPr>
        <w:spacing w:after="40"/>
      </w:pPr>
      <w:r>
        <w:t>The UI shall comply with WCAG 2.1 Level AA accessibility standards. The application shall be responsive across desktop and tablet form factors. Full keyboard navigation shall be supported. Screen reader compatibility shall be validated for all core workflows.</w:t>
      </w:r>
    </w:p>
    <w:p>
      <w:pPr>
        <w:spacing w:after="200"/>
      </w:pPr>
      <w:r>
        <w:rPr>
          <w:i/>
          <w:color w:val="666666"/>
          <w:sz w:val="18"/>
        </w:rPr>
        <w:t>Priority: High  |  Category: Non-Functional / UI</w:t>
      </w:r>
    </w:p>
    <w:p>
      <w:r>
        <w:br w:type="page"/>
      </w:r>
    </w:p>
    <w:p>
      <w:pPr>
        <w:pStyle w:val="Heading2"/>
      </w:pPr>
      <w:r>
        <w:t>3.3 Performance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08"/>
            <w:shd w:fill="1A56DB"/>
          </w:tcPr>
          <w:p>
            <w:r/>
            <w:r>
              <w:rPr>
                <w:rFonts w:ascii="Calibri" w:hAnsi="Calibri"/>
                <w:b/>
                <w:color w:val="FFFFFF"/>
                <w:sz w:val="20"/>
              </w:rPr>
              <w:t>Scenario</w:t>
            </w:r>
          </w:p>
        </w:tc>
        <w:tc>
          <w:tcPr>
            <w:tcW w:type="dxa" w:w="4752"/>
            <w:shd w:fill="1A56DB"/>
          </w:tcPr>
          <w:p>
            <w:r/>
            <w:r>
              <w:rPr>
                <w:rFonts w:ascii="Calibri" w:hAnsi="Calibri"/>
                <w:b/>
                <w:color w:val="FFFFFF"/>
                <w:sz w:val="20"/>
              </w:rPr>
              <w:t>Requirement</w:t>
            </w:r>
          </w:p>
        </w:tc>
      </w:tr>
      <w:tr>
        <w:tc>
          <w:tcPr>
            <w:tcW w:type="dxa" w:w="4608"/>
          </w:tcPr>
          <w:p>
            <w:r/>
            <w:r>
              <w:rPr>
                <w:rFonts w:ascii="Calibri" w:hAnsi="Calibri"/>
                <w:color w:val="333333"/>
                <w:sz w:val="18"/>
              </w:rPr>
              <w:t>Period End Summary (first generation)</w:t>
            </w:r>
          </w:p>
        </w:tc>
        <w:tc>
          <w:tcPr>
            <w:tcW w:type="dxa" w:w="4752"/>
          </w:tcPr>
          <w:p>
            <w:r/>
            <w:r>
              <w:rPr>
                <w:rFonts w:ascii="Calibri" w:hAnsi="Calibri"/>
                <w:color w:val="333333"/>
                <w:sz w:val="18"/>
              </w:rPr>
              <w:t>&lt; 15 seconds for 6 parallel KPI narratives + trend analysis</w:t>
            </w:r>
          </w:p>
        </w:tc>
      </w:tr>
      <w:tr>
        <w:tc>
          <w:tcPr>
            <w:tcW w:type="dxa" w:w="4608"/>
            <w:shd w:fill="F2F6FC"/>
          </w:tcPr>
          <w:p>
            <w:r/>
            <w:r>
              <w:rPr>
                <w:rFonts w:ascii="Calibri" w:hAnsi="Calibri"/>
                <w:color w:val="333333"/>
                <w:sz w:val="18"/>
              </w:rPr>
              <w:t>Period End Summary (cached)</w:t>
            </w:r>
          </w:p>
        </w:tc>
        <w:tc>
          <w:tcPr>
            <w:tcW w:type="dxa" w:w="4752"/>
            <w:shd w:fill="F2F6FC"/>
          </w:tcPr>
          <w:p>
            <w:r/>
            <w:r>
              <w:rPr>
                <w:rFonts w:ascii="Calibri" w:hAnsi="Calibri"/>
                <w:color w:val="333333"/>
                <w:sz w:val="18"/>
              </w:rPr>
              <w:t>&lt; 1 second retrieval from cache</w:t>
            </w:r>
          </w:p>
        </w:tc>
      </w:tr>
      <w:tr>
        <w:tc>
          <w:tcPr>
            <w:tcW w:type="dxa" w:w="4608"/>
          </w:tcPr>
          <w:p>
            <w:r/>
            <w:r>
              <w:rPr>
                <w:rFonts w:ascii="Calibri" w:hAnsi="Calibri"/>
                <w:color w:val="333333"/>
                <w:sz w:val="18"/>
              </w:rPr>
              <w:t>Single KPI regeneration</w:t>
            </w:r>
          </w:p>
        </w:tc>
        <w:tc>
          <w:tcPr>
            <w:tcW w:type="dxa" w:w="4752"/>
          </w:tcPr>
          <w:p>
            <w:r/>
            <w:r>
              <w:rPr>
                <w:rFonts w:ascii="Calibri" w:hAnsi="Calibri"/>
                <w:color w:val="333333"/>
                <w:sz w:val="18"/>
              </w:rPr>
              <w:t>&lt; 8 seconds</w:t>
            </w:r>
          </w:p>
        </w:tc>
      </w:tr>
      <w:tr>
        <w:tc>
          <w:tcPr>
            <w:tcW w:type="dxa" w:w="4608"/>
            <w:shd w:fill="F2F6FC"/>
          </w:tcPr>
          <w:p>
            <w:r/>
            <w:r>
              <w:rPr>
                <w:rFonts w:ascii="Calibri" w:hAnsi="Calibri"/>
                <w:color w:val="333333"/>
                <w:sz w:val="18"/>
              </w:rPr>
              <w:t>Ad-hoc natural language query</w:t>
            </w:r>
          </w:p>
        </w:tc>
        <w:tc>
          <w:tcPr>
            <w:tcW w:type="dxa" w:w="4752"/>
            <w:shd w:fill="F2F6FC"/>
          </w:tcPr>
          <w:p>
            <w:r/>
            <w:r>
              <w:rPr>
                <w:rFonts w:ascii="Calibri" w:hAnsi="Calibri"/>
                <w:color w:val="333333"/>
                <w:sz w:val="18"/>
              </w:rPr>
              <w:t>&lt; 10 seconds for simple queries, &lt; 30 seconds for complex multi-source queries</w:t>
            </w:r>
          </w:p>
        </w:tc>
      </w:tr>
      <w:tr>
        <w:tc>
          <w:tcPr>
            <w:tcW w:type="dxa" w:w="4608"/>
          </w:tcPr>
          <w:p>
            <w:r/>
            <w:r>
              <w:rPr>
                <w:rFonts w:ascii="Calibri" w:hAnsi="Calibri"/>
                <w:color w:val="333333"/>
                <w:sz w:val="18"/>
              </w:rPr>
              <w:t>Competitive intelligence document ingestion</w:t>
            </w:r>
          </w:p>
        </w:tc>
        <w:tc>
          <w:tcPr>
            <w:tcW w:type="dxa" w:w="4752"/>
          </w:tcPr>
          <w:p>
            <w:r/>
            <w:r>
              <w:rPr>
                <w:rFonts w:ascii="Calibri" w:hAnsi="Calibri"/>
                <w:color w:val="333333"/>
                <w:sz w:val="18"/>
              </w:rPr>
              <w:t>&lt; 5 minutes per document (parse, chunk, embed, index)</w:t>
            </w:r>
          </w:p>
        </w:tc>
      </w:tr>
      <w:tr>
        <w:tc>
          <w:tcPr>
            <w:tcW w:type="dxa" w:w="4608"/>
            <w:shd w:fill="F2F6FC"/>
          </w:tcPr>
          <w:p>
            <w:r/>
            <w:r>
              <w:rPr>
                <w:rFonts w:ascii="Calibri" w:hAnsi="Calibri"/>
                <w:color w:val="333333"/>
                <w:sz w:val="18"/>
              </w:rPr>
              <w:t>Job queue throughput</w:t>
            </w:r>
          </w:p>
        </w:tc>
        <w:tc>
          <w:tcPr>
            <w:tcW w:type="dxa" w:w="4752"/>
            <w:shd w:fill="F2F6FC"/>
          </w:tcPr>
          <w:p>
            <w:r/>
            <w:r>
              <w:rPr>
                <w:rFonts w:ascii="Calibri" w:hAnsi="Calibri"/>
                <w:color w:val="333333"/>
                <w:sz w:val="18"/>
              </w:rPr>
              <w:t>50+ concurrent jobs processing simultaneously</w:t>
            </w:r>
          </w:p>
        </w:tc>
      </w:tr>
      <w:tr>
        <w:tc>
          <w:tcPr>
            <w:tcW w:type="dxa" w:w="4608"/>
          </w:tcPr>
          <w:p>
            <w:r/>
            <w:r>
              <w:rPr>
                <w:rFonts w:ascii="Calibri" w:hAnsi="Calibri"/>
                <w:color w:val="333333"/>
                <w:sz w:val="18"/>
              </w:rPr>
              <w:t>Dashboard page load</w:t>
            </w:r>
          </w:p>
        </w:tc>
        <w:tc>
          <w:tcPr>
            <w:tcW w:type="dxa" w:w="4752"/>
          </w:tcPr>
          <w:p>
            <w:r/>
            <w:r>
              <w:rPr>
                <w:rFonts w:ascii="Calibri" w:hAnsi="Calibri"/>
                <w:color w:val="333333"/>
                <w:sz w:val="18"/>
              </w:rPr>
              <w:t>&lt; 2 seconds initial load, &lt; 500ms subsequent navigation</w:t>
            </w:r>
          </w:p>
        </w:tc>
      </w:tr>
      <w:tr>
        <w:tc>
          <w:tcPr>
            <w:tcW w:type="dxa" w:w="4608"/>
            <w:shd w:fill="F2F6FC"/>
          </w:tcPr>
          <w:p>
            <w:r/>
            <w:r>
              <w:rPr>
                <w:rFonts w:ascii="Calibri" w:hAnsi="Calibri"/>
                <w:color w:val="333333"/>
                <w:sz w:val="18"/>
              </w:rPr>
              <w:t>API response time (p95)</w:t>
            </w:r>
          </w:p>
        </w:tc>
        <w:tc>
          <w:tcPr>
            <w:tcW w:type="dxa" w:w="4752"/>
            <w:shd w:fill="F2F6FC"/>
          </w:tcPr>
          <w:p>
            <w:r/>
            <w:r>
              <w:rPr>
                <w:rFonts w:ascii="Calibri" w:hAnsi="Calibri"/>
                <w:color w:val="333333"/>
                <w:sz w:val="18"/>
              </w:rPr>
              <w:t>&lt; 3 seconds for report generation endpoints</w:t>
            </w:r>
          </w:p>
        </w:tc>
      </w:tr>
      <w:tr>
        <w:tc>
          <w:tcPr>
            <w:tcW w:type="dxa" w:w="4608"/>
          </w:tcPr>
          <w:p>
            <w:r/>
            <w:r>
              <w:rPr>
                <w:rFonts w:ascii="Calibri" w:hAnsi="Calibri"/>
                <w:color w:val="333333"/>
                <w:sz w:val="18"/>
              </w:rPr>
              <w:t>Dashboard widget update (SSE)</w:t>
            </w:r>
          </w:p>
        </w:tc>
        <w:tc>
          <w:tcPr>
            <w:tcW w:type="dxa" w:w="4752"/>
          </w:tcPr>
          <w:p>
            <w:r/>
            <w:r>
              <w:rPr>
                <w:rFonts w:ascii="Calibri" w:hAnsi="Calibri"/>
                <w:color w:val="333333"/>
                <w:sz w:val="18"/>
              </w:rPr>
              <w:t>&lt; 500ms from event to UI update</w:t>
            </w:r>
          </w:p>
        </w:tc>
      </w:tr>
    </w:tbl>
    <w:p/>
    <w:p>
      <w:pPr>
        <w:pStyle w:val="Heading2"/>
      </w:pPr>
      <w:r>
        <w:t>3.4 Design Constraints</w:t>
      </w:r>
    </w:p>
    <w:p>
      <w:pPr>
        <w:pStyle w:val="ListBullet"/>
        <w:spacing w:after="40"/>
      </w:pPr>
      <w:r>
        <w:t>Azure-native deployment: all services must run on Microsoft Azure within Mars's tenant</w:t>
      </w:r>
    </w:p>
    <w:p>
      <w:pPr>
        <w:pStyle w:val="ListBullet"/>
        <w:spacing w:after="40"/>
      </w:pPr>
      <w:r>
        <w:t>LLM provider: Azure OpenAI (GPT-4.1 or latest available model)</w:t>
      </w:r>
    </w:p>
    <w:p>
      <w:pPr>
        <w:pStyle w:val="ListBullet"/>
        <w:spacing w:after="40"/>
      </w:pPr>
      <w:r>
        <w:t>Orchestration framework: LangGraph for multi-step workflows, LangChain for agent runtime</w:t>
      </w:r>
    </w:p>
    <w:p>
      <w:pPr>
        <w:pStyle w:val="ListBullet"/>
        <w:spacing w:after="40"/>
      </w:pPr>
      <w:r>
        <w:t>Frontend framework: React with TypeScript</w:t>
      </w:r>
    </w:p>
    <w:p>
      <w:pPr>
        <w:pStyle w:val="ListBullet"/>
        <w:spacing w:after="40"/>
      </w:pPr>
      <w:r>
        <w:t>Data transport: RESTful APIs with JSON payloads; SSE for streaming</w:t>
      </w:r>
    </w:p>
    <w:p>
      <w:pPr>
        <w:pStyle w:val="ListBullet"/>
        <w:spacing w:after="40"/>
      </w:pPr>
      <w:r>
        <w:t>Authentication: OAuth 2.0 / OpenID Connect via Azure Entra ID</w:t>
      </w:r>
    </w:p>
    <w:p>
      <w:pPr>
        <w:pStyle w:val="Heading2"/>
      </w:pPr>
      <w:r>
        <w:t>3.5 Software System Attributes</w:t>
      </w:r>
    </w:p>
    <w:p>
      <w:pPr>
        <w:pStyle w:val="Heading3"/>
      </w:pPr>
      <w:r>
        <w:t>3.5.1 Scalability</w:t>
      </w:r>
    </w:p>
    <w:p>
      <w:pPr>
        <w:pStyle w:val="ListBullet"/>
        <w:spacing w:after="40"/>
      </w:pPr>
      <w:r>
        <w:t>Support 100+ concurrent users initially, scaling to 500+</w:t>
      </w:r>
    </w:p>
    <w:p>
      <w:pPr>
        <w:pStyle w:val="ListBullet"/>
        <w:spacing w:after="40"/>
      </w:pPr>
      <w:r>
        <w:t>Horizontally scalable agent pool: auto-scale based on queue depth (min 5, max 50 agents)</w:t>
      </w:r>
    </w:p>
    <w:p>
      <w:pPr>
        <w:pStyle w:val="ListBullet"/>
        <w:spacing w:after="40"/>
      </w:pPr>
      <w:r>
        <w:t>Data layer shall handle 10TB+ of financial data across all sources</w:t>
      </w:r>
    </w:p>
    <w:p>
      <w:pPr>
        <w:pStyle w:val="ListBullet"/>
        <w:spacing w:after="40"/>
      </w:pPr>
      <w:r>
        <w:t>Vector search index shall support 1M+ document chunks with &lt; 100ms retrieval</w:t>
      </w:r>
    </w:p>
    <w:p>
      <w:pPr>
        <w:pStyle w:val="Heading3"/>
      </w:pPr>
      <w:r>
        <w:t>3.5.2 Availability &amp; Reliability</w:t>
      </w:r>
    </w:p>
    <w:p>
      <w:pPr>
        <w:pStyle w:val="ListBullet"/>
        <w:spacing w:after="40"/>
      </w:pPr>
      <w:r>
        <w:t>99.9% uptime SLA during business hours (06:00-22:00 local time, all Mars regions)</w:t>
      </w:r>
    </w:p>
    <w:p>
      <w:pPr>
        <w:pStyle w:val="ListBullet"/>
        <w:spacing w:after="40"/>
      </w:pPr>
      <w:r>
        <w:t>Graceful degradation: if LLM service is unavailable, serve cached reports and queue new requests</w:t>
      </w:r>
    </w:p>
    <w:p>
      <w:pPr>
        <w:pStyle w:val="ListBullet"/>
        <w:spacing w:after="40"/>
      </w:pPr>
      <w:r>
        <w:t>Automated failover for all stateful components (database, cache, search index)</w:t>
      </w:r>
    </w:p>
    <w:p>
      <w:pPr>
        <w:pStyle w:val="ListBullet"/>
        <w:spacing w:after="40"/>
      </w:pPr>
      <w:r>
        <w:t>Maximum Recovery Point Objective (RPO): 1 hour. Maximum Recovery Time Objective (RTO): 4 hours</w:t>
      </w:r>
    </w:p>
    <w:p>
      <w:pPr>
        <w:pStyle w:val="Heading3"/>
      </w:pPr>
      <w:r>
        <w:t>3.5.3 Security</w:t>
      </w:r>
    </w:p>
    <w:p>
      <w:pPr>
        <w:pStyle w:val="ListBullet"/>
        <w:spacing w:after="40"/>
      </w:pPr>
      <w:r>
        <w:t>All data encrypted at rest (AES-256) and in transit (TLS 1.3)</w:t>
      </w:r>
    </w:p>
    <w:p>
      <w:pPr>
        <w:pStyle w:val="ListBullet"/>
        <w:spacing w:after="40"/>
      </w:pPr>
      <w:r>
        <w:t>SSO integration with Mars identity provider (Azure Entra ID)</w:t>
      </w:r>
    </w:p>
    <w:p>
      <w:pPr>
        <w:pStyle w:val="ListBullet"/>
        <w:spacing w:after="40"/>
      </w:pPr>
      <w:r>
        <w:t>Row-level security: users see only data for their authorized organizational units</w:t>
      </w:r>
    </w:p>
    <w:p>
      <w:pPr>
        <w:pStyle w:val="ListBullet"/>
        <w:spacing w:after="40"/>
      </w:pPr>
      <w:r>
        <w:t>API authentication via OAuth 2.0 with JWT tokens; API keys for service-to-service</w:t>
      </w:r>
    </w:p>
    <w:p>
      <w:pPr>
        <w:pStyle w:val="ListBullet"/>
        <w:spacing w:after="40"/>
      </w:pPr>
      <w:r>
        <w:t>All LLM interactions logged and auditable; no Mars data used for model training</w:t>
      </w:r>
    </w:p>
    <w:p>
      <w:pPr>
        <w:pStyle w:val="ListBullet"/>
        <w:spacing w:after="40"/>
      </w:pPr>
      <w:r>
        <w:t>Sensitive financial data never leaves Mars's Azure tenant (private endpoints)</w:t>
      </w:r>
    </w:p>
    <w:p>
      <w:pPr>
        <w:pStyle w:val="ListBullet"/>
        <w:spacing w:after="40"/>
      </w:pPr>
      <w:r>
        <w:t>SOC 2 Type II compliance for the Amira platform</w:t>
      </w:r>
    </w:p>
    <w:p>
      <w:pPr>
        <w:pStyle w:val="Heading3"/>
      </w:pPr>
      <w:r>
        <w:t>3.5.4 Compliance &amp; Data Governance</w:t>
      </w:r>
    </w:p>
    <w:p>
      <w:pPr>
        <w:pStyle w:val="ListBullet"/>
        <w:spacing w:after="40"/>
      </w:pPr>
      <w:r>
        <w:t>GDPR compliance for any personal data processed (employee names in reports)</w:t>
      </w:r>
    </w:p>
    <w:p>
      <w:pPr>
        <w:pStyle w:val="ListBullet"/>
        <w:spacing w:after="40"/>
      </w:pPr>
      <w:r>
        <w:t>Data retention policies configurable per data source (default: 7 years for financial data)</w:t>
      </w:r>
    </w:p>
    <w:p>
      <w:pPr>
        <w:pStyle w:val="ListBullet"/>
        <w:spacing w:after="40"/>
      </w:pPr>
      <w:r>
        <w:t>Audit log for all data access, report generation, and administrative actions</w:t>
      </w:r>
    </w:p>
    <w:p>
      <w:pPr>
        <w:pStyle w:val="ListBullet"/>
        <w:spacing w:after="40"/>
      </w:pPr>
      <w:r>
        <w:t>Data classification labels (Public, Internal, Confidential, Restricted) enforced across all outputs</w:t>
      </w:r>
    </w:p>
    <w:p>
      <w:pPr>
        <w:pStyle w:val="Heading3"/>
      </w:pPr>
      <w:r>
        <w:t>3.5.5 Authentication &amp; Authorization</w:t>
      </w:r>
    </w:p>
    <w:p>
      <w:pPr>
        <w:pStyle w:val="ListBullet"/>
        <w:spacing w:after="40"/>
      </w:pPr>
      <w:r>
        <w:t>Single Sign-On (SSO) via Azure Entra ID (formerly Azure AD), integrated with Mars's existing identity provider</w:t>
      </w:r>
    </w:p>
    <w:p>
      <w:pPr>
        <w:pStyle w:val="ListBullet"/>
        <w:spacing w:after="40"/>
      </w:pPr>
      <w:r>
        <w:t>OAuth 2.0 authorization code flow for web application; client credentials flow for API consumers</w:t>
      </w:r>
    </w:p>
    <w:p>
      <w:pPr>
        <w:pStyle w:val="ListBullet"/>
        <w:spacing w:after="40"/>
      </w:pPr>
      <w:r>
        <w:t>JWT tokens with 1-hour expiry; refresh tokens with 24-hour expiry</w:t>
      </w:r>
    </w:p>
    <w:p>
      <w:pPr>
        <w:pStyle w:val="ListBullet"/>
        <w:spacing w:after="40"/>
      </w:pPr>
      <w:r>
        <w:t>Role hierarchy: Global Admin &gt; GBU Admin &gt; Analyst &gt; Viewer &gt; API Consumer</w:t>
      </w:r>
    </w:p>
    <w:p>
      <w:pPr>
        <w:pStyle w:val="ListBullet"/>
        <w:spacing w:after="40"/>
      </w:pPr>
      <w:r>
        <w:t>Data access scoped to organizational unit: a user authorized for 'GBU Petcare ex Russia' sees only Petcare data</w:t>
      </w:r>
    </w:p>
    <w:p>
      <w:pPr>
        <w:pStyle w:val="Heading3"/>
      </w:pPr>
      <w:r>
        <w:t>3.5.6 Data Protection</w:t>
      </w:r>
    </w:p>
    <w:p>
      <w:pPr>
        <w:pStyle w:val="ListBullet"/>
        <w:spacing w:after="40"/>
      </w:pPr>
      <w:r>
        <w:t>All Azure services deployed within Mars's private virtual network (VNet) with private endpoints</w:t>
      </w:r>
    </w:p>
    <w:p>
      <w:pPr>
        <w:pStyle w:val="ListBullet"/>
        <w:spacing w:after="40"/>
      </w:pPr>
      <w:r>
        <w:t>No data egress to public internet; all LLM calls routed through Azure Private Link</w:t>
      </w:r>
    </w:p>
    <w:p>
      <w:pPr>
        <w:pStyle w:val="ListBullet"/>
        <w:spacing w:after="40"/>
      </w:pPr>
      <w:r>
        <w:t>Customer-managed encryption keys (CMK) via Azure Key Vault for data at rest</w:t>
      </w:r>
    </w:p>
    <w:p>
      <w:pPr>
        <w:pStyle w:val="ListBullet"/>
        <w:spacing w:after="40"/>
      </w:pPr>
      <w:r>
        <w:t>Azure OpenAI deployed in Mars's tenant with data processing agreement ensuring no training on Mars data</w:t>
      </w:r>
    </w:p>
    <w:p>
      <w:pPr>
        <w:pStyle w:val="ListBullet"/>
        <w:spacing w:after="40"/>
      </w:pPr>
      <w:r>
        <w:t>PII detection and redaction in generated reports (configurable per data classification level)</w:t>
      </w:r>
    </w:p>
    <w:p>
      <w:pPr>
        <w:pStyle w:val="Heading3"/>
      </w:pPr>
      <w:r>
        <w:t>3.5.7 Audit &amp; Compliance</w:t>
      </w:r>
    </w:p>
    <w:p>
      <w:pPr>
        <w:pStyle w:val="ListBullet"/>
        <w:spacing w:after="40"/>
      </w:pPr>
      <w:r>
        <w:t>Complete audit trail: who queried what data, when, and what was returned</w:t>
      </w:r>
    </w:p>
    <w:p>
      <w:pPr>
        <w:pStyle w:val="ListBullet"/>
        <w:spacing w:after="40"/>
      </w:pPr>
      <w:r>
        <w:t>LLM prompt/response logging with configurable retention (default 90 days)</w:t>
      </w:r>
    </w:p>
    <w:p>
      <w:pPr>
        <w:pStyle w:val="ListBullet"/>
        <w:spacing w:after="40"/>
      </w:pPr>
      <w:r>
        <w:t>Automated compliance reports for data access patterns and anomaly detection</w:t>
      </w:r>
    </w:p>
    <w:p>
      <w:pPr>
        <w:pStyle w:val="ListBullet"/>
        <w:spacing w:after="40"/>
      </w:pPr>
      <w:r>
        <w:t>Annual penetration testing and security assessment by third-party auditor</w:t>
      </w:r>
    </w:p>
    <w:p>
      <w:pPr>
        <w:pStyle w:val="ListBullet"/>
        <w:spacing w:after="40"/>
      </w:pPr>
      <w:r>
        <w:t>SOC 2 Type II attestation for Amira platform; Mars responsible for data governance policies</w:t>
      </w:r>
    </w:p>
    <w:p>
      <w:r>
        <w:br w:type="page"/>
      </w:r>
    </w:p>
    <w:p>
      <w:pPr>
        <w:pStyle w:val="Heading1"/>
      </w:pPr>
      <w:r>
        <w:t>4. Data Model</w:t>
      </w:r>
    </w:p>
    <w:p>
      <w:pPr>
        <w:pStyle w:val="Heading2"/>
      </w:pPr>
      <w:r>
        <w:t>4.1 Core Entities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Entity</w:t>
            </w:r>
          </w:p>
        </w:tc>
        <w:tc>
          <w:tcPr>
            <w:tcW w:type="dxa" w:w="2880"/>
            <w:shd w:fill="1A56DB"/>
          </w:tcPr>
          <w:p>
            <w:r/>
            <w:r>
              <w:rPr>
                <w:rFonts w:ascii="Calibri" w:hAnsi="Calibri"/>
                <w:b/>
                <w:color w:val="FFFFFF"/>
                <w:sz w:val="20"/>
              </w:rPr>
              <w:t>Description</w:t>
            </w:r>
          </w:p>
        </w:tc>
        <w:tc>
          <w:tcPr>
            <w:tcW w:type="dxa" w:w="4320"/>
            <w:shd w:fill="1A56DB"/>
          </w:tcPr>
          <w:p>
            <w:r/>
            <w:r>
              <w:rPr>
                <w:rFonts w:ascii="Calibri" w:hAnsi="Calibri"/>
                <w:b/>
                <w:color w:val="FFFFFF"/>
                <w:sz w:val="20"/>
              </w:rPr>
              <w:t>Key Attributes</w:t>
            </w:r>
          </w:p>
        </w:tc>
      </w:tr>
      <w:tr>
        <w:tc>
          <w:tcPr>
            <w:tcW w:type="dxa" w:w="2160"/>
          </w:tcPr>
          <w:p>
            <w:r/>
            <w:r>
              <w:rPr>
                <w:rFonts w:ascii="Calibri" w:hAnsi="Calibri"/>
                <w:color w:val="333333"/>
                <w:sz w:val="18"/>
              </w:rPr>
              <w:t>OrganizationalUnit</w:t>
            </w:r>
          </w:p>
        </w:tc>
        <w:tc>
          <w:tcPr>
            <w:tcW w:type="dxa" w:w="2880"/>
          </w:tcPr>
          <w:p>
            <w:r/>
            <w:r>
              <w:rPr>
                <w:rFonts w:ascii="Calibri" w:hAnsi="Calibri"/>
                <w:color w:val="333333"/>
                <w:sz w:val="18"/>
              </w:rPr>
              <w:t>Mars hierarchy node (company, GBU, division, region)</w:t>
            </w:r>
          </w:p>
        </w:tc>
        <w:tc>
          <w:tcPr>
            <w:tcW w:type="dxa" w:w="4320"/>
          </w:tcPr>
          <w:p>
            <w:r/>
            <w:r>
              <w:rPr>
                <w:rFonts w:ascii="Calibri" w:hAnsi="Calibri"/>
                <w:color w:val="333333"/>
                <w:sz w:val="18"/>
              </w:rPr>
              <w:t>unit_id, name, parent_id, level, is_active</w:t>
            </w:r>
          </w:p>
        </w:tc>
      </w:tr>
      <w:tr>
        <w:tc>
          <w:tcPr>
            <w:tcW w:type="dxa" w:w="2160"/>
            <w:shd w:fill="F2F6FC"/>
          </w:tcPr>
          <w:p>
            <w:r/>
            <w:r>
              <w:rPr>
                <w:rFonts w:ascii="Calibri" w:hAnsi="Calibri"/>
                <w:color w:val="333333"/>
                <w:sz w:val="18"/>
              </w:rPr>
              <w:t>FinancialPeriod</w:t>
            </w:r>
          </w:p>
        </w:tc>
        <w:tc>
          <w:tcPr>
            <w:tcW w:type="dxa" w:w="2880"/>
            <w:shd w:fill="F2F6FC"/>
          </w:tcPr>
          <w:p>
            <w:r/>
            <w:r>
              <w:rPr>
                <w:rFonts w:ascii="Calibri" w:hAnsi="Calibri"/>
                <w:color w:val="333333"/>
                <w:sz w:val="18"/>
              </w:rPr>
              <w:t>Reporting period</w:t>
            </w:r>
          </w:p>
        </w:tc>
        <w:tc>
          <w:tcPr>
            <w:tcW w:type="dxa" w:w="4320"/>
            <w:shd w:fill="F2F6FC"/>
          </w:tcPr>
          <w:p>
            <w:r/>
            <w:r>
              <w:rPr>
                <w:rFonts w:ascii="Calibri" w:hAnsi="Calibri"/>
                <w:color w:val="333333"/>
                <w:sz w:val="18"/>
              </w:rPr>
              <w:t>period_id, year, period_number, start_date, end_date, type (monthly/quarterly)</w:t>
            </w:r>
          </w:p>
        </w:tc>
      </w:tr>
      <w:tr>
        <w:tc>
          <w:tcPr>
            <w:tcW w:type="dxa" w:w="2160"/>
          </w:tcPr>
          <w:p>
            <w:r/>
            <w:r>
              <w:rPr>
                <w:rFonts w:ascii="Calibri" w:hAnsi="Calibri"/>
                <w:color w:val="333333"/>
                <w:sz w:val="18"/>
              </w:rPr>
              <w:t>KPIDefinition</w:t>
            </w:r>
          </w:p>
        </w:tc>
        <w:tc>
          <w:tcPr>
            <w:tcW w:type="dxa" w:w="2880"/>
          </w:tcPr>
          <w:p>
            <w:r/>
            <w:r>
              <w:rPr>
                <w:rFonts w:ascii="Calibri" w:hAnsi="Calibri"/>
                <w:color w:val="333333"/>
                <w:sz w:val="18"/>
              </w:rPr>
              <w:t>Configurable KPI specification</w:t>
            </w:r>
          </w:p>
        </w:tc>
        <w:tc>
          <w:tcPr>
            <w:tcW w:type="dxa" w:w="4320"/>
          </w:tcPr>
          <w:p>
            <w:r/>
            <w:r>
              <w:rPr>
                <w:rFonts w:ascii="Calibri" w:hAnsi="Calibri"/>
                <w:color w:val="333333"/>
                <w:sz w:val="18"/>
              </w:rPr>
              <w:t>kpi_id, name, formula, data_sources, prompt_template_id, thresholds</w:t>
            </w:r>
          </w:p>
        </w:tc>
      </w:tr>
      <w:tr>
        <w:tc>
          <w:tcPr>
            <w:tcW w:type="dxa" w:w="2160"/>
            <w:shd w:fill="F2F6FC"/>
          </w:tcPr>
          <w:p>
            <w:r/>
            <w:r>
              <w:rPr>
                <w:rFonts w:ascii="Calibri" w:hAnsi="Calibri"/>
                <w:color w:val="333333"/>
                <w:sz w:val="18"/>
              </w:rPr>
              <w:t>FinancialFact</w:t>
            </w:r>
          </w:p>
        </w:tc>
        <w:tc>
          <w:tcPr>
            <w:tcW w:type="dxa" w:w="2880"/>
            <w:shd w:fill="F2F6FC"/>
          </w:tcPr>
          <w:p>
            <w:r/>
            <w:r>
              <w:rPr>
                <w:rFonts w:ascii="Calibri" w:hAnsi="Calibri"/>
                <w:color w:val="333333"/>
                <w:sz w:val="18"/>
              </w:rPr>
              <w:t>Single financial data point</w:t>
            </w:r>
          </w:p>
        </w:tc>
        <w:tc>
          <w:tcPr>
            <w:tcW w:type="dxa" w:w="4320"/>
            <w:shd w:fill="F2F6FC"/>
          </w:tcPr>
          <w:p>
            <w:r/>
            <w:r>
              <w:rPr>
                <w:rFonts w:ascii="Calibri" w:hAnsi="Calibri"/>
                <w:color w:val="333333"/>
                <w:sz w:val="18"/>
              </w:rPr>
              <w:t>fact_id, unit_id, period_id, kpi_id, value, currency, source_file</w:t>
            </w:r>
          </w:p>
        </w:tc>
      </w:tr>
      <w:tr>
        <w:tc>
          <w:tcPr>
            <w:tcW w:type="dxa" w:w="2160"/>
          </w:tcPr>
          <w:p>
            <w:r/>
            <w:r>
              <w:rPr>
                <w:rFonts w:ascii="Calibri" w:hAnsi="Calibri"/>
                <w:color w:val="333333"/>
                <w:sz w:val="18"/>
              </w:rPr>
              <w:t>CompetitorCompany</w:t>
            </w:r>
          </w:p>
        </w:tc>
        <w:tc>
          <w:tcPr>
            <w:tcW w:type="dxa" w:w="2880"/>
          </w:tcPr>
          <w:p>
            <w:r/>
            <w:r>
              <w:rPr>
                <w:rFonts w:ascii="Calibri" w:hAnsi="Calibri"/>
                <w:color w:val="333333"/>
                <w:sz w:val="18"/>
              </w:rPr>
              <w:t>Tracked competitor</w:t>
            </w:r>
          </w:p>
        </w:tc>
        <w:tc>
          <w:tcPr>
            <w:tcW w:type="dxa" w:w="4320"/>
          </w:tcPr>
          <w:p>
            <w:r/>
            <w:r>
              <w:rPr>
                <w:rFonts w:ascii="Calibri" w:hAnsi="Calibri"/>
                <w:color w:val="333333"/>
                <w:sz w:val="18"/>
              </w:rPr>
              <w:t>company_id, name, ticker, peer_groups, is_active</w:t>
            </w:r>
          </w:p>
        </w:tc>
      </w:tr>
      <w:tr>
        <w:tc>
          <w:tcPr>
            <w:tcW w:type="dxa" w:w="2160"/>
            <w:shd w:fill="F2F6FC"/>
          </w:tcPr>
          <w:p>
            <w:r/>
            <w:r>
              <w:rPr>
                <w:rFonts w:ascii="Calibri" w:hAnsi="Calibri"/>
                <w:color w:val="333333"/>
                <w:sz w:val="18"/>
              </w:rPr>
              <w:t>CompetitorDocument</w:t>
            </w:r>
          </w:p>
        </w:tc>
        <w:tc>
          <w:tcPr>
            <w:tcW w:type="dxa" w:w="2880"/>
            <w:shd w:fill="F2F6FC"/>
          </w:tcPr>
          <w:p>
            <w:r/>
            <w:r>
              <w:rPr>
                <w:rFonts w:ascii="Calibri" w:hAnsi="Calibri"/>
                <w:color w:val="333333"/>
                <w:sz w:val="18"/>
              </w:rPr>
              <w:t>Ingested competitor filing</w:t>
            </w:r>
          </w:p>
        </w:tc>
        <w:tc>
          <w:tcPr>
            <w:tcW w:type="dxa" w:w="4320"/>
            <w:shd w:fill="F2F6FC"/>
          </w:tcPr>
          <w:p>
            <w:r/>
            <w:r>
              <w:rPr>
                <w:rFonts w:ascii="Calibri" w:hAnsi="Calibri"/>
                <w:color w:val="333333"/>
                <w:sz w:val="18"/>
              </w:rPr>
              <w:t>doc_id, company_id, period_id, doc_type, file_path, ingestion_status</w:t>
            </w:r>
          </w:p>
        </w:tc>
      </w:tr>
      <w:tr>
        <w:tc>
          <w:tcPr>
            <w:tcW w:type="dxa" w:w="2160"/>
          </w:tcPr>
          <w:p>
            <w:r/>
            <w:r>
              <w:rPr>
                <w:rFonts w:ascii="Calibri" w:hAnsi="Calibri"/>
                <w:color w:val="333333"/>
                <w:sz w:val="18"/>
              </w:rPr>
              <w:t>DocumentChunk</w:t>
            </w:r>
          </w:p>
        </w:tc>
        <w:tc>
          <w:tcPr>
            <w:tcW w:type="dxa" w:w="2880"/>
          </w:tcPr>
          <w:p>
            <w:r/>
            <w:r>
              <w:rPr>
                <w:rFonts w:ascii="Calibri" w:hAnsi="Calibri"/>
                <w:color w:val="333333"/>
                <w:sz w:val="18"/>
              </w:rPr>
              <w:t>Embedded document fragment</w:t>
            </w:r>
          </w:p>
        </w:tc>
        <w:tc>
          <w:tcPr>
            <w:tcW w:type="dxa" w:w="4320"/>
          </w:tcPr>
          <w:p>
            <w:r/>
            <w:r>
              <w:rPr>
                <w:rFonts w:ascii="Calibri" w:hAnsi="Calibri"/>
                <w:color w:val="333333"/>
                <w:sz w:val="18"/>
              </w:rPr>
              <w:t>chunk_id, doc_id, text, embedding_vector, section_title, page_number</w:t>
            </w:r>
          </w:p>
        </w:tc>
      </w:tr>
      <w:tr>
        <w:tc>
          <w:tcPr>
            <w:tcW w:type="dxa" w:w="2160"/>
            <w:shd w:fill="F2F6FC"/>
          </w:tcPr>
          <w:p>
            <w:r/>
            <w:r>
              <w:rPr>
                <w:rFonts w:ascii="Calibri" w:hAnsi="Calibri"/>
                <w:color w:val="333333"/>
                <w:sz w:val="18"/>
              </w:rPr>
              <w:t>GeneratedReport</w:t>
            </w:r>
          </w:p>
        </w:tc>
        <w:tc>
          <w:tcPr>
            <w:tcW w:type="dxa" w:w="2880"/>
            <w:shd w:fill="F2F6FC"/>
          </w:tcPr>
          <w:p>
            <w:r/>
            <w:r>
              <w:rPr>
                <w:rFonts w:ascii="Calibri" w:hAnsi="Calibri"/>
                <w:color w:val="333333"/>
                <w:sz w:val="18"/>
              </w:rPr>
              <w:t>Cached AI-generated output</w:t>
            </w:r>
          </w:p>
        </w:tc>
        <w:tc>
          <w:tcPr>
            <w:tcW w:type="dxa" w:w="4320"/>
            <w:shd w:fill="F2F6FC"/>
          </w:tcPr>
          <w:p>
            <w:r/>
            <w:r>
              <w:rPr>
                <w:rFonts w:ascii="Calibri" w:hAnsi="Calibri"/>
                <w:color w:val="333333"/>
                <w:sz w:val="18"/>
              </w:rPr>
              <w:t>report_id, unit_id, period_id, format, kpi_summaries (JSON), created_at</w:t>
            </w:r>
          </w:p>
        </w:tc>
      </w:tr>
      <w:tr>
        <w:tc>
          <w:tcPr>
            <w:tcW w:type="dxa" w:w="2160"/>
          </w:tcPr>
          <w:p>
            <w:r/>
            <w:r>
              <w:rPr>
                <w:rFonts w:ascii="Calibri" w:hAnsi="Calibri"/>
                <w:color w:val="333333"/>
                <w:sz w:val="18"/>
              </w:rPr>
              <w:t>Job</w:t>
            </w:r>
          </w:p>
        </w:tc>
        <w:tc>
          <w:tcPr>
            <w:tcW w:type="dxa" w:w="2880"/>
          </w:tcPr>
          <w:p>
            <w:r/>
            <w:r>
              <w:rPr>
                <w:rFonts w:ascii="Calibri" w:hAnsi="Calibri"/>
                <w:color w:val="333333"/>
                <w:sz w:val="18"/>
              </w:rPr>
              <w:t>Agent queue work item</w:t>
            </w:r>
          </w:p>
        </w:tc>
        <w:tc>
          <w:tcPr>
            <w:tcW w:type="dxa" w:w="4320"/>
          </w:tcPr>
          <w:p>
            <w:r/>
            <w:r>
              <w:rPr>
                <w:rFonts w:ascii="Calibri" w:hAnsi="Calibri"/>
                <w:color w:val="333333"/>
                <w:sz w:val="18"/>
              </w:rPr>
              <w:t>job_id, user_id, query, priority, status, agent_type, sla_target, result</w:t>
            </w:r>
          </w:p>
        </w:tc>
      </w:tr>
      <w:tr>
        <w:tc>
          <w:tcPr>
            <w:tcW w:type="dxa" w:w="2160"/>
            <w:shd w:fill="F2F6FC"/>
          </w:tcPr>
          <w:p>
            <w:r/>
            <w:r>
              <w:rPr>
                <w:rFonts w:ascii="Calibri" w:hAnsi="Calibri"/>
                <w:color w:val="333333"/>
                <w:sz w:val="18"/>
              </w:rPr>
              <w:t>Agent</w:t>
            </w:r>
          </w:p>
        </w:tc>
        <w:tc>
          <w:tcPr>
            <w:tcW w:type="dxa" w:w="2880"/>
            <w:shd w:fill="F2F6FC"/>
          </w:tcPr>
          <w:p>
            <w:r/>
            <w:r>
              <w:rPr>
                <w:rFonts w:ascii="Calibri" w:hAnsi="Calibri"/>
                <w:color w:val="333333"/>
                <w:sz w:val="18"/>
              </w:rPr>
              <w:t>AI agent instance</w:t>
            </w:r>
          </w:p>
        </w:tc>
        <w:tc>
          <w:tcPr>
            <w:tcW w:type="dxa" w:w="4320"/>
            <w:shd w:fill="F2F6FC"/>
          </w:tcPr>
          <w:p>
            <w:r/>
            <w:r>
              <w:rPr>
                <w:rFonts w:ascii="Calibri" w:hAnsi="Calibri"/>
                <w:color w:val="333333"/>
                <w:sz w:val="18"/>
              </w:rPr>
              <w:t>agent_id, type, status, current_job_id, jobs_completed, avg_processing_time</w:t>
            </w:r>
          </w:p>
        </w:tc>
      </w:tr>
      <w:tr>
        <w:tc>
          <w:tcPr>
            <w:tcW w:type="dxa" w:w="2160"/>
          </w:tcPr>
          <w:p>
            <w:r/>
            <w:r>
              <w:rPr>
                <w:rFonts w:ascii="Calibri" w:hAnsi="Calibri"/>
                <w:color w:val="333333"/>
                <w:sz w:val="18"/>
              </w:rPr>
              <w:t>PeerGroup</w:t>
            </w:r>
          </w:p>
        </w:tc>
        <w:tc>
          <w:tcPr>
            <w:tcW w:type="dxa" w:w="2880"/>
          </w:tcPr>
          <w:p>
            <w:r/>
            <w:r>
              <w:rPr>
                <w:rFonts w:ascii="Calibri" w:hAnsi="Calibri"/>
                <w:color w:val="333333"/>
                <w:sz w:val="18"/>
              </w:rPr>
              <w:t>Competitor benchmarking group</w:t>
            </w:r>
          </w:p>
        </w:tc>
        <w:tc>
          <w:tcPr>
            <w:tcW w:type="dxa" w:w="4320"/>
          </w:tcPr>
          <w:p>
            <w:r/>
            <w:r>
              <w:rPr>
                <w:rFonts w:ascii="Calibri" w:hAnsi="Calibri"/>
                <w:color w:val="333333"/>
                <w:sz w:val="18"/>
              </w:rPr>
              <w:t>group_id, segment_name, companies[], metrics[], is_active</w:t>
            </w:r>
          </w:p>
        </w:tc>
      </w:tr>
      <w:tr>
        <w:tc>
          <w:tcPr>
            <w:tcW w:type="dxa" w:w="2160"/>
            <w:shd w:fill="F2F6FC"/>
          </w:tcPr>
          <w:p>
            <w:r/>
            <w:r>
              <w:rPr>
                <w:rFonts w:ascii="Calibri" w:hAnsi="Calibri"/>
                <w:color w:val="333333"/>
                <w:sz w:val="18"/>
              </w:rPr>
              <w:t>PromptTemplate</w:t>
            </w:r>
          </w:p>
        </w:tc>
        <w:tc>
          <w:tcPr>
            <w:tcW w:type="dxa" w:w="2880"/>
            <w:shd w:fill="F2F6FC"/>
          </w:tcPr>
          <w:p>
            <w:r/>
            <w:r>
              <w:rPr>
                <w:rFonts w:ascii="Calibri" w:hAnsi="Calibri"/>
                <w:color w:val="333333"/>
                <w:sz w:val="18"/>
              </w:rPr>
              <w:t>Versioned LLM prompt</w:t>
            </w:r>
          </w:p>
        </w:tc>
        <w:tc>
          <w:tcPr>
            <w:tcW w:type="dxa" w:w="4320"/>
            <w:shd w:fill="F2F6FC"/>
          </w:tcPr>
          <w:p>
            <w:r/>
            <w:r>
              <w:rPr>
                <w:rFonts w:ascii="Calibri" w:hAnsi="Calibri"/>
                <w:color w:val="333333"/>
                <w:sz w:val="18"/>
              </w:rPr>
              <w:t>template_id, name, version, system_msg, user_msg_template, variables</w:t>
            </w:r>
          </w:p>
        </w:tc>
      </w:tr>
      <w:tr>
        <w:tc>
          <w:tcPr>
            <w:tcW w:type="dxa" w:w="2160"/>
          </w:tcPr>
          <w:p>
            <w:r/>
            <w:r>
              <w:rPr>
                <w:rFonts w:ascii="Calibri" w:hAnsi="Calibri"/>
                <w:color w:val="333333"/>
                <w:sz w:val="18"/>
              </w:rPr>
              <w:t>AuditLog</w:t>
            </w:r>
          </w:p>
        </w:tc>
        <w:tc>
          <w:tcPr>
            <w:tcW w:type="dxa" w:w="2880"/>
          </w:tcPr>
          <w:p>
            <w:r/>
            <w:r>
              <w:rPr>
                <w:rFonts w:ascii="Calibri" w:hAnsi="Calibri"/>
                <w:color w:val="333333"/>
                <w:sz w:val="18"/>
              </w:rPr>
              <w:t>System activity record</w:t>
            </w:r>
          </w:p>
        </w:tc>
        <w:tc>
          <w:tcPr>
            <w:tcW w:type="dxa" w:w="4320"/>
          </w:tcPr>
          <w:p>
            <w:r/>
            <w:r>
              <w:rPr>
                <w:rFonts w:ascii="Calibri" w:hAnsi="Calibri"/>
                <w:color w:val="333333"/>
                <w:sz w:val="18"/>
              </w:rPr>
              <w:t>log_id, user_id, action, entity_type, entity_id, timestamp, details</w:t>
            </w:r>
          </w:p>
        </w:tc>
      </w:tr>
      <w:tr>
        <w:tc>
          <w:tcPr>
            <w:tcW w:type="dxa" w:w="2160"/>
            <w:shd w:fill="F2F6FC"/>
          </w:tcPr>
          <w:p>
            <w:r/>
            <w:r>
              <w:rPr>
                <w:rFonts w:ascii="Calibri" w:hAnsi="Calibri"/>
                <w:color w:val="333333"/>
                <w:sz w:val="18"/>
              </w:rPr>
              <w:t>DashboardConfig</w:t>
            </w:r>
          </w:p>
        </w:tc>
        <w:tc>
          <w:tcPr>
            <w:tcW w:type="dxa" w:w="2880"/>
            <w:shd w:fill="F2F6FC"/>
          </w:tcPr>
          <w:p>
            <w:r/>
            <w:r>
              <w:rPr>
                <w:rFonts w:ascii="Calibri" w:hAnsi="Calibri"/>
                <w:color w:val="333333"/>
                <w:sz w:val="18"/>
              </w:rPr>
              <w:t>User dashboard layout</w:t>
            </w:r>
          </w:p>
        </w:tc>
        <w:tc>
          <w:tcPr>
            <w:tcW w:type="dxa" w:w="4320"/>
            <w:shd w:fill="F2F6FC"/>
          </w:tcPr>
          <w:p>
            <w:r/>
            <w:r>
              <w:rPr>
                <w:rFonts w:ascii="Calibri" w:hAnsi="Calibri"/>
                <w:color w:val="333333"/>
                <w:sz w:val="18"/>
              </w:rPr>
              <w:t>config_id, user_id, widgets[], layout, is_default, shared_with[]</w:t>
            </w:r>
          </w:p>
        </w:tc>
      </w:tr>
    </w:tbl>
    <w:p/>
    <w:p>
      <w:pPr>
        <w:pStyle w:val="Heading2"/>
      </w:pPr>
      <w:r>
        <w:t>4.2 Data Classification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592"/>
            <w:shd w:fill="1A56DB"/>
          </w:tcPr>
          <w:p>
            <w:r/>
            <w:r>
              <w:rPr>
                <w:rFonts w:ascii="Calibri" w:hAnsi="Calibri"/>
                <w:b/>
                <w:color w:val="FFFFFF"/>
                <w:sz w:val="20"/>
              </w:rPr>
              <w:t>Data Category</w:t>
            </w:r>
          </w:p>
        </w:tc>
        <w:tc>
          <w:tcPr>
            <w:tcW w:type="dxa" w:w="1872"/>
            <w:shd w:fill="1A56DB"/>
          </w:tcPr>
          <w:p>
            <w:r/>
            <w:r>
              <w:rPr>
                <w:rFonts w:ascii="Calibri" w:hAnsi="Calibri"/>
                <w:b/>
                <w:color w:val="FFFFFF"/>
                <w:sz w:val="20"/>
              </w:rPr>
              <w:t>Classification</w:t>
            </w:r>
          </w:p>
        </w:tc>
        <w:tc>
          <w:tcPr>
            <w:tcW w:type="dxa" w:w="2880"/>
            <w:shd w:fill="1A56DB"/>
          </w:tcPr>
          <w:p>
            <w:r/>
            <w:r>
              <w:rPr>
                <w:rFonts w:ascii="Calibri" w:hAnsi="Calibri"/>
                <w:b/>
                <w:color w:val="FFFFFF"/>
                <w:sz w:val="20"/>
              </w:rPr>
              <w:t>Access Control</w:t>
            </w:r>
          </w:p>
        </w:tc>
        <w:tc>
          <w:tcPr>
            <w:tcW w:type="dxa" w:w="2016"/>
            <w:shd w:fill="1A56DB"/>
          </w:tcPr>
          <w:p>
            <w:r/>
            <w:r>
              <w:rPr>
                <w:rFonts w:ascii="Calibri" w:hAnsi="Calibri"/>
                <w:b/>
                <w:color w:val="FFFFFF"/>
                <w:sz w:val="20"/>
              </w:rPr>
              <w:t>Retention</w:t>
            </w:r>
          </w:p>
        </w:tc>
      </w:tr>
      <w:tr>
        <w:tc>
          <w:tcPr>
            <w:tcW w:type="dxa" w:w="2592"/>
          </w:tcPr>
          <w:p>
            <w:r/>
            <w:r>
              <w:rPr>
                <w:rFonts w:ascii="Calibri" w:hAnsi="Calibri"/>
                <w:color w:val="333333"/>
                <w:sz w:val="18"/>
              </w:rPr>
              <w:t>Internal P&amp;L data</w:t>
            </w:r>
          </w:p>
        </w:tc>
        <w:tc>
          <w:tcPr>
            <w:tcW w:type="dxa" w:w="1872"/>
          </w:tcPr>
          <w:p>
            <w:r/>
            <w:r>
              <w:rPr>
                <w:rFonts w:ascii="Calibri" w:hAnsi="Calibri"/>
                <w:color w:val="333333"/>
                <w:sz w:val="18"/>
              </w:rPr>
              <w:t>Restricted</w:t>
            </w:r>
          </w:p>
        </w:tc>
        <w:tc>
          <w:tcPr>
            <w:tcW w:type="dxa" w:w="2880"/>
          </w:tcPr>
          <w:p>
            <w:r/>
            <w:r>
              <w:rPr>
                <w:rFonts w:ascii="Calibri" w:hAnsi="Calibri"/>
                <w:color w:val="333333"/>
                <w:sz w:val="18"/>
              </w:rPr>
              <w:t>RBAC by organizational unit</w:t>
            </w:r>
          </w:p>
        </w:tc>
        <w:tc>
          <w:tcPr>
            <w:tcW w:type="dxa" w:w="2016"/>
          </w:tcPr>
          <w:p>
            <w:r/>
            <w:r>
              <w:rPr>
                <w:rFonts w:ascii="Calibri" w:hAnsi="Calibri"/>
                <w:color w:val="333333"/>
                <w:sz w:val="18"/>
              </w:rPr>
              <w:t>7 years</w:t>
            </w:r>
          </w:p>
        </w:tc>
      </w:tr>
      <w:tr>
        <w:tc>
          <w:tcPr>
            <w:tcW w:type="dxa" w:w="2592"/>
            <w:shd w:fill="F2F6FC"/>
          </w:tcPr>
          <w:p>
            <w:r/>
            <w:r>
              <w:rPr>
                <w:rFonts w:ascii="Calibri" w:hAnsi="Calibri"/>
                <w:color w:val="333333"/>
                <w:sz w:val="18"/>
              </w:rPr>
              <w:t>Brand/Product performance</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RBAC by GBU</w:t>
            </w:r>
          </w:p>
        </w:tc>
        <w:tc>
          <w:tcPr>
            <w:tcW w:type="dxa" w:w="2016"/>
            <w:shd w:fill="F2F6FC"/>
          </w:tcPr>
          <w:p>
            <w:r/>
            <w:r>
              <w:rPr>
                <w:rFonts w:ascii="Calibri" w:hAnsi="Calibri"/>
                <w:color w:val="333333"/>
                <w:sz w:val="18"/>
              </w:rPr>
              <w:t>7 years</w:t>
            </w:r>
          </w:p>
        </w:tc>
      </w:tr>
      <w:tr>
        <w:tc>
          <w:tcPr>
            <w:tcW w:type="dxa" w:w="2592"/>
          </w:tcPr>
          <w:p>
            <w:r/>
            <w:r>
              <w:rPr>
                <w:rFonts w:ascii="Calibri" w:hAnsi="Calibri"/>
                <w:color w:val="333333"/>
                <w:sz w:val="18"/>
              </w:rPr>
              <w:t>Competitor public filings</w:t>
            </w:r>
          </w:p>
        </w:tc>
        <w:tc>
          <w:tcPr>
            <w:tcW w:type="dxa" w:w="1872"/>
          </w:tcPr>
          <w:p>
            <w:r/>
            <w:r>
              <w:rPr>
                <w:rFonts w:ascii="Calibri" w:hAnsi="Calibri"/>
                <w:color w:val="333333"/>
                <w:sz w:val="18"/>
              </w:rPr>
              <w:t>Internal</w:t>
            </w:r>
          </w:p>
        </w:tc>
        <w:tc>
          <w:tcPr>
            <w:tcW w:type="dxa" w:w="2880"/>
          </w:tcPr>
          <w:p>
            <w:r/>
            <w:r>
              <w:rPr>
                <w:rFonts w:ascii="Calibri" w:hAnsi="Calibri"/>
                <w:color w:val="333333"/>
                <w:sz w:val="18"/>
              </w:rPr>
              <w:t>All authenticated users</w:t>
            </w:r>
          </w:p>
        </w:tc>
        <w:tc>
          <w:tcPr>
            <w:tcW w:type="dxa" w:w="2016"/>
          </w:tcPr>
          <w:p>
            <w:r/>
            <w:r>
              <w:rPr>
                <w:rFonts w:ascii="Calibri" w:hAnsi="Calibri"/>
                <w:color w:val="333333"/>
                <w:sz w:val="18"/>
              </w:rPr>
              <w:t>Indefinite</w:t>
            </w:r>
          </w:p>
        </w:tc>
      </w:tr>
      <w:tr>
        <w:tc>
          <w:tcPr>
            <w:tcW w:type="dxa" w:w="2592"/>
            <w:shd w:fill="F2F6FC"/>
          </w:tcPr>
          <w:p>
            <w:r/>
            <w:r>
              <w:rPr>
                <w:rFonts w:ascii="Calibri" w:hAnsi="Calibri"/>
                <w:color w:val="333333"/>
                <w:sz w:val="18"/>
              </w:rPr>
              <w:t>Acquired research</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Licensed users only</w:t>
            </w:r>
          </w:p>
        </w:tc>
        <w:tc>
          <w:tcPr>
            <w:tcW w:type="dxa" w:w="2016"/>
            <w:shd w:fill="F2F6FC"/>
          </w:tcPr>
          <w:p>
            <w:r/>
            <w:r>
              <w:rPr>
                <w:rFonts w:ascii="Calibri" w:hAnsi="Calibri"/>
                <w:color w:val="333333"/>
                <w:sz w:val="18"/>
              </w:rPr>
              <w:t>Per license</w:t>
            </w:r>
          </w:p>
        </w:tc>
      </w:tr>
      <w:tr>
        <w:tc>
          <w:tcPr>
            <w:tcW w:type="dxa" w:w="2592"/>
          </w:tcPr>
          <w:p>
            <w:r/>
            <w:r>
              <w:rPr>
                <w:rFonts w:ascii="Calibri" w:hAnsi="Calibri"/>
                <w:color w:val="333333"/>
                <w:sz w:val="18"/>
              </w:rPr>
              <w:t>Generated reports</w:t>
            </w:r>
          </w:p>
        </w:tc>
        <w:tc>
          <w:tcPr>
            <w:tcW w:type="dxa" w:w="1872"/>
          </w:tcPr>
          <w:p>
            <w:r/>
            <w:r>
              <w:rPr>
                <w:rFonts w:ascii="Calibri" w:hAnsi="Calibri"/>
                <w:color w:val="333333"/>
                <w:sz w:val="18"/>
              </w:rPr>
              <w:t>Inherits from source data</w:t>
            </w:r>
          </w:p>
        </w:tc>
        <w:tc>
          <w:tcPr>
            <w:tcW w:type="dxa" w:w="2880"/>
          </w:tcPr>
          <w:p>
            <w:r/>
            <w:r>
              <w:rPr>
                <w:rFonts w:ascii="Calibri" w:hAnsi="Calibri"/>
                <w:color w:val="333333"/>
                <w:sz w:val="18"/>
              </w:rPr>
              <w:t>Same as source data RBAC</w:t>
            </w:r>
          </w:p>
        </w:tc>
        <w:tc>
          <w:tcPr>
            <w:tcW w:type="dxa" w:w="2016"/>
          </w:tcPr>
          <w:p>
            <w:r/>
            <w:r>
              <w:rPr>
                <w:rFonts w:ascii="Calibri" w:hAnsi="Calibri"/>
                <w:color w:val="333333"/>
                <w:sz w:val="18"/>
              </w:rPr>
              <w:t>3 years</w:t>
            </w:r>
          </w:p>
        </w:tc>
      </w:tr>
      <w:tr>
        <w:tc>
          <w:tcPr>
            <w:tcW w:type="dxa" w:w="2592"/>
            <w:shd w:fill="F2F6FC"/>
          </w:tcPr>
          <w:p>
            <w:r/>
            <w:r>
              <w:rPr>
                <w:rFonts w:ascii="Calibri" w:hAnsi="Calibri"/>
                <w:color w:val="333333"/>
                <w:sz w:val="18"/>
              </w:rPr>
              <w:t>Forecast projections</w:t>
            </w:r>
          </w:p>
        </w:tc>
        <w:tc>
          <w:tcPr>
            <w:tcW w:type="dxa" w:w="1872"/>
            <w:shd w:fill="F2F6FC"/>
          </w:tcPr>
          <w:p>
            <w:r/>
            <w:r>
              <w:rPr>
                <w:rFonts w:ascii="Calibri" w:hAnsi="Calibri"/>
                <w:color w:val="333333"/>
                <w:sz w:val="18"/>
              </w:rPr>
              <w:t>Confidential</w:t>
            </w:r>
          </w:p>
        </w:tc>
        <w:tc>
          <w:tcPr>
            <w:tcW w:type="dxa" w:w="2880"/>
            <w:shd w:fill="F2F6FC"/>
          </w:tcPr>
          <w:p>
            <w:r/>
            <w:r>
              <w:rPr>
                <w:rFonts w:ascii="Calibri" w:hAnsi="Calibri"/>
                <w:color w:val="333333"/>
                <w:sz w:val="18"/>
              </w:rPr>
              <w:t>Forecast-authorized users</w:t>
            </w:r>
          </w:p>
        </w:tc>
        <w:tc>
          <w:tcPr>
            <w:tcW w:type="dxa" w:w="2016"/>
            <w:shd w:fill="F2F6FC"/>
          </w:tcPr>
          <w:p>
            <w:r/>
            <w:r>
              <w:rPr>
                <w:rFonts w:ascii="Calibri" w:hAnsi="Calibri"/>
                <w:color w:val="333333"/>
                <w:sz w:val="18"/>
              </w:rPr>
              <w:t>2 years</w:t>
            </w:r>
          </w:p>
        </w:tc>
      </w:tr>
      <w:tr>
        <w:tc>
          <w:tcPr>
            <w:tcW w:type="dxa" w:w="2592"/>
          </w:tcPr>
          <w:p>
            <w:r/>
            <w:r>
              <w:rPr>
                <w:rFonts w:ascii="Calibri" w:hAnsi="Calibri"/>
                <w:color w:val="333333"/>
                <w:sz w:val="18"/>
              </w:rPr>
              <w:t>Marketing analytics</w:t>
            </w:r>
          </w:p>
        </w:tc>
        <w:tc>
          <w:tcPr>
            <w:tcW w:type="dxa" w:w="1872"/>
          </w:tcPr>
          <w:p>
            <w:r/>
            <w:r>
              <w:rPr>
                <w:rFonts w:ascii="Calibri" w:hAnsi="Calibri"/>
                <w:color w:val="333333"/>
                <w:sz w:val="18"/>
              </w:rPr>
              <w:t>Confidential</w:t>
            </w:r>
          </w:p>
        </w:tc>
        <w:tc>
          <w:tcPr>
            <w:tcW w:type="dxa" w:w="2880"/>
          </w:tcPr>
          <w:p>
            <w:r/>
            <w:r>
              <w:rPr>
                <w:rFonts w:ascii="Calibri" w:hAnsi="Calibri"/>
                <w:color w:val="333333"/>
                <w:sz w:val="18"/>
              </w:rPr>
              <w:t>Marketing-authorized users</w:t>
            </w:r>
          </w:p>
        </w:tc>
        <w:tc>
          <w:tcPr>
            <w:tcW w:type="dxa" w:w="2016"/>
          </w:tcPr>
          <w:p>
            <w:r/>
            <w:r>
              <w:rPr>
                <w:rFonts w:ascii="Calibri" w:hAnsi="Calibri"/>
                <w:color w:val="333333"/>
                <w:sz w:val="18"/>
              </w:rPr>
              <w:t>3 years</w:t>
            </w:r>
          </w:p>
        </w:tc>
      </w:tr>
      <w:tr>
        <w:tc>
          <w:tcPr>
            <w:tcW w:type="dxa" w:w="2592"/>
            <w:shd w:fill="F2F6FC"/>
          </w:tcPr>
          <w:p>
            <w:r/>
            <w:r>
              <w:rPr>
                <w:rFonts w:ascii="Calibri" w:hAnsi="Calibri"/>
                <w:color w:val="333333"/>
                <w:sz w:val="18"/>
              </w:rPr>
              <w:t>Audit logs</w:t>
            </w:r>
          </w:p>
        </w:tc>
        <w:tc>
          <w:tcPr>
            <w:tcW w:type="dxa" w:w="1872"/>
            <w:shd w:fill="F2F6FC"/>
          </w:tcPr>
          <w:p>
            <w:r/>
            <w:r>
              <w:rPr>
                <w:rFonts w:ascii="Calibri" w:hAnsi="Calibri"/>
                <w:color w:val="333333"/>
                <w:sz w:val="18"/>
              </w:rPr>
              <w:t>Internal</w:t>
            </w:r>
          </w:p>
        </w:tc>
        <w:tc>
          <w:tcPr>
            <w:tcW w:type="dxa" w:w="2880"/>
            <w:shd w:fill="F2F6FC"/>
          </w:tcPr>
          <w:p>
            <w:r/>
            <w:r>
              <w:rPr>
                <w:rFonts w:ascii="Calibri" w:hAnsi="Calibri"/>
                <w:color w:val="333333"/>
                <w:sz w:val="18"/>
              </w:rPr>
              <w:t>Admins only</w:t>
            </w:r>
          </w:p>
        </w:tc>
        <w:tc>
          <w:tcPr>
            <w:tcW w:type="dxa" w:w="2016"/>
            <w:shd w:fill="F2F6FC"/>
          </w:tcPr>
          <w:p>
            <w:r/>
            <w:r>
              <w:rPr>
                <w:rFonts w:ascii="Calibri" w:hAnsi="Calibri"/>
                <w:color w:val="333333"/>
                <w:sz w:val="18"/>
              </w:rPr>
              <w:t>5 years</w:t>
            </w:r>
          </w:p>
        </w:tc>
      </w:tr>
    </w:tbl>
    <w:p/>
    <w:p>
      <w:r>
        <w:br w:type="page"/>
      </w:r>
    </w:p>
    <w:p>
      <w:pPr>
        <w:pStyle w:val="Heading1"/>
      </w:pPr>
      <w:r>
        <w:t>5. System Architecture</w:t>
      </w:r>
    </w:p>
    <w:p>
      <w:pPr>
        <w:pStyle w:val="Heading2"/>
      </w:pPr>
      <w:r>
        <w:t>5.1 High-Level Architecture</w:t>
      </w:r>
    </w:p>
    <w:p>
      <w:pPr>
        <w:spacing w:after="120"/>
      </w:pPr>
      <w:r>
        <w:t>Amira FinIQ follows a layered microservices architecture deployed on Microsoft Azure, aligning with Mars's existing cloud infrastructure. The architecture consists of five layers:</w:t>
      </w:r>
    </w:p>
    <w:p>
      <w:pPr>
        <w:spacing w:after="120"/>
      </w:pPr>
      <w:r>
        <w:rPr>
          <w:b/>
        </w:rPr>
        <w:t>Layer 1: Presentation Layer</w:t>
      </w:r>
    </w:p>
    <w:p>
      <w:pPr>
        <w:pStyle w:val="ListBullet"/>
        <w:spacing w:after="40"/>
      </w:pPr>
      <w:r>
        <w:t>React-based single-page application (SPA) with responsive design</w:t>
      </w:r>
    </w:p>
    <w:p>
      <w:pPr>
        <w:pStyle w:val="ListBullet"/>
        <w:spacing w:after="40"/>
      </w:pPr>
      <w:r>
        <w:t>Dynamic configurable dashboards with drag-and-drop widget layout</w:t>
      </w:r>
    </w:p>
    <w:p>
      <w:pPr>
        <w:pStyle w:val="ListBullet"/>
        <w:spacing w:after="40"/>
      </w:pPr>
      <w:r>
        <w:t>Real-time updates via Server-Sent Events (SSE) for report generation progress</w:t>
      </w:r>
    </w:p>
    <w:p>
      <w:pPr>
        <w:pStyle w:val="ListBullet"/>
        <w:spacing w:after="40"/>
      </w:pPr>
      <w:r>
        <w:t>Interactive dashboards built with a modern charting library</w:t>
      </w:r>
    </w:p>
    <w:p>
      <w:pPr>
        <w:pStyle w:val="ListBullet"/>
        <w:spacing w:after="40"/>
      </w:pPr>
      <w:r>
        <w:t>Embeddable widgets for integration into existing Mars portals</w:t>
      </w:r>
    </w:p>
    <w:p>
      <w:pPr>
        <w:spacing w:after="120"/>
      </w:pPr>
      <w:r>
        <w:rPr>
          <w:b/>
        </w:rPr>
        <w:t>Layer 2: API Gateway &amp; Orchestration</w:t>
      </w:r>
    </w:p>
    <w:p>
      <w:pPr>
        <w:pStyle w:val="ListBullet"/>
        <w:spacing w:after="40"/>
      </w:pPr>
      <w:r>
        <w:t>Azure API Management as the unified entry point</w:t>
      </w:r>
    </w:p>
    <w:p>
      <w:pPr>
        <w:pStyle w:val="ListBullet"/>
        <w:spacing w:after="40"/>
      </w:pPr>
      <w:r>
        <w:t>LangGraph-based orchestration engine for multi-step analytical workflows</w:t>
      </w:r>
    </w:p>
    <w:p>
      <w:pPr>
        <w:pStyle w:val="ListBullet"/>
        <w:spacing w:after="40"/>
      </w:pPr>
      <w:r>
        <w:t>Request routing: simple queries go direct, complex queries route to agent queue</w:t>
      </w:r>
    </w:p>
    <w:p>
      <w:pPr>
        <w:pStyle w:val="ListBullet"/>
        <w:spacing w:after="40"/>
      </w:pPr>
      <w:r>
        <w:t>Rate limiting, authentication, and request logging</w:t>
      </w:r>
    </w:p>
    <w:p>
      <w:pPr>
        <w:spacing w:after="120"/>
      </w:pPr>
      <w:r>
        <w:rPr>
          <w:b/>
        </w:rPr>
        <w:t>Layer 3: Intelligence Layer</w:t>
      </w:r>
    </w:p>
    <w:p>
      <w:pPr>
        <w:pStyle w:val="ListBullet"/>
        <w:spacing w:after="40"/>
      </w:pPr>
      <w:r>
        <w:t>LLM Service: Azure OpenAI GPT-4.1 (or latest) for narrative generation</w:t>
      </w:r>
    </w:p>
    <w:p>
      <w:pPr>
        <w:pStyle w:val="ListBullet"/>
        <w:spacing w:after="40"/>
      </w:pPr>
      <w:r>
        <w:t>Embedding Service: Azure OpenAI text-embedding-3-large for document chunking</w:t>
      </w:r>
    </w:p>
    <w:p>
      <w:pPr>
        <w:pStyle w:val="ListBullet"/>
        <w:spacing w:after="40"/>
      </w:pPr>
      <w:r>
        <w:t>Agent Runtime: Specialized agents (PES, CI, Forecast, Marketing, Ad-Hoc, DQ)</w:t>
      </w:r>
    </w:p>
    <w:p>
      <w:pPr>
        <w:pStyle w:val="ListBullet"/>
        <w:spacing w:after="40"/>
      </w:pPr>
      <w:r>
        <w:t>Prompt Registry: Versioned prompt templates stored in Azure Cosmos DB</w:t>
      </w:r>
    </w:p>
    <w:p>
      <w:pPr>
        <w:pStyle w:val="ListBullet"/>
        <w:spacing w:after="40"/>
      </w:pPr>
      <w:r>
        <w:t>RAG Pipeline: Vector search (Azure AI Search) + reranking for document Q&amp;A</w:t>
      </w:r>
    </w:p>
    <w:p>
      <w:pPr>
        <w:spacing w:after="120"/>
      </w:pPr>
      <w:r>
        <w:rPr>
          <w:b/>
        </w:rPr>
        <w:t>Layer 4: Data Layer</w:t>
      </w:r>
    </w:p>
    <w:p>
      <w:pPr>
        <w:pStyle w:val="ListBullet"/>
        <w:spacing w:after="40"/>
      </w:pPr>
      <w:r>
        <w:t>Unified Data Store: Azure SQL Database for structured financial data (P&amp;L, KPIs)</w:t>
      </w:r>
    </w:p>
    <w:p>
      <w:pPr>
        <w:pStyle w:val="ListBullet"/>
        <w:spacing w:after="40"/>
      </w:pPr>
      <w:r>
        <w:t>Document Store: Azure Blob Storage (raw documents) + Azure AI Search (indexed chunks)</w:t>
      </w:r>
    </w:p>
    <w:p>
      <w:pPr>
        <w:pStyle w:val="ListBullet"/>
        <w:spacing w:after="40"/>
      </w:pPr>
      <w:r>
        <w:t>Cache Layer: Azure Redis Cache for generated reports and KPI summaries (JSON)</w:t>
      </w:r>
    </w:p>
    <w:p>
      <w:pPr>
        <w:pStyle w:val="ListBullet"/>
        <w:spacing w:after="40"/>
      </w:pPr>
      <w:r>
        <w:t>Metadata Catalog: Azure Cosmos DB for data lineage, audit logs, and configuration</w:t>
      </w:r>
    </w:p>
    <w:p>
      <w:pPr>
        <w:spacing w:after="120"/>
      </w:pPr>
      <w:r>
        <w:rPr>
          <w:b/>
        </w:rPr>
        <w:t>Layer 5: Integration Layer</w:t>
      </w:r>
    </w:p>
    <w:p>
      <w:pPr>
        <w:pStyle w:val="ListBullet"/>
        <w:spacing w:after="40"/>
      </w:pPr>
      <w:r>
        <w:t>Amira Forecasting Connector: REST API client with response caching</w:t>
      </w:r>
    </w:p>
    <w:p>
      <w:pPr>
        <w:pStyle w:val="ListBullet"/>
        <w:spacing w:after="40"/>
      </w:pPr>
      <w:r>
        <w:t>Amira Marketing Analytics Connector: REST API client with metric mapping</w:t>
      </w:r>
    </w:p>
    <w:p>
      <w:pPr>
        <w:pStyle w:val="ListBullet"/>
        <w:spacing w:after="40"/>
      </w:pPr>
      <w:r>
        <w:t>Notification Service: Azure Logic Apps for email, Teams, and webhook notifications</w:t>
      </w:r>
    </w:p>
    <w:p>
      <w:pPr>
        <w:pStyle w:val="ListBullet"/>
        <w:spacing w:after="40"/>
      </w:pPr>
      <w:r>
        <w:t>Export Service: Document generation (PDF, DOCX, PPTX, XLSX) via headless renderer</w:t>
      </w:r>
    </w:p>
    <w:p>
      <w:pPr>
        <w:pStyle w:val="Heading2"/>
      </w:pPr>
      <w:r>
        <w:t>5.2 Component Topology</w:t>
      </w:r>
    </w:p>
    <w:p>
      <w:pPr>
        <w:spacing w:after="120"/>
      </w:pPr>
      <w:r>
        <w:t>The following describes the component topology. A visual diagram will be provided in the design phase.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Component</w:t>
            </w:r>
          </w:p>
        </w:tc>
        <w:tc>
          <w:tcPr>
            <w:tcW w:type="dxa" w:w="2880"/>
            <w:shd w:fill="1A56DB"/>
          </w:tcPr>
          <w:p>
            <w:r/>
            <w:r>
              <w:rPr>
                <w:rFonts w:ascii="Calibri" w:hAnsi="Calibri"/>
                <w:b/>
                <w:color w:val="FFFFFF"/>
                <w:sz w:val="20"/>
              </w:rPr>
              <w:t>Technology</w:t>
            </w:r>
          </w:p>
        </w:tc>
        <w:tc>
          <w:tcPr>
            <w:tcW w:type="dxa" w:w="3888"/>
            <w:shd w:fill="1A56DB"/>
          </w:tcPr>
          <w:p>
            <w:r/>
            <w:r>
              <w:rPr>
                <w:rFonts w:ascii="Calibri" w:hAnsi="Calibri"/>
                <w:b/>
                <w:color w:val="FFFFFF"/>
                <w:sz w:val="20"/>
              </w:rPr>
              <w:t>Purpose</w:t>
            </w:r>
          </w:p>
        </w:tc>
      </w:tr>
      <w:tr>
        <w:tc>
          <w:tcPr>
            <w:tcW w:type="dxa" w:w="2592"/>
          </w:tcPr>
          <w:p>
            <w:r/>
            <w:r>
              <w:rPr>
                <w:rFonts w:ascii="Calibri" w:hAnsi="Calibri"/>
                <w:color w:val="333333"/>
                <w:sz w:val="18"/>
              </w:rPr>
              <w:t>Web Application</w:t>
            </w:r>
          </w:p>
        </w:tc>
        <w:tc>
          <w:tcPr>
            <w:tcW w:type="dxa" w:w="2880"/>
          </w:tcPr>
          <w:p>
            <w:r/>
            <w:r>
              <w:rPr>
                <w:rFonts w:ascii="Calibri" w:hAnsi="Calibri"/>
                <w:color w:val="333333"/>
                <w:sz w:val="18"/>
              </w:rPr>
              <w:t>React + TypeScript</w:t>
            </w:r>
          </w:p>
        </w:tc>
        <w:tc>
          <w:tcPr>
            <w:tcW w:type="dxa" w:w="3888"/>
          </w:tcPr>
          <w:p>
            <w:r/>
            <w:r>
              <w:rPr>
                <w:rFonts w:ascii="Calibri" w:hAnsi="Calibri"/>
                <w:color w:val="333333"/>
                <w:sz w:val="18"/>
              </w:rPr>
              <w:t>User interface, dashboards, query chat</w:t>
            </w:r>
          </w:p>
        </w:tc>
      </w:tr>
      <w:tr>
        <w:tc>
          <w:tcPr>
            <w:tcW w:type="dxa" w:w="2592"/>
            <w:shd w:fill="F2F6FC"/>
          </w:tcPr>
          <w:p>
            <w:r/>
            <w:r>
              <w:rPr>
                <w:rFonts w:ascii="Calibri" w:hAnsi="Calibri"/>
                <w:color w:val="333333"/>
                <w:sz w:val="18"/>
              </w:rPr>
              <w:t>API Gateway</w:t>
            </w:r>
          </w:p>
        </w:tc>
        <w:tc>
          <w:tcPr>
            <w:tcW w:type="dxa" w:w="2880"/>
            <w:shd w:fill="F2F6FC"/>
          </w:tcPr>
          <w:p>
            <w:r/>
            <w:r>
              <w:rPr>
                <w:rFonts w:ascii="Calibri" w:hAnsi="Calibri"/>
                <w:color w:val="333333"/>
                <w:sz w:val="18"/>
              </w:rPr>
              <w:t>Azure API Management</w:t>
            </w:r>
          </w:p>
        </w:tc>
        <w:tc>
          <w:tcPr>
            <w:tcW w:type="dxa" w:w="3888"/>
            <w:shd w:fill="F2F6FC"/>
          </w:tcPr>
          <w:p>
            <w:r/>
            <w:r>
              <w:rPr>
                <w:rFonts w:ascii="Calibri" w:hAnsi="Calibri"/>
                <w:color w:val="333333"/>
                <w:sz w:val="18"/>
              </w:rPr>
              <w:t>Routing, auth, rate limiting, logging</w:t>
            </w:r>
          </w:p>
        </w:tc>
      </w:tr>
      <w:tr>
        <w:tc>
          <w:tcPr>
            <w:tcW w:type="dxa" w:w="2592"/>
          </w:tcPr>
          <w:p>
            <w:r/>
            <w:r>
              <w:rPr>
                <w:rFonts w:ascii="Calibri" w:hAnsi="Calibri"/>
                <w:color w:val="333333"/>
                <w:sz w:val="18"/>
              </w:rPr>
              <w:t>Orchestration Engine</w:t>
            </w:r>
          </w:p>
        </w:tc>
        <w:tc>
          <w:tcPr>
            <w:tcW w:type="dxa" w:w="2880"/>
          </w:tcPr>
          <w:p>
            <w:r/>
            <w:r>
              <w:rPr>
                <w:rFonts w:ascii="Calibri" w:hAnsi="Calibri"/>
                <w:color w:val="333333"/>
                <w:sz w:val="18"/>
              </w:rPr>
              <w:t>Python + LangGraph</w:t>
            </w:r>
          </w:p>
        </w:tc>
        <w:tc>
          <w:tcPr>
            <w:tcW w:type="dxa" w:w="3888"/>
          </w:tcPr>
          <w:p>
            <w:r/>
            <w:r>
              <w:rPr>
                <w:rFonts w:ascii="Calibri" w:hAnsi="Calibri"/>
                <w:color w:val="333333"/>
                <w:sz w:val="18"/>
              </w:rPr>
              <w:t>Multi-step workflow coordination</w:t>
            </w:r>
          </w:p>
        </w:tc>
      </w:tr>
      <w:tr>
        <w:tc>
          <w:tcPr>
            <w:tcW w:type="dxa" w:w="2592"/>
            <w:shd w:fill="F2F6FC"/>
          </w:tcPr>
          <w:p>
            <w:r/>
            <w:r>
              <w:rPr>
                <w:rFonts w:ascii="Calibri" w:hAnsi="Calibri"/>
                <w:color w:val="333333"/>
                <w:sz w:val="18"/>
              </w:rPr>
              <w:t>Agent Runtime</w:t>
            </w:r>
          </w:p>
        </w:tc>
        <w:tc>
          <w:tcPr>
            <w:tcW w:type="dxa" w:w="2880"/>
            <w:shd w:fill="F2F6FC"/>
          </w:tcPr>
          <w:p>
            <w:r/>
            <w:r>
              <w:rPr>
                <w:rFonts w:ascii="Calibri" w:hAnsi="Calibri"/>
                <w:color w:val="333333"/>
                <w:sz w:val="18"/>
              </w:rPr>
              <w:t>Python + LangChain</w:t>
            </w:r>
          </w:p>
        </w:tc>
        <w:tc>
          <w:tcPr>
            <w:tcW w:type="dxa" w:w="3888"/>
            <w:shd w:fill="F2F6FC"/>
          </w:tcPr>
          <w:p>
            <w:r/>
            <w:r>
              <w:rPr>
                <w:rFonts w:ascii="Calibri" w:hAnsi="Calibri"/>
                <w:color w:val="333333"/>
                <w:sz w:val="18"/>
              </w:rPr>
              <w:t>Specialized AI agents for each query type</w:t>
            </w:r>
          </w:p>
        </w:tc>
      </w:tr>
      <w:tr>
        <w:tc>
          <w:tcPr>
            <w:tcW w:type="dxa" w:w="2592"/>
          </w:tcPr>
          <w:p>
            <w:r/>
            <w:r>
              <w:rPr>
                <w:rFonts w:ascii="Calibri" w:hAnsi="Calibri"/>
                <w:color w:val="333333"/>
                <w:sz w:val="18"/>
              </w:rPr>
              <w:t>LLM Service</w:t>
            </w:r>
          </w:p>
        </w:tc>
        <w:tc>
          <w:tcPr>
            <w:tcW w:type="dxa" w:w="2880"/>
          </w:tcPr>
          <w:p>
            <w:r/>
            <w:r>
              <w:rPr>
                <w:rFonts w:ascii="Calibri" w:hAnsi="Calibri"/>
                <w:color w:val="333333"/>
                <w:sz w:val="18"/>
              </w:rPr>
              <w:t>Azure OpenAI GPT-4.1</w:t>
            </w:r>
          </w:p>
        </w:tc>
        <w:tc>
          <w:tcPr>
            <w:tcW w:type="dxa" w:w="3888"/>
          </w:tcPr>
          <w:p>
            <w:r/>
            <w:r>
              <w:rPr>
                <w:rFonts w:ascii="Calibri" w:hAnsi="Calibri"/>
                <w:color w:val="333333"/>
                <w:sz w:val="18"/>
              </w:rPr>
              <w:t>Narrative generation, summarization, Q&amp;A</w:t>
            </w:r>
          </w:p>
        </w:tc>
      </w:tr>
      <w:tr>
        <w:tc>
          <w:tcPr>
            <w:tcW w:type="dxa" w:w="2592"/>
            <w:shd w:fill="F2F6FC"/>
          </w:tcPr>
          <w:p>
            <w:r/>
            <w:r>
              <w:rPr>
                <w:rFonts w:ascii="Calibri" w:hAnsi="Calibri"/>
                <w:color w:val="333333"/>
                <w:sz w:val="18"/>
              </w:rPr>
              <w:t>Embedding Service</w:t>
            </w:r>
          </w:p>
        </w:tc>
        <w:tc>
          <w:tcPr>
            <w:tcW w:type="dxa" w:w="2880"/>
            <w:shd w:fill="F2F6FC"/>
          </w:tcPr>
          <w:p>
            <w:r/>
            <w:r>
              <w:rPr>
                <w:rFonts w:ascii="Calibri" w:hAnsi="Calibri"/>
                <w:color w:val="333333"/>
                <w:sz w:val="18"/>
              </w:rPr>
              <w:t>Azure OpenAI Embeddings</w:t>
            </w:r>
          </w:p>
        </w:tc>
        <w:tc>
          <w:tcPr>
            <w:tcW w:type="dxa" w:w="3888"/>
            <w:shd w:fill="F2F6FC"/>
          </w:tcPr>
          <w:p>
            <w:r/>
            <w:r>
              <w:rPr>
                <w:rFonts w:ascii="Calibri" w:hAnsi="Calibri"/>
                <w:color w:val="333333"/>
                <w:sz w:val="18"/>
              </w:rPr>
              <w:t>Document chunking and vector encoding</w:t>
            </w:r>
          </w:p>
        </w:tc>
      </w:tr>
      <w:tr>
        <w:tc>
          <w:tcPr>
            <w:tcW w:type="dxa" w:w="2592"/>
          </w:tcPr>
          <w:p>
            <w:r/>
            <w:r>
              <w:rPr>
                <w:rFonts w:ascii="Calibri" w:hAnsi="Calibri"/>
                <w:color w:val="333333"/>
                <w:sz w:val="18"/>
              </w:rPr>
              <w:t>Vector Search</w:t>
            </w:r>
          </w:p>
        </w:tc>
        <w:tc>
          <w:tcPr>
            <w:tcW w:type="dxa" w:w="2880"/>
          </w:tcPr>
          <w:p>
            <w:r/>
            <w:r>
              <w:rPr>
                <w:rFonts w:ascii="Calibri" w:hAnsi="Calibri"/>
                <w:color w:val="333333"/>
                <w:sz w:val="18"/>
              </w:rPr>
              <w:t>Azure AI Search</w:t>
            </w:r>
          </w:p>
        </w:tc>
        <w:tc>
          <w:tcPr>
            <w:tcW w:type="dxa" w:w="3888"/>
          </w:tcPr>
          <w:p>
            <w:r/>
            <w:r>
              <w:rPr>
                <w:rFonts w:ascii="Calibri" w:hAnsi="Calibri"/>
                <w:color w:val="333333"/>
                <w:sz w:val="18"/>
              </w:rPr>
              <w:t>Semantic document retrieval (RAG)</w:t>
            </w:r>
          </w:p>
        </w:tc>
      </w:tr>
      <w:tr>
        <w:tc>
          <w:tcPr>
            <w:tcW w:type="dxa" w:w="2592"/>
            <w:shd w:fill="F2F6FC"/>
          </w:tcPr>
          <w:p>
            <w:r/>
            <w:r>
              <w:rPr>
                <w:rFonts w:ascii="Calibri" w:hAnsi="Calibri"/>
                <w:color w:val="333333"/>
                <w:sz w:val="18"/>
              </w:rPr>
              <w:t>Structured Data</w:t>
            </w:r>
          </w:p>
        </w:tc>
        <w:tc>
          <w:tcPr>
            <w:tcW w:type="dxa" w:w="2880"/>
            <w:shd w:fill="F2F6FC"/>
          </w:tcPr>
          <w:p>
            <w:r/>
            <w:r>
              <w:rPr>
                <w:rFonts w:ascii="Calibri" w:hAnsi="Calibri"/>
                <w:color w:val="333333"/>
                <w:sz w:val="18"/>
              </w:rPr>
              <w:t>Azure SQL Database</w:t>
            </w:r>
          </w:p>
        </w:tc>
        <w:tc>
          <w:tcPr>
            <w:tcW w:type="dxa" w:w="3888"/>
            <w:shd w:fill="F2F6FC"/>
          </w:tcPr>
          <w:p>
            <w:r/>
            <w:r>
              <w:rPr>
                <w:rFonts w:ascii="Calibri" w:hAnsi="Calibri"/>
                <w:color w:val="333333"/>
                <w:sz w:val="18"/>
              </w:rPr>
              <w:t>Financial data, KPIs, organizational hierarchy</w:t>
            </w:r>
          </w:p>
        </w:tc>
      </w:tr>
      <w:tr>
        <w:tc>
          <w:tcPr>
            <w:tcW w:type="dxa" w:w="2592"/>
          </w:tcPr>
          <w:p>
            <w:r/>
            <w:r>
              <w:rPr>
                <w:rFonts w:ascii="Calibri" w:hAnsi="Calibri"/>
                <w:color w:val="333333"/>
                <w:sz w:val="18"/>
              </w:rPr>
              <w:t>Document Store</w:t>
            </w:r>
          </w:p>
        </w:tc>
        <w:tc>
          <w:tcPr>
            <w:tcW w:type="dxa" w:w="2880"/>
          </w:tcPr>
          <w:p>
            <w:r/>
            <w:r>
              <w:rPr>
                <w:rFonts w:ascii="Calibri" w:hAnsi="Calibri"/>
                <w:color w:val="333333"/>
                <w:sz w:val="18"/>
              </w:rPr>
              <w:t>Azure Blob Storage</w:t>
            </w:r>
          </w:p>
        </w:tc>
        <w:tc>
          <w:tcPr>
            <w:tcW w:type="dxa" w:w="3888"/>
          </w:tcPr>
          <w:p>
            <w:r/>
            <w:r>
              <w:rPr>
                <w:rFonts w:ascii="Calibri" w:hAnsi="Calibri"/>
                <w:color w:val="333333"/>
                <w:sz w:val="18"/>
              </w:rPr>
              <w:t>Raw PDFs, Excel files, generated reports</w:t>
            </w:r>
          </w:p>
        </w:tc>
      </w:tr>
      <w:tr>
        <w:tc>
          <w:tcPr>
            <w:tcW w:type="dxa" w:w="2592"/>
            <w:shd w:fill="F2F6FC"/>
          </w:tcPr>
          <w:p>
            <w:r/>
            <w:r>
              <w:rPr>
                <w:rFonts w:ascii="Calibri" w:hAnsi="Calibri"/>
                <w:color w:val="333333"/>
                <w:sz w:val="18"/>
              </w:rPr>
              <w:t>Cache</w:t>
            </w:r>
          </w:p>
        </w:tc>
        <w:tc>
          <w:tcPr>
            <w:tcW w:type="dxa" w:w="2880"/>
            <w:shd w:fill="F2F6FC"/>
          </w:tcPr>
          <w:p>
            <w:r/>
            <w:r>
              <w:rPr>
                <w:rFonts w:ascii="Calibri" w:hAnsi="Calibri"/>
                <w:color w:val="333333"/>
                <w:sz w:val="18"/>
              </w:rPr>
              <w:t>Azure Redis Cache</w:t>
            </w:r>
          </w:p>
        </w:tc>
        <w:tc>
          <w:tcPr>
            <w:tcW w:type="dxa" w:w="3888"/>
            <w:shd w:fill="F2F6FC"/>
          </w:tcPr>
          <w:p>
            <w:r/>
            <w:r>
              <w:rPr>
                <w:rFonts w:ascii="Calibri" w:hAnsi="Calibri"/>
                <w:color w:val="333333"/>
                <w:sz w:val="18"/>
              </w:rPr>
              <w:t>Generated report caching (&lt; 1s retrieval)</w:t>
            </w:r>
          </w:p>
        </w:tc>
      </w:tr>
      <w:tr>
        <w:tc>
          <w:tcPr>
            <w:tcW w:type="dxa" w:w="2592"/>
          </w:tcPr>
          <w:p>
            <w:r/>
            <w:r>
              <w:rPr>
                <w:rFonts w:ascii="Calibri" w:hAnsi="Calibri"/>
                <w:color w:val="333333"/>
                <w:sz w:val="18"/>
              </w:rPr>
              <w:t>Config &amp; Metadata</w:t>
            </w:r>
          </w:p>
        </w:tc>
        <w:tc>
          <w:tcPr>
            <w:tcW w:type="dxa" w:w="2880"/>
          </w:tcPr>
          <w:p>
            <w:r/>
            <w:r>
              <w:rPr>
                <w:rFonts w:ascii="Calibri" w:hAnsi="Calibri"/>
                <w:color w:val="333333"/>
                <w:sz w:val="18"/>
              </w:rPr>
              <w:t>Azure Cosmos DB</w:t>
            </w:r>
          </w:p>
        </w:tc>
        <w:tc>
          <w:tcPr>
            <w:tcW w:type="dxa" w:w="3888"/>
          </w:tcPr>
          <w:p>
            <w:r/>
            <w:r>
              <w:rPr>
                <w:rFonts w:ascii="Calibri" w:hAnsi="Calibri"/>
                <w:color w:val="333333"/>
                <w:sz w:val="18"/>
              </w:rPr>
              <w:t>Prompts, templates, audit logs, lineage</w:t>
            </w:r>
          </w:p>
        </w:tc>
      </w:tr>
      <w:tr>
        <w:tc>
          <w:tcPr>
            <w:tcW w:type="dxa" w:w="2592"/>
            <w:shd w:fill="F2F6FC"/>
          </w:tcPr>
          <w:p>
            <w:r/>
            <w:r>
              <w:rPr>
                <w:rFonts w:ascii="Calibri" w:hAnsi="Calibri"/>
                <w:color w:val="333333"/>
                <w:sz w:val="18"/>
              </w:rPr>
              <w:t>Job Queue</w:t>
            </w:r>
          </w:p>
        </w:tc>
        <w:tc>
          <w:tcPr>
            <w:tcW w:type="dxa" w:w="2880"/>
            <w:shd w:fill="F2F6FC"/>
          </w:tcPr>
          <w:p>
            <w:r/>
            <w:r>
              <w:rPr>
                <w:rFonts w:ascii="Calibri" w:hAnsi="Calibri"/>
                <w:color w:val="333333"/>
                <w:sz w:val="18"/>
              </w:rPr>
              <w:t>Azure Service Bus</w:t>
            </w:r>
          </w:p>
        </w:tc>
        <w:tc>
          <w:tcPr>
            <w:tcW w:type="dxa" w:w="3888"/>
            <w:shd w:fill="F2F6FC"/>
          </w:tcPr>
          <w:p>
            <w:r/>
            <w:r>
              <w:rPr>
                <w:rFonts w:ascii="Calibri" w:hAnsi="Calibri"/>
                <w:color w:val="333333"/>
                <w:sz w:val="18"/>
              </w:rPr>
              <w:t>Enterprise job board message broker</w:t>
            </w:r>
          </w:p>
        </w:tc>
      </w:tr>
      <w:tr>
        <w:tc>
          <w:tcPr>
            <w:tcW w:type="dxa" w:w="2592"/>
          </w:tcPr>
          <w:p>
            <w:r/>
            <w:r>
              <w:rPr>
                <w:rFonts w:ascii="Calibri" w:hAnsi="Calibri"/>
                <w:color w:val="333333"/>
                <w:sz w:val="18"/>
              </w:rPr>
              <w:t>Notifications</w:t>
            </w:r>
          </w:p>
        </w:tc>
        <w:tc>
          <w:tcPr>
            <w:tcW w:type="dxa" w:w="2880"/>
          </w:tcPr>
          <w:p>
            <w:r/>
            <w:r>
              <w:rPr>
                <w:rFonts w:ascii="Calibri" w:hAnsi="Calibri"/>
                <w:color w:val="333333"/>
                <w:sz w:val="18"/>
              </w:rPr>
              <w:t>Azure Logic Apps</w:t>
            </w:r>
          </w:p>
        </w:tc>
        <w:tc>
          <w:tcPr>
            <w:tcW w:type="dxa" w:w="3888"/>
          </w:tcPr>
          <w:p>
            <w:r/>
            <w:r>
              <w:rPr>
                <w:rFonts w:ascii="Calibri" w:hAnsi="Calibri"/>
                <w:color w:val="333333"/>
                <w:sz w:val="18"/>
              </w:rPr>
              <w:t>Email, Teams, webhook delivery</w:t>
            </w:r>
          </w:p>
        </w:tc>
      </w:tr>
      <w:tr>
        <w:tc>
          <w:tcPr>
            <w:tcW w:type="dxa" w:w="2592"/>
            <w:shd w:fill="F2F6FC"/>
          </w:tcPr>
          <w:p>
            <w:r/>
            <w:r>
              <w:rPr>
                <w:rFonts w:ascii="Calibri" w:hAnsi="Calibri"/>
                <w:color w:val="333333"/>
                <w:sz w:val="18"/>
              </w:rPr>
              <w:t>Identity</w:t>
            </w:r>
          </w:p>
        </w:tc>
        <w:tc>
          <w:tcPr>
            <w:tcW w:type="dxa" w:w="2880"/>
            <w:shd w:fill="F2F6FC"/>
          </w:tcPr>
          <w:p>
            <w:r/>
            <w:r>
              <w:rPr>
                <w:rFonts w:ascii="Calibri" w:hAnsi="Calibri"/>
                <w:color w:val="333333"/>
                <w:sz w:val="18"/>
              </w:rPr>
              <w:t>Azure Entra ID (AD)</w:t>
            </w:r>
          </w:p>
        </w:tc>
        <w:tc>
          <w:tcPr>
            <w:tcW w:type="dxa" w:w="3888"/>
            <w:shd w:fill="F2F6FC"/>
          </w:tcPr>
          <w:p>
            <w:r/>
            <w:r>
              <w:rPr>
                <w:rFonts w:ascii="Calibri" w:hAnsi="Calibri"/>
                <w:color w:val="333333"/>
                <w:sz w:val="18"/>
              </w:rPr>
              <w:t>SSO, RBAC, token management</w:t>
            </w:r>
          </w:p>
        </w:tc>
      </w:tr>
      <w:tr>
        <w:tc>
          <w:tcPr>
            <w:tcW w:type="dxa" w:w="2592"/>
          </w:tcPr>
          <w:p>
            <w:r/>
            <w:r>
              <w:rPr>
                <w:rFonts w:ascii="Calibri" w:hAnsi="Calibri"/>
                <w:color w:val="333333"/>
                <w:sz w:val="18"/>
              </w:rPr>
              <w:t>Monitoring</w:t>
            </w:r>
          </w:p>
        </w:tc>
        <w:tc>
          <w:tcPr>
            <w:tcW w:type="dxa" w:w="2880"/>
          </w:tcPr>
          <w:p>
            <w:r/>
            <w:r>
              <w:rPr>
                <w:rFonts w:ascii="Calibri" w:hAnsi="Calibri"/>
                <w:color w:val="333333"/>
                <w:sz w:val="18"/>
              </w:rPr>
              <w:t>Azure Monitor + App Insights</w:t>
            </w:r>
          </w:p>
        </w:tc>
        <w:tc>
          <w:tcPr>
            <w:tcW w:type="dxa" w:w="3888"/>
          </w:tcPr>
          <w:p>
            <w:r/>
            <w:r>
              <w:rPr>
                <w:rFonts w:ascii="Calibri" w:hAnsi="Calibri"/>
                <w:color w:val="333333"/>
                <w:sz w:val="18"/>
              </w:rPr>
              <w:t>Performance, errors, usage analytics</w:t>
            </w:r>
          </w:p>
        </w:tc>
      </w:tr>
      <w:tr>
        <w:tc>
          <w:tcPr>
            <w:tcW w:type="dxa" w:w="2592"/>
            <w:shd w:fill="F2F6FC"/>
          </w:tcPr>
          <w:p>
            <w:r/>
            <w:r>
              <w:rPr>
                <w:rFonts w:ascii="Calibri" w:hAnsi="Calibri"/>
                <w:color w:val="333333"/>
                <w:sz w:val="18"/>
              </w:rPr>
              <w:t>Forecasting API</w:t>
            </w:r>
          </w:p>
        </w:tc>
        <w:tc>
          <w:tcPr>
            <w:tcW w:type="dxa" w:w="2880"/>
            <w:shd w:fill="F2F6FC"/>
          </w:tcPr>
          <w:p>
            <w:r/>
            <w:r>
              <w:rPr>
                <w:rFonts w:ascii="Calibri" w:hAnsi="Calibri"/>
                <w:color w:val="333333"/>
                <w:sz w:val="18"/>
              </w:rPr>
              <w:t>Amira Platform (external)</w:t>
            </w:r>
          </w:p>
        </w:tc>
        <w:tc>
          <w:tcPr>
            <w:tcW w:type="dxa" w:w="3888"/>
            <w:shd w:fill="F2F6FC"/>
          </w:tcPr>
          <w:p>
            <w:r/>
            <w:r>
              <w:rPr>
                <w:rFonts w:ascii="Calibri" w:hAnsi="Calibri"/>
                <w:color w:val="333333"/>
                <w:sz w:val="18"/>
              </w:rPr>
              <w:t>Forward-looking projections</w:t>
            </w:r>
          </w:p>
        </w:tc>
      </w:tr>
      <w:tr>
        <w:tc>
          <w:tcPr>
            <w:tcW w:type="dxa" w:w="2592"/>
          </w:tcPr>
          <w:p>
            <w:r/>
            <w:r>
              <w:rPr>
                <w:rFonts w:ascii="Calibri" w:hAnsi="Calibri"/>
                <w:color w:val="333333"/>
                <w:sz w:val="18"/>
              </w:rPr>
              <w:t>Marketing API</w:t>
            </w:r>
          </w:p>
        </w:tc>
        <w:tc>
          <w:tcPr>
            <w:tcW w:type="dxa" w:w="2880"/>
          </w:tcPr>
          <w:p>
            <w:r/>
            <w:r>
              <w:rPr>
                <w:rFonts w:ascii="Calibri" w:hAnsi="Calibri"/>
                <w:color w:val="333333"/>
                <w:sz w:val="18"/>
              </w:rPr>
              <w:t>Amira Platform (external)</w:t>
            </w:r>
          </w:p>
        </w:tc>
        <w:tc>
          <w:tcPr>
            <w:tcW w:type="dxa" w:w="3888"/>
          </w:tcPr>
          <w:p>
            <w:r/>
            <w:r>
              <w:rPr>
                <w:rFonts w:ascii="Calibri" w:hAnsi="Calibri"/>
                <w:color w:val="333333"/>
                <w:sz w:val="18"/>
              </w:rPr>
              <w:t>Marketing spend and ROI data</w:t>
            </w:r>
          </w:p>
        </w:tc>
      </w:tr>
    </w:tbl>
    <w:p/>
    <w:p>
      <w:pPr>
        <w:pStyle w:val="Heading2"/>
      </w:pPr>
      <w:r>
        <w:t>5.3 Data Flows</w:t>
      </w:r>
    </w:p>
    <w:p>
      <w:pPr>
        <w:spacing w:after="120"/>
      </w:pPr>
      <w:r>
        <w:rPr>
          <w:b/>
        </w:rPr>
        <w:t>Flow 1: Period End Summary Generation</w:t>
      </w:r>
    </w:p>
    <w:p>
      <w:pPr>
        <w:pStyle w:val="ListNumber"/>
        <w:spacing w:after="40"/>
      </w:pPr>
      <w:r>
        <w:t>User selects organizational unit, period, year, and output format</w:t>
      </w:r>
    </w:p>
    <w:p>
      <w:pPr>
        <w:pStyle w:val="ListNumber"/>
        <w:spacing w:after="40"/>
      </w:pPr>
      <w:r>
        <w:t>System checks Redis cache for existing summary</w:t>
      </w:r>
    </w:p>
    <w:p>
      <w:pPr>
        <w:pStyle w:val="ListNumber"/>
        <w:spacing w:after="40"/>
      </w:pPr>
      <w:r>
        <w:t>If cache miss: retrieves Excel file from Blob Storage, loads into pandas DataFrames</w:t>
      </w:r>
    </w:p>
    <w:p>
      <w:pPr>
        <w:pStyle w:val="ListNumber"/>
        <w:spacing w:after="40"/>
      </w:pPr>
      <w:r>
        <w:t>Data preprocessing: column renaming, KPI mapping, unit filtering, derived metric calculations</w:t>
      </w:r>
    </w:p>
    <w:p>
      <w:pPr>
        <w:pStyle w:val="ListNumber"/>
        <w:spacing w:after="40"/>
      </w:pPr>
      <w:r>
        <w:t>Data converted to structured Markdown tables</w:t>
      </w:r>
    </w:p>
    <w:p>
      <w:pPr>
        <w:pStyle w:val="ListNumber"/>
        <w:spacing w:after="40"/>
      </w:pPr>
      <w:r>
        <w:t>Six parallel LLM calls (one per KPI) via LangGraph, each with tailored prompt</w:t>
      </w:r>
    </w:p>
    <w:p>
      <w:pPr>
        <w:pStyle w:val="ListNumber"/>
        <w:spacing w:after="40"/>
      </w:pPr>
      <w:r>
        <w:t>Trend analysis: multi-period data loaded, trend taglines generated</w:t>
      </w:r>
    </w:p>
    <w:p>
      <w:pPr>
        <w:pStyle w:val="ListNumber"/>
        <w:spacing w:after="40"/>
      </w:pPr>
      <w:r>
        <w:t>Six KPI narratives + trend taglines combined into unified Executive Summary</w:t>
      </w:r>
    </w:p>
    <w:p>
      <w:pPr>
        <w:pStyle w:val="ListNumber"/>
        <w:spacing w:after="40"/>
      </w:pPr>
      <w:r>
        <w:t>HTML KPI tables appended for data verification</w:t>
      </w:r>
    </w:p>
    <w:p>
      <w:pPr>
        <w:pStyle w:val="ListNumber"/>
        <w:spacing w:after="40"/>
      </w:pPr>
      <w:r>
        <w:t>Result cached in Redis (JSON) and streamed to frontend via SSE</w:t>
      </w:r>
    </w:p>
    <w:p>
      <w:pPr>
        <w:spacing w:after="120"/>
      </w:pPr>
      <w:r>
        <w:rPr>
          <w:b/>
        </w:rPr>
        <w:t>Flow 2: Ad-Hoc Query with Forecast Enrichment</w:t>
      </w:r>
    </w:p>
    <w:p>
      <w:pPr>
        <w:pStyle w:val="ListNumber"/>
        <w:spacing w:after="40"/>
      </w:pPr>
      <w:r>
        <w:t>User submits natural language query via chat interface</w:t>
      </w:r>
    </w:p>
    <w:p>
      <w:pPr>
        <w:pStyle w:val="ListNumber"/>
        <w:spacing w:after="40"/>
      </w:pPr>
      <w:r>
        <w:t>Query intent classifier determines type: factual, comparison, trend, recommendation</w:t>
      </w:r>
    </w:p>
    <w:p>
      <w:pPr>
        <w:pStyle w:val="ListNumber"/>
        <w:spacing w:after="40"/>
      </w:pPr>
      <w:r>
        <w:t>For factual/comparison: relevant data retrieved from SQL (internal) and/or AI Search (external)</w:t>
      </w:r>
    </w:p>
    <w:p>
      <w:pPr>
        <w:pStyle w:val="ListNumber"/>
        <w:spacing w:after="40"/>
      </w:pPr>
      <w:r>
        <w:t>LLM generates structured answer with source references</w:t>
      </w:r>
    </w:p>
    <w:p>
      <w:pPr>
        <w:pStyle w:val="ListNumber"/>
        <w:spacing w:after="40"/>
      </w:pPr>
      <w:r>
        <w:t>If forecast enrichment enabled: Amira Forecasting API called with relevant parameters</w:t>
      </w:r>
    </w:p>
    <w:p>
      <w:pPr>
        <w:pStyle w:val="ListNumber"/>
        <w:spacing w:after="40"/>
      </w:pPr>
      <w:r>
        <w:t>If marketing data relevant: Amira Marketing Analytics API called</w:t>
      </w:r>
    </w:p>
    <w:p>
      <w:pPr>
        <w:pStyle w:val="ListNumber"/>
        <w:spacing w:after="40"/>
      </w:pPr>
      <w:r>
        <w:t>Combined response with historical data + forecast + marketing insights returned</w:t>
      </w:r>
    </w:p>
    <w:p>
      <w:pPr>
        <w:pStyle w:val="ListNumber"/>
        <w:spacing w:after="40"/>
      </w:pPr>
      <w:r>
        <w:t>Sources, confidence levels, and data freshness indicators displayed</w:t>
      </w:r>
    </w:p>
    <w:p>
      <w:pPr>
        <w:spacing w:after="120"/>
      </w:pPr>
      <w:r>
        <w:rPr>
          <w:b/>
        </w:rPr>
        <w:t>Flow 3: Agent Job Processing</w:t>
      </w:r>
    </w:p>
    <w:p>
      <w:pPr>
        <w:pStyle w:val="ListNumber"/>
        <w:spacing w:after="40"/>
      </w:pPr>
      <w:r>
        <w:t>User submits job via UI, email, or API with priority and deadline</w:t>
      </w:r>
    </w:p>
    <w:p>
      <w:pPr>
        <w:pStyle w:val="ListNumber"/>
        <w:spacing w:after="40"/>
      </w:pPr>
      <w:r>
        <w:t>Job enters Azure Service Bus queue with metadata (type, priority, SLA target)</w:t>
      </w:r>
    </w:p>
    <w:p>
      <w:pPr>
        <w:pStyle w:val="ListNumber"/>
        <w:spacing w:after="40"/>
      </w:pPr>
      <w:r>
        <w:t>Scheduler assigns job to appropriate specialized agent based on query type</w:t>
      </w:r>
    </w:p>
    <w:p>
      <w:pPr>
        <w:pStyle w:val="ListNumber"/>
        <w:spacing w:after="40"/>
      </w:pPr>
      <w:r>
        <w:t>Agent retrieves relevant data, executes analysis, generates draft output</w:t>
      </w:r>
    </w:p>
    <w:p>
      <w:pPr>
        <w:pStyle w:val="ListNumber"/>
        <w:spacing w:after="40"/>
      </w:pPr>
      <w:r>
        <w:t>If review workflow enabled: draft routed to designated reviewer</w:t>
      </w:r>
    </w:p>
    <w:p>
      <w:pPr>
        <w:pStyle w:val="ListNumber"/>
        <w:spacing w:after="40"/>
      </w:pPr>
      <w:r>
        <w:t>Completed job stored in database, notification sent to requestor</w:t>
      </w:r>
    </w:p>
    <w:p>
      <w:pPr>
        <w:pStyle w:val="ListNumber"/>
        <w:spacing w:after="40"/>
      </w:pPr>
      <w:r>
        <w:t>Job metrics updated (processing time, SLA compliance, agent utilization)</w:t>
      </w:r>
    </w:p>
    <w:p>
      <w:r>
        <w:br w:type="page"/>
      </w:r>
    </w:p>
    <w:p>
      <w:pPr>
        <w:pStyle w:val="Heading1"/>
      </w:pPr>
      <w:r>
        <w:t>6. Deployment &amp; Infrastructure</w:t>
      </w:r>
    </w:p>
    <w:p>
      <w:pPr>
        <w:pStyle w:val="Heading2"/>
      </w:pPr>
      <w:r>
        <w:t>6.1 Infrastructure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Component</w:t>
            </w:r>
          </w:p>
        </w:tc>
        <w:tc>
          <w:tcPr>
            <w:tcW w:type="dxa" w:w="2880"/>
            <w:shd w:fill="1A56DB"/>
          </w:tcPr>
          <w:p>
            <w:r/>
            <w:r>
              <w:rPr>
                <w:rFonts w:ascii="Calibri" w:hAnsi="Calibri"/>
                <w:b/>
                <w:color w:val="FFFFFF"/>
                <w:sz w:val="20"/>
              </w:rPr>
              <w:t>Azure Service</w:t>
            </w:r>
          </w:p>
        </w:tc>
        <w:tc>
          <w:tcPr>
            <w:tcW w:type="dxa" w:w="4320"/>
            <w:shd w:fill="1A56DB"/>
          </w:tcPr>
          <w:p>
            <w:r/>
            <w:r>
              <w:rPr>
                <w:rFonts w:ascii="Calibri" w:hAnsi="Calibri"/>
                <w:b/>
                <w:color w:val="FFFFFF"/>
                <w:sz w:val="20"/>
              </w:rPr>
              <w:t>SKU / Configuration</w:t>
            </w:r>
          </w:p>
        </w:tc>
      </w:tr>
      <w:tr>
        <w:tc>
          <w:tcPr>
            <w:tcW w:type="dxa" w:w="2160"/>
          </w:tcPr>
          <w:p>
            <w:r/>
            <w:r>
              <w:rPr>
                <w:rFonts w:ascii="Calibri" w:hAnsi="Calibri"/>
                <w:color w:val="333333"/>
                <w:sz w:val="18"/>
              </w:rPr>
              <w:t>Web Application</w:t>
            </w:r>
          </w:p>
        </w:tc>
        <w:tc>
          <w:tcPr>
            <w:tcW w:type="dxa" w:w="2880"/>
          </w:tcPr>
          <w:p>
            <w:r/>
            <w:r>
              <w:rPr>
                <w:rFonts w:ascii="Calibri" w:hAnsi="Calibri"/>
                <w:color w:val="333333"/>
                <w:sz w:val="18"/>
              </w:rPr>
              <w:t>Azure App Service</w:t>
            </w:r>
          </w:p>
        </w:tc>
        <w:tc>
          <w:tcPr>
            <w:tcW w:type="dxa" w:w="4320"/>
          </w:tcPr>
          <w:p>
            <w:r/>
            <w:r>
              <w:rPr>
                <w:rFonts w:ascii="Calibri" w:hAnsi="Calibri"/>
                <w:color w:val="333333"/>
                <w:sz w:val="18"/>
              </w:rPr>
              <w:t>Premium v3 P2v3 (2 instances)</w:t>
            </w:r>
          </w:p>
        </w:tc>
      </w:tr>
      <w:tr>
        <w:tc>
          <w:tcPr>
            <w:tcW w:type="dxa" w:w="2160"/>
            <w:shd w:fill="F2F6FC"/>
          </w:tcPr>
          <w:p>
            <w:r/>
            <w:r>
              <w:rPr>
                <w:rFonts w:ascii="Calibri" w:hAnsi="Calibri"/>
                <w:color w:val="333333"/>
                <w:sz w:val="18"/>
              </w:rPr>
              <w:t>API Gateway</w:t>
            </w:r>
          </w:p>
        </w:tc>
        <w:tc>
          <w:tcPr>
            <w:tcW w:type="dxa" w:w="2880"/>
            <w:shd w:fill="F2F6FC"/>
          </w:tcPr>
          <w:p>
            <w:r/>
            <w:r>
              <w:rPr>
                <w:rFonts w:ascii="Calibri" w:hAnsi="Calibri"/>
                <w:color w:val="333333"/>
                <w:sz w:val="18"/>
              </w:rPr>
              <w:t>Azure API Management</w:t>
            </w:r>
          </w:p>
        </w:tc>
        <w:tc>
          <w:tcPr>
            <w:tcW w:type="dxa" w:w="4320"/>
            <w:shd w:fill="F2F6FC"/>
          </w:tcPr>
          <w:p>
            <w:r/>
            <w:r>
              <w:rPr>
                <w:rFonts w:ascii="Calibri" w:hAnsi="Calibri"/>
                <w:color w:val="333333"/>
                <w:sz w:val="18"/>
              </w:rPr>
              <w:t>Standard tier</w:t>
            </w:r>
          </w:p>
        </w:tc>
      </w:tr>
      <w:tr>
        <w:tc>
          <w:tcPr>
            <w:tcW w:type="dxa" w:w="2160"/>
          </w:tcPr>
          <w:p>
            <w:r/>
            <w:r>
              <w:rPr>
                <w:rFonts w:ascii="Calibri" w:hAnsi="Calibri"/>
                <w:color w:val="333333"/>
                <w:sz w:val="18"/>
              </w:rPr>
              <w:t>Orchestration Workers</w:t>
            </w:r>
          </w:p>
        </w:tc>
        <w:tc>
          <w:tcPr>
            <w:tcW w:type="dxa" w:w="2880"/>
          </w:tcPr>
          <w:p>
            <w:r/>
            <w:r>
              <w:rPr>
                <w:rFonts w:ascii="Calibri" w:hAnsi="Calibri"/>
                <w:color w:val="333333"/>
                <w:sz w:val="18"/>
              </w:rPr>
              <w:t>Azure Container Apps</w:t>
            </w:r>
          </w:p>
        </w:tc>
        <w:tc>
          <w:tcPr>
            <w:tcW w:type="dxa" w:w="4320"/>
          </w:tcPr>
          <w:p>
            <w:r/>
            <w:r>
              <w:rPr>
                <w:rFonts w:ascii="Calibri" w:hAnsi="Calibri"/>
                <w:color w:val="333333"/>
                <w:sz w:val="18"/>
              </w:rPr>
              <w:t>4 vCPU, 8GB RAM (auto-scale 2-10)</w:t>
            </w:r>
          </w:p>
        </w:tc>
      </w:tr>
      <w:tr>
        <w:tc>
          <w:tcPr>
            <w:tcW w:type="dxa" w:w="2160"/>
            <w:shd w:fill="F2F6FC"/>
          </w:tcPr>
          <w:p>
            <w:r/>
            <w:r>
              <w:rPr>
                <w:rFonts w:ascii="Calibri" w:hAnsi="Calibri"/>
                <w:color w:val="333333"/>
                <w:sz w:val="18"/>
              </w:rPr>
              <w:t>Agent Pool</w:t>
            </w:r>
          </w:p>
        </w:tc>
        <w:tc>
          <w:tcPr>
            <w:tcW w:type="dxa" w:w="2880"/>
            <w:shd w:fill="F2F6FC"/>
          </w:tcPr>
          <w:p>
            <w:r/>
            <w:r>
              <w:rPr>
                <w:rFonts w:ascii="Calibri" w:hAnsi="Calibri"/>
                <w:color w:val="333333"/>
                <w:sz w:val="18"/>
              </w:rPr>
              <w:t>Azure Container Apps</w:t>
            </w:r>
          </w:p>
        </w:tc>
        <w:tc>
          <w:tcPr>
            <w:tcW w:type="dxa" w:w="4320"/>
            <w:shd w:fill="F2F6FC"/>
          </w:tcPr>
          <w:p>
            <w:r/>
            <w:r>
              <w:rPr>
                <w:rFonts w:ascii="Calibri" w:hAnsi="Calibri"/>
                <w:color w:val="333333"/>
                <w:sz w:val="18"/>
              </w:rPr>
              <w:t>4 vCPU, 16GB RAM (auto-scale 5-50)</w:t>
            </w:r>
          </w:p>
        </w:tc>
      </w:tr>
      <w:tr>
        <w:tc>
          <w:tcPr>
            <w:tcW w:type="dxa" w:w="2160"/>
          </w:tcPr>
          <w:p>
            <w:r/>
            <w:r>
              <w:rPr>
                <w:rFonts w:ascii="Calibri" w:hAnsi="Calibri"/>
                <w:color w:val="333333"/>
                <w:sz w:val="18"/>
              </w:rPr>
              <w:t>LLM Service</w:t>
            </w:r>
          </w:p>
        </w:tc>
        <w:tc>
          <w:tcPr>
            <w:tcW w:type="dxa" w:w="2880"/>
          </w:tcPr>
          <w:p>
            <w:r/>
            <w:r>
              <w:rPr>
                <w:rFonts w:ascii="Calibri" w:hAnsi="Calibri"/>
                <w:color w:val="333333"/>
                <w:sz w:val="18"/>
              </w:rPr>
              <w:t>Azure OpenAI</w:t>
            </w:r>
          </w:p>
        </w:tc>
        <w:tc>
          <w:tcPr>
            <w:tcW w:type="dxa" w:w="4320"/>
          </w:tcPr>
          <w:p>
            <w:r/>
            <w:r>
              <w:rPr>
                <w:rFonts w:ascii="Calibri" w:hAnsi="Calibri"/>
                <w:color w:val="333333"/>
                <w:sz w:val="18"/>
              </w:rPr>
              <w:t>GPT-4.1 provisioned throughput (100K tokens/min)</w:t>
            </w:r>
          </w:p>
        </w:tc>
      </w:tr>
      <w:tr>
        <w:tc>
          <w:tcPr>
            <w:tcW w:type="dxa" w:w="2160"/>
            <w:shd w:fill="F2F6FC"/>
          </w:tcPr>
          <w:p>
            <w:r/>
            <w:r>
              <w:rPr>
                <w:rFonts w:ascii="Calibri" w:hAnsi="Calibri"/>
                <w:color w:val="333333"/>
                <w:sz w:val="18"/>
              </w:rPr>
              <w:t>Embedding Service</w:t>
            </w:r>
          </w:p>
        </w:tc>
        <w:tc>
          <w:tcPr>
            <w:tcW w:type="dxa" w:w="2880"/>
            <w:shd w:fill="F2F6FC"/>
          </w:tcPr>
          <w:p>
            <w:r/>
            <w:r>
              <w:rPr>
                <w:rFonts w:ascii="Calibri" w:hAnsi="Calibri"/>
                <w:color w:val="333333"/>
                <w:sz w:val="18"/>
              </w:rPr>
              <w:t>Azure OpenAI</w:t>
            </w:r>
          </w:p>
        </w:tc>
        <w:tc>
          <w:tcPr>
            <w:tcW w:type="dxa" w:w="4320"/>
            <w:shd w:fill="F2F6FC"/>
          </w:tcPr>
          <w:p>
            <w:r/>
            <w:r>
              <w:rPr>
                <w:rFonts w:ascii="Calibri" w:hAnsi="Calibri"/>
                <w:color w:val="333333"/>
                <w:sz w:val="18"/>
              </w:rPr>
              <w:t>text-embedding-3-large</w:t>
            </w:r>
          </w:p>
        </w:tc>
      </w:tr>
      <w:tr>
        <w:tc>
          <w:tcPr>
            <w:tcW w:type="dxa" w:w="2160"/>
          </w:tcPr>
          <w:p>
            <w:r/>
            <w:r>
              <w:rPr>
                <w:rFonts w:ascii="Calibri" w:hAnsi="Calibri"/>
                <w:color w:val="333333"/>
                <w:sz w:val="18"/>
              </w:rPr>
              <w:t>Vector Search</w:t>
            </w:r>
          </w:p>
        </w:tc>
        <w:tc>
          <w:tcPr>
            <w:tcW w:type="dxa" w:w="2880"/>
          </w:tcPr>
          <w:p>
            <w:r/>
            <w:r>
              <w:rPr>
                <w:rFonts w:ascii="Calibri" w:hAnsi="Calibri"/>
                <w:color w:val="333333"/>
                <w:sz w:val="18"/>
              </w:rPr>
              <w:t>Azure AI Search</w:t>
            </w:r>
          </w:p>
        </w:tc>
        <w:tc>
          <w:tcPr>
            <w:tcW w:type="dxa" w:w="4320"/>
          </w:tcPr>
          <w:p>
            <w:r/>
            <w:r>
              <w:rPr>
                <w:rFonts w:ascii="Calibri" w:hAnsi="Calibri"/>
                <w:color w:val="333333"/>
                <w:sz w:val="18"/>
              </w:rPr>
              <w:t>Standard S1 (3 replicas)</w:t>
            </w:r>
          </w:p>
        </w:tc>
      </w:tr>
      <w:tr>
        <w:tc>
          <w:tcPr>
            <w:tcW w:type="dxa" w:w="2160"/>
            <w:shd w:fill="F2F6FC"/>
          </w:tcPr>
          <w:p>
            <w:r/>
            <w:r>
              <w:rPr>
                <w:rFonts w:ascii="Calibri" w:hAnsi="Calibri"/>
                <w:color w:val="333333"/>
                <w:sz w:val="18"/>
              </w:rPr>
              <w:t>SQL Database</w:t>
            </w:r>
          </w:p>
        </w:tc>
        <w:tc>
          <w:tcPr>
            <w:tcW w:type="dxa" w:w="2880"/>
            <w:shd w:fill="F2F6FC"/>
          </w:tcPr>
          <w:p>
            <w:r/>
            <w:r>
              <w:rPr>
                <w:rFonts w:ascii="Calibri" w:hAnsi="Calibri"/>
                <w:color w:val="333333"/>
                <w:sz w:val="18"/>
              </w:rPr>
              <w:t>Azure SQL Database</w:t>
            </w:r>
          </w:p>
        </w:tc>
        <w:tc>
          <w:tcPr>
            <w:tcW w:type="dxa" w:w="4320"/>
            <w:shd w:fill="F2F6FC"/>
          </w:tcPr>
          <w:p>
            <w:r/>
            <w:r>
              <w:rPr>
                <w:rFonts w:ascii="Calibri" w:hAnsi="Calibri"/>
                <w:color w:val="333333"/>
                <w:sz w:val="18"/>
              </w:rPr>
              <w:t>Business Critical, 8 vCores</w:t>
            </w:r>
          </w:p>
        </w:tc>
      </w:tr>
      <w:tr>
        <w:tc>
          <w:tcPr>
            <w:tcW w:type="dxa" w:w="2160"/>
          </w:tcPr>
          <w:p>
            <w:r/>
            <w:r>
              <w:rPr>
                <w:rFonts w:ascii="Calibri" w:hAnsi="Calibri"/>
                <w:color w:val="333333"/>
                <w:sz w:val="18"/>
              </w:rPr>
              <w:t>Cache</w:t>
            </w:r>
          </w:p>
        </w:tc>
        <w:tc>
          <w:tcPr>
            <w:tcW w:type="dxa" w:w="2880"/>
          </w:tcPr>
          <w:p>
            <w:r/>
            <w:r>
              <w:rPr>
                <w:rFonts w:ascii="Calibri" w:hAnsi="Calibri"/>
                <w:color w:val="333333"/>
                <w:sz w:val="18"/>
              </w:rPr>
              <w:t>Azure Redis Cache</w:t>
            </w:r>
          </w:p>
        </w:tc>
        <w:tc>
          <w:tcPr>
            <w:tcW w:type="dxa" w:w="4320"/>
          </w:tcPr>
          <w:p>
            <w:r/>
            <w:r>
              <w:rPr>
                <w:rFonts w:ascii="Calibri" w:hAnsi="Calibri"/>
                <w:color w:val="333333"/>
                <w:sz w:val="18"/>
              </w:rPr>
              <w:t>Premium P1 (6GB)</w:t>
            </w:r>
          </w:p>
        </w:tc>
      </w:tr>
      <w:tr>
        <w:tc>
          <w:tcPr>
            <w:tcW w:type="dxa" w:w="2160"/>
            <w:shd w:fill="F2F6FC"/>
          </w:tcPr>
          <w:p>
            <w:r/>
            <w:r>
              <w:rPr>
                <w:rFonts w:ascii="Calibri" w:hAnsi="Calibri"/>
                <w:color w:val="333333"/>
                <w:sz w:val="18"/>
              </w:rPr>
              <w:t>Document Store</w:t>
            </w:r>
          </w:p>
        </w:tc>
        <w:tc>
          <w:tcPr>
            <w:tcW w:type="dxa" w:w="2880"/>
            <w:shd w:fill="F2F6FC"/>
          </w:tcPr>
          <w:p>
            <w:r/>
            <w:r>
              <w:rPr>
                <w:rFonts w:ascii="Calibri" w:hAnsi="Calibri"/>
                <w:color w:val="333333"/>
                <w:sz w:val="18"/>
              </w:rPr>
              <w:t>Azure Blob Storage</w:t>
            </w:r>
          </w:p>
        </w:tc>
        <w:tc>
          <w:tcPr>
            <w:tcW w:type="dxa" w:w="4320"/>
            <w:shd w:fill="F2F6FC"/>
          </w:tcPr>
          <w:p>
            <w:r/>
            <w:r>
              <w:rPr>
                <w:rFonts w:ascii="Calibri" w:hAnsi="Calibri"/>
                <w:color w:val="333333"/>
                <w:sz w:val="18"/>
              </w:rPr>
              <w:t>Hot tier, 1TB</w:t>
            </w:r>
          </w:p>
        </w:tc>
      </w:tr>
      <w:tr>
        <w:tc>
          <w:tcPr>
            <w:tcW w:type="dxa" w:w="2160"/>
          </w:tcPr>
          <w:p>
            <w:r/>
            <w:r>
              <w:rPr>
                <w:rFonts w:ascii="Calibri" w:hAnsi="Calibri"/>
                <w:color w:val="333333"/>
                <w:sz w:val="18"/>
              </w:rPr>
              <w:t>Metadata Store</w:t>
            </w:r>
          </w:p>
        </w:tc>
        <w:tc>
          <w:tcPr>
            <w:tcW w:type="dxa" w:w="2880"/>
          </w:tcPr>
          <w:p>
            <w:r/>
            <w:r>
              <w:rPr>
                <w:rFonts w:ascii="Calibri" w:hAnsi="Calibri"/>
                <w:color w:val="333333"/>
                <w:sz w:val="18"/>
              </w:rPr>
              <w:t>Azure Cosmos DB</w:t>
            </w:r>
          </w:p>
        </w:tc>
        <w:tc>
          <w:tcPr>
            <w:tcW w:type="dxa" w:w="4320"/>
          </w:tcPr>
          <w:p>
            <w:r/>
            <w:r>
              <w:rPr>
                <w:rFonts w:ascii="Calibri" w:hAnsi="Calibri"/>
                <w:color w:val="333333"/>
                <w:sz w:val="18"/>
              </w:rPr>
              <w:t>Serverless, 1000 RU/s</w:t>
            </w:r>
          </w:p>
        </w:tc>
      </w:tr>
      <w:tr>
        <w:tc>
          <w:tcPr>
            <w:tcW w:type="dxa" w:w="2160"/>
            <w:shd w:fill="F2F6FC"/>
          </w:tcPr>
          <w:p>
            <w:r/>
            <w:r>
              <w:rPr>
                <w:rFonts w:ascii="Calibri" w:hAnsi="Calibri"/>
                <w:color w:val="333333"/>
                <w:sz w:val="18"/>
              </w:rPr>
              <w:t>Message Queue</w:t>
            </w:r>
          </w:p>
        </w:tc>
        <w:tc>
          <w:tcPr>
            <w:tcW w:type="dxa" w:w="2880"/>
            <w:shd w:fill="F2F6FC"/>
          </w:tcPr>
          <w:p>
            <w:r/>
            <w:r>
              <w:rPr>
                <w:rFonts w:ascii="Calibri" w:hAnsi="Calibri"/>
                <w:color w:val="333333"/>
                <w:sz w:val="18"/>
              </w:rPr>
              <w:t>Azure Service Bus</w:t>
            </w:r>
          </w:p>
        </w:tc>
        <w:tc>
          <w:tcPr>
            <w:tcW w:type="dxa" w:w="4320"/>
            <w:shd w:fill="F2F6FC"/>
          </w:tcPr>
          <w:p>
            <w:r/>
            <w:r>
              <w:rPr>
                <w:rFonts w:ascii="Calibri" w:hAnsi="Calibri"/>
                <w:color w:val="333333"/>
                <w:sz w:val="18"/>
              </w:rPr>
              <w:t>Premium (1 messaging unit)</w:t>
            </w:r>
          </w:p>
        </w:tc>
      </w:tr>
      <w:tr>
        <w:tc>
          <w:tcPr>
            <w:tcW w:type="dxa" w:w="2160"/>
          </w:tcPr>
          <w:p>
            <w:r/>
            <w:r>
              <w:rPr>
                <w:rFonts w:ascii="Calibri" w:hAnsi="Calibri"/>
                <w:color w:val="333333"/>
                <w:sz w:val="18"/>
              </w:rPr>
              <w:t>Monitoring</w:t>
            </w:r>
          </w:p>
        </w:tc>
        <w:tc>
          <w:tcPr>
            <w:tcW w:type="dxa" w:w="2880"/>
          </w:tcPr>
          <w:p>
            <w:r/>
            <w:r>
              <w:rPr>
                <w:rFonts w:ascii="Calibri" w:hAnsi="Calibri"/>
                <w:color w:val="333333"/>
                <w:sz w:val="18"/>
              </w:rPr>
              <w:t>Azure Monitor + App Insights</w:t>
            </w:r>
          </w:p>
        </w:tc>
        <w:tc>
          <w:tcPr>
            <w:tcW w:type="dxa" w:w="4320"/>
          </w:tcPr>
          <w:p>
            <w:r/>
            <w:r>
              <w:rPr>
                <w:rFonts w:ascii="Calibri" w:hAnsi="Calibri"/>
                <w:color w:val="333333"/>
                <w:sz w:val="18"/>
              </w:rPr>
              <w:t>Standard</w:t>
            </w:r>
          </w:p>
        </w:tc>
      </w:tr>
      <w:tr>
        <w:tc>
          <w:tcPr>
            <w:tcW w:type="dxa" w:w="2160"/>
            <w:shd w:fill="F2F6FC"/>
          </w:tcPr>
          <w:p>
            <w:r/>
            <w:r>
              <w:rPr>
                <w:rFonts w:ascii="Calibri" w:hAnsi="Calibri"/>
                <w:color w:val="333333"/>
                <w:sz w:val="18"/>
              </w:rPr>
              <w:t>Key Vault</w:t>
            </w:r>
          </w:p>
        </w:tc>
        <w:tc>
          <w:tcPr>
            <w:tcW w:type="dxa" w:w="2880"/>
            <w:shd w:fill="F2F6FC"/>
          </w:tcPr>
          <w:p>
            <w:r/>
            <w:r>
              <w:rPr>
                <w:rFonts w:ascii="Calibri" w:hAnsi="Calibri"/>
                <w:color w:val="333333"/>
                <w:sz w:val="18"/>
              </w:rPr>
              <w:t>Azure Key Vault</w:t>
            </w:r>
          </w:p>
        </w:tc>
        <w:tc>
          <w:tcPr>
            <w:tcW w:type="dxa" w:w="4320"/>
            <w:shd w:fill="F2F6FC"/>
          </w:tcPr>
          <w:p>
            <w:r/>
            <w:r>
              <w:rPr>
                <w:rFonts w:ascii="Calibri" w:hAnsi="Calibri"/>
                <w:color w:val="333333"/>
                <w:sz w:val="18"/>
              </w:rPr>
              <w:t>Standard</w:t>
            </w:r>
          </w:p>
        </w:tc>
      </w:tr>
    </w:tbl>
    <w:p/>
    <w:p>
      <w:pPr>
        <w:pStyle w:val="Heading2"/>
      </w:pPr>
      <w:r>
        <w:t>6.2 Deployment Model</w:t>
      </w:r>
    </w:p>
    <w:p>
      <w:pPr>
        <w:pStyle w:val="ListBullet"/>
        <w:spacing w:after="40"/>
      </w:pPr>
      <w:r>
        <w:t>CI/CD via Azure DevOps or GitHub Actions</w:t>
      </w:r>
    </w:p>
    <w:p>
      <w:pPr>
        <w:pStyle w:val="ListBullet"/>
        <w:spacing w:after="40"/>
      </w:pPr>
      <w:r>
        <w:t>Blue-green deployment for zero-downtime releases</w:t>
      </w:r>
    </w:p>
    <w:p>
      <w:pPr>
        <w:pStyle w:val="ListBullet"/>
        <w:spacing w:after="40"/>
      </w:pPr>
      <w:r>
        <w:t>Infrastructure as Code (IaC) via Terraform or Bicep</w:t>
      </w:r>
    </w:p>
    <w:p>
      <w:pPr>
        <w:pStyle w:val="ListBullet"/>
        <w:spacing w:after="40"/>
      </w:pPr>
      <w:r>
        <w:t>Staging environment mirroring production for pre-release validation</w:t>
      </w:r>
    </w:p>
    <w:p>
      <w:pPr>
        <w:pStyle w:val="ListBullet"/>
        <w:spacing w:after="40"/>
      </w:pPr>
      <w:r>
        <w:t>Feature flags for gradual rollout of new capabilities</w:t>
      </w:r>
    </w:p>
    <w:p>
      <w:pPr>
        <w:pStyle w:val="Heading2"/>
      </w:pPr>
      <w:r>
        <w:t>6.3 Environments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872"/>
            <w:shd w:fill="1A56DB"/>
          </w:tcPr>
          <w:p>
            <w:r/>
            <w:r>
              <w:rPr>
                <w:rFonts w:ascii="Calibri" w:hAnsi="Calibri"/>
                <w:b/>
                <w:color w:val="FFFFFF"/>
                <w:sz w:val="20"/>
              </w:rPr>
              <w:t>Environment</w:t>
            </w:r>
          </w:p>
        </w:tc>
        <w:tc>
          <w:tcPr>
            <w:tcW w:type="dxa" w:w="2880"/>
            <w:shd w:fill="1A56DB"/>
          </w:tcPr>
          <w:p>
            <w:r/>
            <w:r>
              <w:rPr>
                <w:rFonts w:ascii="Calibri" w:hAnsi="Calibri"/>
                <w:b/>
                <w:color w:val="FFFFFF"/>
                <w:sz w:val="20"/>
              </w:rPr>
              <w:t>Purpose</w:t>
            </w:r>
          </w:p>
        </w:tc>
        <w:tc>
          <w:tcPr>
            <w:tcW w:type="dxa" w:w="2880"/>
            <w:shd w:fill="1A56DB"/>
          </w:tcPr>
          <w:p>
            <w:r/>
            <w:r>
              <w:rPr>
                <w:rFonts w:ascii="Calibri" w:hAnsi="Calibri"/>
                <w:b/>
                <w:color w:val="FFFFFF"/>
                <w:sz w:val="20"/>
              </w:rPr>
              <w:t>Data</w:t>
            </w:r>
          </w:p>
        </w:tc>
        <w:tc>
          <w:tcPr>
            <w:tcW w:type="dxa" w:w="1728"/>
            <w:shd w:fill="1A56DB"/>
          </w:tcPr>
          <w:p>
            <w:r/>
            <w:r>
              <w:rPr>
                <w:rFonts w:ascii="Calibri" w:hAnsi="Calibri"/>
                <w:b/>
                <w:color w:val="FFFFFF"/>
                <w:sz w:val="20"/>
              </w:rPr>
              <w:t>Access</w:t>
            </w:r>
          </w:p>
        </w:tc>
      </w:tr>
      <w:tr>
        <w:tc>
          <w:tcPr>
            <w:tcW w:type="dxa" w:w="1872"/>
          </w:tcPr>
          <w:p>
            <w:r/>
            <w:r>
              <w:rPr>
                <w:rFonts w:ascii="Calibri" w:hAnsi="Calibri"/>
                <w:color w:val="333333"/>
                <w:sz w:val="18"/>
              </w:rPr>
              <w:t>Development</w:t>
            </w:r>
          </w:p>
        </w:tc>
        <w:tc>
          <w:tcPr>
            <w:tcW w:type="dxa" w:w="2880"/>
          </w:tcPr>
          <w:p>
            <w:r/>
            <w:r>
              <w:rPr>
                <w:rFonts w:ascii="Calibri" w:hAnsi="Calibri"/>
                <w:color w:val="333333"/>
                <w:sz w:val="18"/>
              </w:rPr>
              <w:t>Active development and unit testing</w:t>
            </w:r>
          </w:p>
        </w:tc>
        <w:tc>
          <w:tcPr>
            <w:tcW w:type="dxa" w:w="2880"/>
          </w:tcPr>
          <w:p>
            <w:r/>
            <w:r>
              <w:rPr>
                <w:rFonts w:ascii="Calibri" w:hAnsi="Calibri"/>
                <w:color w:val="333333"/>
                <w:sz w:val="18"/>
              </w:rPr>
              <w:t>Synthetic / scrambled data</w:t>
            </w:r>
          </w:p>
        </w:tc>
        <w:tc>
          <w:tcPr>
            <w:tcW w:type="dxa" w:w="1728"/>
          </w:tcPr>
          <w:p>
            <w:r/>
            <w:r>
              <w:rPr>
                <w:rFonts w:ascii="Calibri" w:hAnsi="Calibri"/>
                <w:color w:val="333333"/>
                <w:sz w:val="18"/>
              </w:rPr>
              <w:t>Engineering team</w:t>
            </w:r>
          </w:p>
        </w:tc>
      </w:tr>
      <w:tr>
        <w:tc>
          <w:tcPr>
            <w:tcW w:type="dxa" w:w="1872"/>
            <w:shd w:fill="F2F6FC"/>
          </w:tcPr>
          <w:p>
            <w:r/>
            <w:r>
              <w:rPr>
                <w:rFonts w:ascii="Calibri" w:hAnsi="Calibri"/>
                <w:color w:val="333333"/>
                <w:sz w:val="18"/>
              </w:rPr>
              <w:t>Staging</w:t>
            </w:r>
          </w:p>
        </w:tc>
        <w:tc>
          <w:tcPr>
            <w:tcW w:type="dxa" w:w="2880"/>
            <w:shd w:fill="F2F6FC"/>
          </w:tcPr>
          <w:p>
            <w:r/>
            <w:r>
              <w:rPr>
                <w:rFonts w:ascii="Calibri" w:hAnsi="Calibri"/>
                <w:color w:val="333333"/>
                <w:sz w:val="18"/>
              </w:rPr>
              <w:t>Integration testing and UAT</w:t>
            </w:r>
          </w:p>
        </w:tc>
        <w:tc>
          <w:tcPr>
            <w:tcW w:type="dxa" w:w="2880"/>
            <w:shd w:fill="F2F6FC"/>
          </w:tcPr>
          <w:p>
            <w:r/>
            <w:r>
              <w:rPr>
                <w:rFonts w:ascii="Calibri" w:hAnsi="Calibri"/>
                <w:color w:val="333333"/>
                <w:sz w:val="18"/>
              </w:rPr>
              <w:t>Anonymized production data subset</w:t>
            </w:r>
          </w:p>
        </w:tc>
        <w:tc>
          <w:tcPr>
            <w:tcW w:type="dxa" w:w="1728"/>
            <w:shd w:fill="F2F6FC"/>
          </w:tcPr>
          <w:p>
            <w:r/>
            <w:r>
              <w:rPr>
                <w:rFonts w:ascii="Calibri" w:hAnsi="Calibri"/>
                <w:color w:val="333333"/>
                <w:sz w:val="18"/>
              </w:rPr>
              <w:t>Engineering + QA + key stakeholders</w:t>
            </w:r>
          </w:p>
        </w:tc>
      </w:tr>
      <w:tr>
        <w:tc>
          <w:tcPr>
            <w:tcW w:type="dxa" w:w="1872"/>
          </w:tcPr>
          <w:p>
            <w:r/>
            <w:r>
              <w:rPr>
                <w:rFonts w:ascii="Calibri" w:hAnsi="Calibri"/>
                <w:color w:val="333333"/>
                <w:sz w:val="18"/>
              </w:rPr>
              <w:t>Production</w:t>
            </w:r>
          </w:p>
        </w:tc>
        <w:tc>
          <w:tcPr>
            <w:tcW w:type="dxa" w:w="2880"/>
          </w:tcPr>
          <w:p>
            <w:r/>
            <w:r>
              <w:rPr>
                <w:rFonts w:ascii="Calibri" w:hAnsi="Calibri"/>
                <w:color w:val="333333"/>
                <w:sz w:val="18"/>
              </w:rPr>
              <w:t>Live system</w:t>
            </w:r>
          </w:p>
        </w:tc>
        <w:tc>
          <w:tcPr>
            <w:tcW w:type="dxa" w:w="2880"/>
          </w:tcPr>
          <w:p>
            <w:r/>
            <w:r>
              <w:rPr>
                <w:rFonts w:ascii="Calibri" w:hAnsi="Calibri"/>
                <w:color w:val="333333"/>
                <w:sz w:val="18"/>
              </w:rPr>
              <w:t>Real financial data</w:t>
            </w:r>
          </w:p>
        </w:tc>
        <w:tc>
          <w:tcPr>
            <w:tcW w:type="dxa" w:w="1728"/>
          </w:tcPr>
          <w:p>
            <w:r/>
            <w:r>
              <w:rPr>
                <w:rFonts w:ascii="Calibri" w:hAnsi="Calibri"/>
                <w:color w:val="333333"/>
                <w:sz w:val="18"/>
              </w:rPr>
              <w:t>All authorized users</w:t>
            </w:r>
          </w:p>
        </w:tc>
      </w:tr>
    </w:tbl>
    <w:p/>
    <w:p>
      <w:r>
        <w:br w:type="page"/>
      </w:r>
    </w:p>
    <w:p>
      <w:pPr>
        <w:pStyle w:val="Heading1"/>
      </w:pPr>
      <w:r>
        <w:t>7. Phased Rollout</w:t>
      </w:r>
    </w:p>
    <w:p>
      <w:pPr>
        <w:pStyle w:val="Heading2"/>
      </w:pPr>
      <w:r>
        <w:t>Phase 1: Foundation</w:t>
      </w:r>
    </w:p>
    <w:p>
      <w:pPr>
        <w:spacing w:after="120"/>
      </w:pPr>
      <w:r>
        <w:rPr>
          <w:b/>
        </w:rPr>
        <w:t>Goal: Consolidate current PES and CI tools into a unified platform with core query interface.</w:t>
      </w:r>
    </w:p>
    <w:p>
      <w:pPr>
        <w:pStyle w:val="ListBullet"/>
        <w:spacing w:after="40"/>
      </w:pPr>
      <w:r>
        <w:t>Unified data ingestion engine (internal Excel + competitor PDFs)</w:t>
      </w:r>
    </w:p>
    <w:p>
      <w:pPr>
        <w:pStyle w:val="ListBullet"/>
        <w:spacing w:after="40"/>
      </w:pPr>
      <w:r>
        <w:t>Period End Summary generation (all 6 KPIs, 3 output formats)</w:t>
      </w:r>
    </w:p>
    <w:p>
      <w:pPr>
        <w:pStyle w:val="ListBullet"/>
        <w:spacing w:after="40"/>
      </w:pPr>
      <w:r>
        <w:t>Competitive Intelligence module (themed summaries, P2P benchmarking)</w:t>
      </w:r>
    </w:p>
    <w:p>
      <w:pPr>
        <w:pStyle w:val="ListBullet"/>
        <w:spacing w:after="40"/>
      </w:pPr>
      <w:r>
        <w:t>Natural language query interface (conversational, multi-turn)</w:t>
      </w:r>
    </w:p>
    <w:p>
      <w:pPr>
        <w:pStyle w:val="ListBullet"/>
        <w:spacing w:after="40"/>
      </w:pPr>
      <w:r>
        <w:t>Basic job queue (submit, track, retrieve)</w:t>
      </w:r>
    </w:p>
    <w:p>
      <w:pPr>
        <w:pStyle w:val="ListBullet"/>
        <w:spacing w:after="40"/>
      </w:pPr>
      <w:r>
        <w:t>RBAC and SSO integration</w:t>
      </w:r>
    </w:p>
    <w:p>
      <w:pPr>
        <w:pStyle w:val="ListBullet"/>
        <w:spacing w:after="40"/>
      </w:pPr>
      <w:r>
        <w:t>Caching layer for sub-second cached retrieval</w:t>
      </w:r>
    </w:p>
    <w:p>
      <w:pPr>
        <w:pStyle w:val="ListBullet"/>
        <w:spacing w:after="40"/>
      </w:pPr>
      <w:r>
        <w:t>Admin dashboard (templates, KPIs, peer groups)</w:t>
      </w:r>
    </w:p>
    <w:p>
      <w:pPr>
        <w:pStyle w:val="ListBullet"/>
        <w:spacing w:after="40"/>
      </w:pPr>
      <w:r>
        <w:t>Dynamic dashboard with configurable widget layout</w:t>
      </w:r>
    </w:p>
    <w:p>
      <w:pPr>
        <w:spacing w:after="120"/>
      </w:pPr>
      <w:r>
        <w:rPr>
          <w:b/>
        </w:rPr>
        <w:t>Phase 1 Deliverables:</w:t>
      </w:r>
    </w:p>
    <w:p>
      <w:pPr>
        <w:pStyle w:val="ListBullet"/>
        <w:spacing w:after="40"/>
      </w:pPr>
      <w:r>
        <w:t>Web application deployed to Mars Azure tenant</w:t>
      </w:r>
    </w:p>
    <w:p>
      <w:pPr>
        <w:pStyle w:val="ListBullet"/>
        <w:spacing w:after="40"/>
      </w:pPr>
      <w:r>
        <w:t>Migration of existing PES and CI users</w:t>
      </w:r>
    </w:p>
    <w:p>
      <w:pPr>
        <w:pStyle w:val="ListBullet"/>
        <w:spacing w:after="40"/>
      </w:pPr>
      <w:r>
        <w:t>API documentation and developer portal</w:t>
      </w:r>
    </w:p>
    <w:p>
      <w:pPr>
        <w:pStyle w:val="ListBullet"/>
        <w:spacing w:after="40"/>
      </w:pPr>
      <w:r>
        <w:t>User training materials and onboarding guides</w:t>
      </w:r>
    </w:p>
    <w:p>
      <w:pPr>
        <w:pStyle w:val="Heading2"/>
      </w:pPr>
      <w:r>
        <w:t>Phase 2: Intelligence</w:t>
      </w:r>
    </w:p>
    <w:p>
      <w:pPr>
        <w:spacing w:after="120"/>
      </w:pPr>
      <w:r>
        <w:rPr>
          <w:b/>
        </w:rPr>
        <w:t>Goal: Add forecasting integration, marketing analytics, and enterprise job board.</w:t>
      </w:r>
    </w:p>
    <w:p>
      <w:pPr>
        <w:pStyle w:val="ListBullet"/>
        <w:spacing w:after="40"/>
      </w:pPr>
      <w:r>
        <w:t>Amira Financial Forecasting API integration</w:t>
      </w:r>
    </w:p>
    <w:p>
      <w:pPr>
        <w:pStyle w:val="ListBullet"/>
        <w:spacing w:after="40"/>
      </w:pPr>
      <w:r>
        <w:t>Amira Marketing Analytics API integration</w:t>
      </w:r>
    </w:p>
    <w:p>
      <w:pPr>
        <w:pStyle w:val="ListBullet"/>
        <w:spacing w:after="40"/>
      </w:pPr>
      <w:r>
        <w:t>Unified Recommendation Engine</w:t>
      </w:r>
    </w:p>
    <w:p>
      <w:pPr>
        <w:pStyle w:val="ListBullet"/>
        <w:spacing w:after="40"/>
      </w:pPr>
      <w:r>
        <w:t>Enterprise job board with priority routing, SLAs, and agent specialization</w:t>
      </w:r>
    </w:p>
    <w:p>
      <w:pPr>
        <w:pStyle w:val="ListBullet"/>
        <w:spacing w:after="40"/>
      </w:pPr>
      <w:r>
        <w:t>Scheduled and recurring jobs</w:t>
      </w:r>
    </w:p>
    <w:p>
      <w:pPr>
        <w:pStyle w:val="ListBullet"/>
        <w:spacing w:after="40"/>
      </w:pPr>
      <w:r>
        <w:t>Collaborative review and approval workflows</w:t>
      </w:r>
    </w:p>
    <w:p>
      <w:pPr>
        <w:pStyle w:val="ListBullet"/>
        <w:spacing w:after="40"/>
      </w:pPr>
      <w:r>
        <w:t>Email-based job submission (finiq@mars.com)</w:t>
      </w:r>
    </w:p>
    <w:p>
      <w:pPr>
        <w:pStyle w:val="ListBullet"/>
        <w:spacing w:after="40"/>
      </w:pPr>
      <w:r>
        <w:t>Third-party data connector framework</w:t>
      </w:r>
    </w:p>
    <w:p>
      <w:pPr>
        <w:pStyle w:val="ListBullet"/>
        <w:spacing w:after="40"/>
      </w:pPr>
      <w:r>
        <w:t>Advanced export (PowerPoint with Mars templates, branded PDFs)</w:t>
      </w:r>
    </w:p>
    <w:p>
      <w:pPr>
        <w:spacing w:after="120"/>
      </w:pPr>
      <w:r>
        <w:rPr>
          <w:b/>
        </w:rPr>
        <w:t>Phase 2 Deliverables:</w:t>
      </w:r>
    </w:p>
    <w:p>
      <w:pPr>
        <w:pStyle w:val="ListBullet"/>
        <w:spacing w:after="40"/>
      </w:pPr>
      <w:r>
        <w:t>Forecast-enriched reports available for all GBUs</w:t>
      </w:r>
    </w:p>
    <w:p>
      <w:pPr>
        <w:pStyle w:val="ListBullet"/>
        <w:spacing w:after="40"/>
      </w:pPr>
      <w:r>
        <w:t>Marketing correlation available for marketing-authorized users</w:t>
      </w:r>
    </w:p>
    <w:p>
      <w:pPr>
        <w:pStyle w:val="ListBullet"/>
        <w:spacing w:after="40"/>
      </w:pPr>
      <w:r>
        <w:t>Job board live with SLA monitoring dashboard</w:t>
      </w:r>
    </w:p>
    <w:p>
      <w:pPr>
        <w:pStyle w:val="ListBullet"/>
        <w:spacing w:after="40"/>
      </w:pPr>
      <w:r>
        <w:t>First third-party data connector (commodity prices or acquired research)</w:t>
      </w:r>
    </w:p>
    <w:p>
      <w:pPr>
        <w:pStyle w:val="Heading2"/>
      </w:pPr>
      <w:r>
        <w:t>Phase 3: Scale</w:t>
      </w:r>
    </w:p>
    <w:p>
      <w:pPr>
        <w:spacing w:after="120"/>
      </w:pPr>
      <w:r>
        <w:rPr>
          <w:b/>
        </w:rPr>
        <w:t>Goal: Enterprise scale, advanced analytics, and continuous improvement.</w:t>
      </w:r>
    </w:p>
    <w:p>
      <w:pPr>
        <w:pStyle w:val="ListBullet"/>
        <w:spacing w:after="40"/>
      </w:pPr>
      <w:r>
        <w:t>Scale to 500+ concurrent users</w:t>
      </w:r>
    </w:p>
    <w:p>
      <w:pPr>
        <w:pStyle w:val="ListBullet"/>
        <w:spacing w:after="40"/>
      </w:pPr>
      <w:r>
        <w:t>Advanced analytics: what-if scenario modeling via query interface</w:t>
      </w:r>
    </w:p>
    <w:p>
      <w:pPr>
        <w:pStyle w:val="ListBullet"/>
        <w:spacing w:after="40"/>
      </w:pPr>
      <w:r>
        <w:t>Custom dashboard builder (drag-and-drop KPI widgets)</w:t>
      </w:r>
    </w:p>
    <w:p>
      <w:pPr>
        <w:pStyle w:val="ListBullet"/>
        <w:spacing w:after="40"/>
      </w:pPr>
      <w:r>
        <w:t>Multi-language report generation</w:t>
      </w:r>
    </w:p>
    <w:p>
      <w:pPr>
        <w:pStyle w:val="ListBullet"/>
        <w:spacing w:after="40"/>
      </w:pPr>
      <w:r>
        <w:t>Automated competitor document scraping and monitoring</w:t>
      </w:r>
    </w:p>
    <w:p>
      <w:pPr>
        <w:pStyle w:val="ListBullet"/>
        <w:spacing w:after="40"/>
      </w:pPr>
      <w:r>
        <w:t>Mobile-responsive optimization</w:t>
      </w:r>
    </w:p>
    <w:p>
      <w:pPr>
        <w:pStyle w:val="ListBullet"/>
        <w:spacing w:after="40"/>
      </w:pPr>
      <w:r>
        <w:t>Advanced AI features: anomaly detection, proactive alerts, trend predictions</w:t>
      </w:r>
    </w:p>
    <w:p>
      <w:pPr>
        <w:pStyle w:val="ListBullet"/>
        <w:spacing w:after="40"/>
      </w:pPr>
      <w:r>
        <w:t>API marketplace for internal Mars teams to build on FinIQ data</w:t>
      </w:r>
    </w:p>
    <w:p>
      <w:pPr>
        <w:pStyle w:val="ListBullet"/>
        <w:spacing w:after="40"/>
      </w:pPr>
      <w:r>
        <w:t>Theme and branding customization per GBU</w:t>
      </w:r>
    </w:p>
    <w:p>
      <w:pPr>
        <w:spacing w:after="120"/>
      </w:pPr>
      <w:r>
        <w:rPr>
          <w:b/>
        </w:rPr>
        <w:t>Phase 3 Deliverables:</w:t>
      </w:r>
    </w:p>
    <w:p>
      <w:pPr>
        <w:pStyle w:val="ListBullet"/>
        <w:spacing w:after="40"/>
      </w:pPr>
      <w:r>
        <w:t>Full enterprise deployment across all Mars GBUs and regions</w:t>
      </w:r>
    </w:p>
    <w:p>
      <w:pPr>
        <w:pStyle w:val="ListBullet"/>
        <w:spacing w:after="40"/>
      </w:pPr>
      <w:r>
        <w:t>Self-service analytics for 500+ users</w:t>
      </w:r>
    </w:p>
    <w:p>
      <w:pPr>
        <w:pStyle w:val="ListBullet"/>
        <w:spacing w:after="40"/>
      </w:pPr>
      <w:r>
        <w:t>API marketplace with 3+ internal consumer applications</w:t>
      </w:r>
    </w:p>
    <w:p>
      <w:pPr>
        <w:pStyle w:val="ListBullet"/>
        <w:spacing w:after="40"/>
      </w:pPr>
      <w:r>
        <w:t>Measurable reduction in time-to-insight across finance and strategy teams</w:t>
      </w:r>
    </w:p>
    <w:p>
      <w:r>
        <w:br w:type="page"/>
      </w:r>
    </w:p>
    <w:p>
      <w:pPr>
        <w:pStyle w:val="Heading1"/>
      </w:pPr>
      <w:r>
        <w:t>8. Acceptance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A56DB"/>
          </w:tcPr>
          <w:p>
            <w:r/>
            <w:r>
              <w:rPr>
                <w:rFonts w:ascii="Calibri" w:hAnsi="Calibri"/>
                <w:b/>
                <w:color w:val="FFFFFF"/>
                <w:sz w:val="20"/>
              </w:rPr>
              <w:t>Requirement</w:t>
            </w:r>
          </w:p>
        </w:tc>
        <w:tc>
          <w:tcPr>
            <w:tcW w:type="dxa" w:w="4320"/>
            <w:shd w:fill="1A56DB"/>
          </w:tcPr>
          <w:p>
            <w:r/>
            <w:r>
              <w:rPr>
                <w:rFonts w:ascii="Calibri" w:hAnsi="Calibri"/>
                <w:b/>
                <w:color w:val="FFFFFF"/>
                <w:sz w:val="20"/>
              </w:rPr>
              <w:t>Acceptance Criterion</w:t>
            </w:r>
          </w:p>
        </w:tc>
        <w:tc>
          <w:tcPr>
            <w:tcW w:type="dxa" w:w="2880"/>
            <w:shd w:fill="1A56DB"/>
          </w:tcPr>
          <w:p>
            <w:r/>
            <w:r>
              <w:rPr>
                <w:rFonts w:ascii="Calibri" w:hAnsi="Calibri"/>
                <w:b/>
                <w:color w:val="FFFFFF"/>
                <w:sz w:val="20"/>
              </w:rPr>
              <w:t>Verification Method</w:t>
            </w:r>
          </w:p>
        </w:tc>
      </w:tr>
      <w:tr>
        <w:tc>
          <w:tcPr>
            <w:tcW w:type="dxa" w:w="2160"/>
          </w:tcPr>
          <w:p>
            <w:r/>
            <w:r>
              <w:rPr>
                <w:rFonts w:ascii="Calibri" w:hAnsi="Calibri"/>
                <w:color w:val="333333"/>
                <w:sz w:val="18"/>
              </w:rPr>
              <w:t>FR2.1 Period End Summary</w:t>
            </w:r>
          </w:p>
        </w:tc>
        <w:tc>
          <w:tcPr>
            <w:tcW w:type="dxa" w:w="4320"/>
          </w:tcPr>
          <w:p>
            <w:r/>
            <w:r>
              <w:rPr>
                <w:rFonts w:ascii="Calibri" w:hAnsi="Calibri"/>
                <w:color w:val="333333"/>
                <w:sz w:val="18"/>
              </w:rPr>
              <w:t>System generates 6-KPI executive summary for any unit/period in &lt; 15 seconds</w:t>
            </w:r>
          </w:p>
        </w:tc>
        <w:tc>
          <w:tcPr>
            <w:tcW w:type="dxa" w:w="2880"/>
          </w:tcPr>
          <w:p>
            <w:r/>
            <w:r>
              <w:rPr>
                <w:rFonts w:ascii="Calibri" w:hAnsi="Calibri"/>
                <w:color w:val="333333"/>
                <w:sz w:val="18"/>
              </w:rPr>
              <w:t>Automated load test with 10 concurrent requests</w:t>
            </w:r>
          </w:p>
        </w:tc>
      </w:tr>
      <w:tr>
        <w:tc>
          <w:tcPr>
            <w:tcW w:type="dxa" w:w="2160"/>
            <w:shd w:fill="F2F6FC"/>
          </w:tcPr>
          <w:p>
            <w:r/>
            <w:r>
              <w:rPr>
                <w:rFonts w:ascii="Calibri" w:hAnsi="Calibri"/>
                <w:color w:val="333333"/>
                <w:sz w:val="18"/>
              </w:rPr>
              <w:t>FR3.2 P2P Benchmarking</w:t>
            </w:r>
          </w:p>
        </w:tc>
        <w:tc>
          <w:tcPr>
            <w:tcW w:type="dxa" w:w="4320"/>
            <w:shd w:fill="F2F6FC"/>
          </w:tcPr>
          <w:p>
            <w:r/>
            <w:r>
              <w:rPr>
                <w:rFonts w:ascii="Calibri" w:hAnsi="Calibri"/>
                <w:color w:val="333333"/>
                <w:sz w:val="18"/>
              </w:rPr>
              <w:t>Quantitative comparison table matches manual analyst output within 2% tolerance</w:t>
            </w:r>
          </w:p>
        </w:tc>
        <w:tc>
          <w:tcPr>
            <w:tcW w:type="dxa" w:w="2880"/>
            <w:shd w:fill="F2F6FC"/>
          </w:tcPr>
          <w:p>
            <w:r/>
            <w:r>
              <w:rPr>
                <w:rFonts w:ascii="Calibri" w:hAnsi="Calibri"/>
                <w:color w:val="333333"/>
                <w:sz w:val="18"/>
              </w:rPr>
              <w:t>Side-by-side validation with current CI tool output</w:t>
            </w:r>
          </w:p>
        </w:tc>
      </w:tr>
      <w:tr>
        <w:tc>
          <w:tcPr>
            <w:tcW w:type="dxa" w:w="2160"/>
          </w:tcPr>
          <w:p>
            <w:r/>
            <w:r>
              <w:rPr>
                <w:rFonts w:ascii="Calibri" w:hAnsi="Calibri"/>
                <w:color w:val="333333"/>
                <w:sz w:val="18"/>
              </w:rPr>
              <w:t>FR4.1 Query Engine</w:t>
            </w:r>
          </w:p>
        </w:tc>
        <w:tc>
          <w:tcPr>
            <w:tcW w:type="dxa" w:w="4320"/>
          </w:tcPr>
          <w:p>
            <w:r/>
            <w:r>
              <w:rPr>
                <w:rFonts w:ascii="Calibri" w:hAnsi="Calibri"/>
                <w:color w:val="333333"/>
                <w:sz w:val="18"/>
              </w:rPr>
              <w:t>90%+ of test queries return factually correct answers with source citations</w:t>
            </w:r>
          </w:p>
        </w:tc>
        <w:tc>
          <w:tcPr>
            <w:tcW w:type="dxa" w:w="2880"/>
          </w:tcPr>
          <w:p>
            <w:r/>
            <w:r>
              <w:rPr>
                <w:rFonts w:ascii="Calibri" w:hAnsi="Calibri"/>
                <w:color w:val="333333"/>
                <w:sz w:val="18"/>
              </w:rPr>
              <w:t>QA test suite of 200 representative queries</w:t>
            </w:r>
          </w:p>
        </w:tc>
      </w:tr>
      <w:tr>
        <w:tc>
          <w:tcPr>
            <w:tcW w:type="dxa" w:w="2160"/>
            <w:shd w:fill="F2F6FC"/>
          </w:tcPr>
          <w:p>
            <w:r/>
            <w:r>
              <w:rPr>
                <w:rFonts w:ascii="Calibri" w:hAnsi="Calibri"/>
                <w:color w:val="333333"/>
                <w:sz w:val="18"/>
              </w:rPr>
              <w:t>FR5.3 SLA Compliance</w:t>
            </w:r>
          </w:p>
        </w:tc>
        <w:tc>
          <w:tcPr>
            <w:tcW w:type="dxa" w:w="4320"/>
            <w:shd w:fill="F2F6FC"/>
          </w:tcPr>
          <w:p>
            <w:r/>
            <w:r>
              <w:rPr>
                <w:rFonts w:ascii="Calibri" w:hAnsi="Calibri"/>
                <w:color w:val="333333"/>
                <w:sz w:val="18"/>
              </w:rPr>
              <w:t>95%+ of jobs complete within SLA target times over a 30-day period</w:t>
            </w:r>
          </w:p>
        </w:tc>
        <w:tc>
          <w:tcPr>
            <w:tcW w:type="dxa" w:w="2880"/>
            <w:shd w:fill="F2F6FC"/>
          </w:tcPr>
          <w:p>
            <w:r/>
            <w:r>
              <w:rPr>
                <w:rFonts w:ascii="Calibri" w:hAnsi="Calibri"/>
                <w:color w:val="333333"/>
                <w:sz w:val="18"/>
              </w:rPr>
              <w:t>SLA monitoring dashboard metrics</w:t>
            </w:r>
          </w:p>
        </w:tc>
      </w:tr>
      <w:tr>
        <w:tc>
          <w:tcPr>
            <w:tcW w:type="dxa" w:w="2160"/>
          </w:tcPr>
          <w:p>
            <w:r/>
            <w:r>
              <w:rPr>
                <w:rFonts w:ascii="Calibri" w:hAnsi="Calibri"/>
                <w:color w:val="333333"/>
                <w:sz w:val="18"/>
              </w:rPr>
              <w:t>FR6.1 Forecast Integration</w:t>
            </w:r>
          </w:p>
        </w:tc>
        <w:tc>
          <w:tcPr>
            <w:tcW w:type="dxa" w:w="4320"/>
          </w:tcPr>
          <w:p>
            <w:r/>
            <w:r>
              <w:rPr>
                <w:rFonts w:ascii="Calibri" w:hAnsi="Calibri"/>
                <w:color w:val="333333"/>
                <w:sz w:val="18"/>
              </w:rPr>
              <w:t>Forecast data appears in reports within 5 seconds of request</w:t>
            </w:r>
          </w:p>
        </w:tc>
        <w:tc>
          <w:tcPr>
            <w:tcW w:type="dxa" w:w="2880"/>
          </w:tcPr>
          <w:p>
            <w:r/>
            <w:r>
              <w:rPr>
                <w:rFonts w:ascii="Calibri" w:hAnsi="Calibri"/>
                <w:color w:val="333333"/>
                <w:sz w:val="18"/>
              </w:rPr>
              <w:t>Integration test with mock and live Forecasting API</w:t>
            </w:r>
          </w:p>
        </w:tc>
      </w:tr>
      <w:tr>
        <w:tc>
          <w:tcPr>
            <w:tcW w:type="dxa" w:w="2160"/>
            <w:shd w:fill="F2F6FC"/>
          </w:tcPr>
          <w:p>
            <w:r/>
            <w:r>
              <w:rPr>
                <w:rFonts w:ascii="Calibri" w:hAnsi="Calibri"/>
                <w:color w:val="333333"/>
                <w:sz w:val="18"/>
              </w:rPr>
              <w:t>FR6.2 Marketing Integration</w:t>
            </w:r>
          </w:p>
        </w:tc>
        <w:tc>
          <w:tcPr>
            <w:tcW w:type="dxa" w:w="4320"/>
            <w:shd w:fill="F2F6FC"/>
          </w:tcPr>
          <w:p>
            <w:r/>
            <w:r>
              <w:rPr>
                <w:rFonts w:ascii="Calibri" w:hAnsi="Calibri"/>
                <w:color w:val="333333"/>
                <w:sz w:val="18"/>
              </w:rPr>
              <w:t>Marketing metrics correlate correctly with financial periods and units</w:t>
            </w:r>
          </w:p>
        </w:tc>
        <w:tc>
          <w:tcPr>
            <w:tcW w:type="dxa" w:w="2880"/>
            <w:shd w:fill="F2F6FC"/>
          </w:tcPr>
          <w:p>
            <w:r/>
            <w:r>
              <w:rPr>
                <w:rFonts w:ascii="Calibri" w:hAnsi="Calibri"/>
                <w:color w:val="333333"/>
                <w:sz w:val="18"/>
              </w:rPr>
              <w:t>Cross-validation with Marketing Analytics dashboard</w:t>
            </w:r>
          </w:p>
        </w:tc>
      </w:tr>
      <w:tr>
        <w:tc>
          <w:tcPr>
            <w:tcW w:type="dxa" w:w="2160"/>
          </w:tcPr>
          <w:p>
            <w:r/>
            <w:r>
              <w:rPr>
                <w:rFonts w:ascii="Calibri" w:hAnsi="Calibri"/>
                <w:color w:val="333333"/>
                <w:sz w:val="18"/>
              </w:rPr>
              <w:t>FR8.1 Dynamic Dashboard</w:t>
            </w:r>
          </w:p>
        </w:tc>
        <w:tc>
          <w:tcPr>
            <w:tcW w:type="dxa" w:w="4320"/>
          </w:tcPr>
          <w:p>
            <w:r/>
            <w:r>
              <w:rPr>
                <w:rFonts w:ascii="Calibri" w:hAnsi="Calibri"/>
                <w:color w:val="333333"/>
                <w:sz w:val="18"/>
              </w:rPr>
              <w:t>Users can configure, save, and reload custom dashboard layouts</w:t>
            </w:r>
          </w:p>
        </w:tc>
        <w:tc>
          <w:tcPr>
            <w:tcW w:type="dxa" w:w="2880"/>
          </w:tcPr>
          <w:p>
            <w:r/>
            <w:r>
              <w:rPr>
                <w:rFonts w:ascii="Calibri" w:hAnsi="Calibri"/>
                <w:color w:val="333333"/>
                <w:sz w:val="18"/>
              </w:rPr>
              <w:t>UI test suite with 10 representative dashboard configurations</w:t>
            </w:r>
          </w:p>
        </w:tc>
      </w:tr>
      <w:tr>
        <w:tc>
          <w:tcPr>
            <w:tcW w:type="dxa" w:w="2160"/>
            <w:shd w:fill="F2F6FC"/>
          </w:tcPr>
          <w:p>
            <w:r/>
            <w:r>
              <w:rPr>
                <w:rFonts w:ascii="Calibri" w:hAnsi="Calibri"/>
                <w:color w:val="333333"/>
                <w:sz w:val="18"/>
              </w:rPr>
              <w:t>FR8.3 Real-Time Updates</w:t>
            </w:r>
          </w:p>
        </w:tc>
        <w:tc>
          <w:tcPr>
            <w:tcW w:type="dxa" w:w="4320"/>
            <w:shd w:fill="F2F6FC"/>
          </w:tcPr>
          <w:p>
            <w:r/>
            <w:r>
              <w:rPr>
                <w:rFonts w:ascii="Calibri" w:hAnsi="Calibri"/>
                <w:color w:val="333333"/>
                <w:sz w:val="18"/>
              </w:rPr>
              <w:t>Job status and report progress update within 500ms via SSE</w:t>
            </w:r>
          </w:p>
        </w:tc>
        <w:tc>
          <w:tcPr>
            <w:tcW w:type="dxa" w:w="2880"/>
            <w:shd w:fill="F2F6FC"/>
          </w:tcPr>
          <w:p>
            <w:r/>
            <w:r>
              <w:rPr>
                <w:rFonts w:ascii="Calibri" w:hAnsi="Calibri"/>
                <w:color w:val="333333"/>
                <w:sz w:val="18"/>
              </w:rPr>
              <w:t>Automated SSE latency test</w:t>
            </w:r>
          </w:p>
        </w:tc>
      </w:tr>
      <w:tr>
        <w:tc>
          <w:tcPr>
            <w:tcW w:type="dxa" w:w="2160"/>
          </w:tcPr>
          <w:p>
            <w:r/>
            <w:r>
              <w:rPr>
                <w:rFonts w:ascii="Calibri" w:hAnsi="Calibri"/>
                <w:color w:val="333333"/>
                <w:sz w:val="18"/>
              </w:rPr>
              <w:t>NFR Performance</w:t>
            </w:r>
          </w:p>
        </w:tc>
        <w:tc>
          <w:tcPr>
            <w:tcW w:type="dxa" w:w="4320"/>
          </w:tcPr>
          <w:p>
            <w:r/>
            <w:r>
              <w:rPr>
                <w:rFonts w:ascii="Calibri" w:hAnsi="Calibri"/>
                <w:color w:val="333333"/>
                <w:sz w:val="18"/>
              </w:rPr>
              <w:t>Cached report retrieval &lt; 1 second (p99)</w:t>
            </w:r>
          </w:p>
        </w:tc>
        <w:tc>
          <w:tcPr>
            <w:tcW w:type="dxa" w:w="2880"/>
          </w:tcPr>
          <w:p>
            <w:r/>
            <w:r>
              <w:rPr>
                <w:rFonts w:ascii="Calibri" w:hAnsi="Calibri"/>
                <w:color w:val="333333"/>
                <w:sz w:val="18"/>
              </w:rPr>
              <w:t>Load test with 100 concurrent cached requests</w:t>
            </w:r>
          </w:p>
        </w:tc>
      </w:tr>
      <w:tr>
        <w:tc>
          <w:tcPr>
            <w:tcW w:type="dxa" w:w="2160"/>
            <w:shd w:fill="F2F6FC"/>
          </w:tcPr>
          <w:p>
            <w:r/>
            <w:r>
              <w:rPr>
                <w:rFonts w:ascii="Calibri" w:hAnsi="Calibri"/>
                <w:color w:val="333333"/>
                <w:sz w:val="18"/>
              </w:rPr>
              <w:t>NFR Security</w:t>
            </w:r>
          </w:p>
        </w:tc>
        <w:tc>
          <w:tcPr>
            <w:tcW w:type="dxa" w:w="4320"/>
            <w:shd w:fill="F2F6FC"/>
          </w:tcPr>
          <w:p>
            <w:r/>
            <w:r>
              <w:rPr>
                <w:rFonts w:ascii="Calibri" w:hAnsi="Calibri"/>
                <w:color w:val="333333"/>
                <w:sz w:val="18"/>
              </w:rPr>
              <w:t>Zero unauthorized data access in penetration test</w:t>
            </w:r>
          </w:p>
        </w:tc>
        <w:tc>
          <w:tcPr>
            <w:tcW w:type="dxa" w:w="2880"/>
            <w:shd w:fill="F2F6FC"/>
          </w:tcPr>
          <w:p>
            <w:r/>
            <w:r>
              <w:rPr>
                <w:rFonts w:ascii="Calibri" w:hAnsi="Calibri"/>
                <w:color w:val="333333"/>
                <w:sz w:val="18"/>
              </w:rPr>
              <w:t>Third-party security audit</w:t>
            </w:r>
          </w:p>
        </w:tc>
      </w:tr>
      <w:tr>
        <w:tc>
          <w:tcPr>
            <w:tcW w:type="dxa" w:w="2160"/>
          </w:tcPr>
          <w:p>
            <w:r/>
            <w:r>
              <w:rPr>
                <w:rFonts w:ascii="Calibri" w:hAnsi="Calibri"/>
                <w:color w:val="333333"/>
                <w:sz w:val="18"/>
              </w:rPr>
              <w:t>NFR Availability</w:t>
            </w:r>
          </w:p>
        </w:tc>
        <w:tc>
          <w:tcPr>
            <w:tcW w:type="dxa" w:w="4320"/>
          </w:tcPr>
          <w:p>
            <w:r/>
            <w:r>
              <w:rPr>
                <w:rFonts w:ascii="Calibri" w:hAnsi="Calibri"/>
                <w:color w:val="333333"/>
                <w:sz w:val="18"/>
              </w:rPr>
              <w:t>99.9% uptime over 90-day measurement period</w:t>
            </w:r>
          </w:p>
        </w:tc>
        <w:tc>
          <w:tcPr>
            <w:tcW w:type="dxa" w:w="2880"/>
          </w:tcPr>
          <w:p>
            <w:r/>
            <w:r>
              <w:rPr>
                <w:rFonts w:ascii="Calibri" w:hAnsi="Calibri"/>
                <w:color w:val="333333"/>
                <w:sz w:val="18"/>
              </w:rPr>
              <w:t>Azure Monitor uptime tracking</w:t>
            </w:r>
          </w:p>
        </w:tc>
      </w:tr>
    </w:tbl>
    <w:p/>
    <w:p>
      <w:r>
        <w:br w:type="page"/>
      </w:r>
    </w:p>
    <w:p>
      <w:pPr>
        <w:pStyle w:val="Heading1"/>
      </w:pPr>
      <w:r>
        <w:t>Appendix A: KPI Definitions (from PES)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A56DB"/>
          </w:tcPr>
          <w:p>
            <w:r/>
            <w:r>
              <w:rPr>
                <w:rFonts w:ascii="Calibri" w:hAnsi="Calibri"/>
                <w:b/>
                <w:color w:val="FFFFFF"/>
                <w:sz w:val="20"/>
              </w:rPr>
              <w:t>KPI</w:t>
            </w:r>
          </w:p>
        </w:tc>
        <w:tc>
          <w:tcPr>
            <w:tcW w:type="dxa" w:w="3600"/>
            <w:shd w:fill="1A56DB"/>
          </w:tcPr>
          <w:p>
            <w:r/>
            <w:r>
              <w:rPr>
                <w:rFonts w:ascii="Calibri" w:hAnsi="Calibri"/>
                <w:b/>
                <w:color w:val="FFFFFF"/>
                <w:sz w:val="20"/>
              </w:rPr>
              <w:t>Formula</w:t>
            </w:r>
          </w:p>
        </w:tc>
        <w:tc>
          <w:tcPr>
            <w:tcW w:type="dxa" w:w="3168"/>
            <w:shd w:fill="1A56DB"/>
          </w:tcPr>
          <w:p>
            <w:r/>
            <w:r>
              <w:rPr>
                <w:rFonts w:ascii="Calibri" w:hAnsi="Calibri"/>
                <w:b/>
                <w:color w:val="FFFFFF"/>
                <w:sz w:val="20"/>
              </w:rPr>
              <w:t>What It Measures</w:t>
            </w:r>
          </w:p>
        </w:tc>
      </w:tr>
      <w:tr>
        <w:tc>
          <w:tcPr>
            <w:tcW w:type="dxa" w:w="2592"/>
          </w:tcPr>
          <w:p>
            <w:r/>
            <w:r>
              <w:rPr>
                <w:rFonts w:ascii="Calibri" w:hAnsi="Calibri"/>
                <w:color w:val="333333"/>
                <w:sz w:val="18"/>
              </w:rPr>
              <w:t>Organic Growth %</w:t>
            </w:r>
          </w:p>
        </w:tc>
        <w:tc>
          <w:tcPr>
            <w:tcW w:type="dxa" w:w="3600"/>
          </w:tcPr>
          <w:p>
            <w:r/>
            <w:r>
              <w:rPr>
                <w:rFonts w:ascii="Calibri" w:hAnsi="Calibri"/>
                <w:color w:val="333333"/>
                <w:sz w:val="18"/>
              </w:rPr>
              <w:t>Net Sales growth excluding FX and M&amp;A</w:t>
            </w:r>
          </w:p>
        </w:tc>
        <w:tc>
          <w:tcPr>
            <w:tcW w:type="dxa" w:w="3168"/>
          </w:tcPr>
          <w:p>
            <w:r/>
            <w:r>
              <w:rPr>
                <w:rFonts w:ascii="Calibri" w:hAnsi="Calibri"/>
                <w:color w:val="333333"/>
                <w:sz w:val="18"/>
              </w:rPr>
              <w:t>Top-line revenue momentum</w:t>
            </w:r>
          </w:p>
        </w:tc>
      </w:tr>
      <w:tr>
        <w:tc>
          <w:tcPr>
            <w:tcW w:type="dxa" w:w="2592"/>
            <w:shd w:fill="F2F6FC"/>
          </w:tcPr>
          <w:p>
            <w:r/>
            <w:r>
              <w:rPr>
                <w:rFonts w:ascii="Calibri" w:hAnsi="Calibri"/>
                <w:color w:val="333333"/>
                <w:sz w:val="18"/>
              </w:rPr>
              <w:t>MAC Shape %</w:t>
            </w:r>
          </w:p>
        </w:tc>
        <w:tc>
          <w:tcPr>
            <w:tcW w:type="dxa" w:w="3600"/>
            <w:shd w:fill="F2F6FC"/>
          </w:tcPr>
          <w:p>
            <w:r/>
            <w:r>
              <w:rPr>
                <w:rFonts w:ascii="Calibri" w:hAnsi="Calibri"/>
                <w:color w:val="333333"/>
                <w:sz w:val="18"/>
              </w:rPr>
              <w:t>Margin After Conversion / Net Sales</w:t>
            </w:r>
          </w:p>
        </w:tc>
        <w:tc>
          <w:tcPr>
            <w:tcW w:type="dxa" w:w="3168"/>
            <w:shd w:fill="F2F6FC"/>
          </w:tcPr>
          <w:p>
            <w:r/>
            <w:r>
              <w:rPr>
                <w:rFonts w:ascii="Calibri" w:hAnsi="Calibri"/>
                <w:color w:val="333333"/>
                <w:sz w:val="18"/>
              </w:rPr>
              <w:t>Gross-to-net conversion efficiency</w:t>
            </w:r>
          </w:p>
        </w:tc>
      </w:tr>
      <w:tr>
        <w:tc>
          <w:tcPr>
            <w:tcW w:type="dxa" w:w="2592"/>
          </w:tcPr>
          <w:p>
            <w:r/>
            <w:r>
              <w:rPr>
                <w:rFonts w:ascii="Calibri" w:hAnsi="Calibri"/>
                <w:color w:val="333333"/>
                <w:sz w:val="18"/>
              </w:rPr>
              <w:t>A&amp;CP Shape %</w:t>
            </w:r>
          </w:p>
        </w:tc>
        <w:tc>
          <w:tcPr>
            <w:tcW w:type="dxa" w:w="3600"/>
          </w:tcPr>
          <w:p>
            <w:r/>
            <w:r>
              <w:rPr>
                <w:rFonts w:ascii="Calibri" w:hAnsi="Calibri"/>
                <w:color w:val="333333"/>
                <w:sz w:val="18"/>
              </w:rPr>
              <w:t>Advertising &amp; Consumer Promotions / GSV 3rd Party</w:t>
            </w:r>
          </w:p>
        </w:tc>
        <w:tc>
          <w:tcPr>
            <w:tcW w:type="dxa" w:w="3168"/>
          </w:tcPr>
          <w:p>
            <w:r/>
            <w:r>
              <w:rPr>
                <w:rFonts w:ascii="Calibri" w:hAnsi="Calibri"/>
                <w:color w:val="333333"/>
                <w:sz w:val="18"/>
              </w:rPr>
              <w:t>Promotional spend as % of gross sales</w:t>
            </w:r>
          </w:p>
        </w:tc>
      </w:tr>
      <w:tr>
        <w:tc>
          <w:tcPr>
            <w:tcW w:type="dxa" w:w="2592"/>
            <w:shd w:fill="F2F6FC"/>
          </w:tcPr>
          <w:p>
            <w:r/>
            <w:r>
              <w:rPr>
                <w:rFonts w:ascii="Calibri" w:hAnsi="Calibri"/>
                <w:color w:val="333333"/>
                <w:sz w:val="18"/>
              </w:rPr>
              <w:t>CE Shape %</w:t>
            </w:r>
          </w:p>
        </w:tc>
        <w:tc>
          <w:tcPr>
            <w:tcW w:type="dxa" w:w="3600"/>
            <w:shd w:fill="F2F6FC"/>
          </w:tcPr>
          <w:p>
            <w:r/>
            <w:r>
              <w:rPr>
                <w:rFonts w:ascii="Calibri" w:hAnsi="Calibri"/>
                <w:color w:val="333333"/>
                <w:sz w:val="18"/>
              </w:rPr>
              <w:t>Controllable Earnings / Net Sales Total</w:t>
            </w:r>
          </w:p>
        </w:tc>
        <w:tc>
          <w:tcPr>
            <w:tcW w:type="dxa" w:w="3168"/>
            <w:shd w:fill="F2F6FC"/>
          </w:tcPr>
          <w:p>
            <w:r/>
            <w:r>
              <w:rPr>
                <w:rFonts w:ascii="Calibri" w:hAnsi="Calibri"/>
                <w:color w:val="333333"/>
                <w:sz w:val="18"/>
              </w:rPr>
              <w:t>Bottom-line efficiency including overheads</w:t>
            </w:r>
          </w:p>
        </w:tc>
      </w:tr>
      <w:tr>
        <w:tc>
          <w:tcPr>
            <w:tcW w:type="dxa" w:w="2592"/>
          </w:tcPr>
          <w:p>
            <w:r/>
            <w:r>
              <w:rPr>
                <w:rFonts w:ascii="Calibri" w:hAnsi="Calibri"/>
                <w:color w:val="333333"/>
                <w:sz w:val="18"/>
              </w:rPr>
              <w:t>Controllable Overhead Shape %</w:t>
            </w:r>
          </w:p>
        </w:tc>
        <w:tc>
          <w:tcPr>
            <w:tcW w:type="dxa" w:w="3600"/>
          </w:tcPr>
          <w:p>
            <w:r/>
            <w:r>
              <w:rPr>
                <w:rFonts w:ascii="Calibri" w:hAnsi="Calibri"/>
                <w:color w:val="333333"/>
                <w:sz w:val="18"/>
              </w:rPr>
              <w:t>Controllable Overhead Costs / Net Sales Total</w:t>
            </w:r>
          </w:p>
        </w:tc>
        <w:tc>
          <w:tcPr>
            <w:tcW w:type="dxa" w:w="3168"/>
          </w:tcPr>
          <w:p>
            <w:r/>
            <w:r>
              <w:rPr>
                <w:rFonts w:ascii="Calibri" w:hAnsi="Calibri"/>
                <w:color w:val="333333"/>
                <w:sz w:val="18"/>
              </w:rPr>
              <w:t>Overhead cost management</w:t>
            </w:r>
          </w:p>
        </w:tc>
      </w:tr>
      <w:tr>
        <w:tc>
          <w:tcPr>
            <w:tcW w:type="dxa" w:w="2592"/>
            <w:shd w:fill="F2F6FC"/>
          </w:tcPr>
          <w:p>
            <w:r/>
            <w:r>
              <w:rPr>
                <w:rFonts w:ascii="Calibri" w:hAnsi="Calibri"/>
                <w:color w:val="333333"/>
                <w:sz w:val="18"/>
              </w:rPr>
              <w:t>Trade Shape %</w:t>
            </w:r>
          </w:p>
        </w:tc>
        <w:tc>
          <w:tcPr>
            <w:tcW w:type="dxa" w:w="3600"/>
            <w:shd w:fill="F2F6FC"/>
          </w:tcPr>
          <w:p>
            <w:r/>
            <w:r>
              <w:rPr>
                <w:rFonts w:ascii="Calibri" w:hAnsi="Calibri"/>
                <w:color w:val="333333"/>
                <w:sz w:val="18"/>
              </w:rPr>
              <w:t>Trade Expenditures / GSV 3rd Party</w:t>
            </w:r>
          </w:p>
        </w:tc>
        <w:tc>
          <w:tcPr>
            <w:tcW w:type="dxa" w:w="3168"/>
            <w:shd w:fill="F2F6FC"/>
          </w:tcPr>
          <w:p>
            <w:r/>
            <w:r>
              <w:rPr>
                <w:rFonts w:ascii="Calibri" w:hAnsi="Calibri"/>
                <w:color w:val="333333"/>
                <w:sz w:val="18"/>
              </w:rPr>
              <w:t>Trade spend as % of gross sales</w:t>
            </w:r>
          </w:p>
        </w:tc>
      </w:tr>
      <w:tr>
        <w:tc>
          <w:tcPr>
            <w:tcW w:type="dxa" w:w="2592"/>
          </w:tcPr>
          <w:p>
            <w:r/>
            <w:r>
              <w:rPr>
                <w:rFonts w:ascii="Calibri" w:hAnsi="Calibri"/>
                <w:color w:val="333333"/>
                <w:sz w:val="18"/>
              </w:rPr>
              <w:t>Total Growth Impact</w:t>
            </w:r>
          </w:p>
        </w:tc>
        <w:tc>
          <w:tcPr>
            <w:tcW w:type="dxa" w:w="3600"/>
          </w:tcPr>
          <w:p>
            <w:r/>
            <w:r>
              <w:rPr>
                <w:rFonts w:ascii="Calibri" w:hAnsi="Calibri"/>
                <w:color w:val="333333"/>
                <w:sz w:val="18"/>
              </w:rPr>
              <w:t>Net Sales Total x Growth % (3rd pty organic)</w:t>
            </w:r>
          </w:p>
        </w:tc>
        <w:tc>
          <w:tcPr>
            <w:tcW w:type="dxa" w:w="3168"/>
          </w:tcPr>
          <w:p>
            <w:r/>
            <w:r>
              <w:rPr>
                <w:rFonts w:ascii="Calibri" w:hAnsi="Calibri"/>
                <w:color w:val="333333"/>
                <w:sz w:val="18"/>
              </w:rPr>
              <w:t>Dollar impact of organic growth</w:t>
            </w:r>
          </w:p>
        </w:tc>
      </w:tr>
      <w:tr>
        <w:tc>
          <w:tcPr>
            <w:tcW w:type="dxa" w:w="2592"/>
            <w:shd w:fill="F2F6FC"/>
          </w:tcPr>
          <w:p>
            <w:r/>
            <w:r>
              <w:rPr>
                <w:rFonts w:ascii="Calibri" w:hAnsi="Calibri"/>
                <w:color w:val="333333"/>
                <w:sz w:val="18"/>
              </w:rPr>
              <w:t>Periodic vs LY %</w:t>
            </w:r>
          </w:p>
        </w:tc>
        <w:tc>
          <w:tcPr>
            <w:tcW w:type="dxa" w:w="3600"/>
            <w:shd w:fill="F2F6FC"/>
          </w:tcPr>
          <w:p>
            <w:r/>
            <w:r>
              <w:rPr>
                <w:rFonts w:ascii="Calibri" w:hAnsi="Calibri"/>
                <w:color w:val="333333"/>
                <w:sz w:val="18"/>
              </w:rPr>
              <w:t>(CY - LY) / LY</w:t>
            </w:r>
          </w:p>
        </w:tc>
        <w:tc>
          <w:tcPr>
            <w:tcW w:type="dxa" w:w="3168"/>
            <w:shd w:fill="F2F6FC"/>
          </w:tcPr>
          <w:p>
            <w:r/>
            <w:r>
              <w:rPr>
                <w:rFonts w:ascii="Calibri" w:hAnsi="Calibri"/>
                <w:color w:val="333333"/>
                <w:sz w:val="18"/>
              </w:rPr>
              <w:t>Period-over-period growth rate</w:t>
            </w:r>
          </w:p>
        </w:tc>
      </w:tr>
      <w:tr>
        <w:tc>
          <w:tcPr>
            <w:tcW w:type="dxa" w:w="2592"/>
          </w:tcPr>
          <w:p>
            <w:r/>
            <w:r>
              <w:rPr>
                <w:rFonts w:ascii="Calibri" w:hAnsi="Calibri"/>
                <w:color w:val="333333"/>
                <w:sz w:val="18"/>
              </w:rPr>
              <w:t>YTD vs LY %</w:t>
            </w:r>
          </w:p>
        </w:tc>
        <w:tc>
          <w:tcPr>
            <w:tcW w:type="dxa" w:w="3600"/>
          </w:tcPr>
          <w:p>
            <w:r/>
            <w:r>
              <w:rPr>
                <w:rFonts w:ascii="Calibri" w:hAnsi="Calibri"/>
                <w:color w:val="333333"/>
                <w:sz w:val="18"/>
              </w:rPr>
              <w:t>(CY - LY) / LY</w:t>
            </w:r>
          </w:p>
        </w:tc>
        <w:tc>
          <w:tcPr>
            <w:tcW w:type="dxa" w:w="3168"/>
          </w:tcPr>
          <w:p>
            <w:r/>
            <w:r>
              <w:rPr>
                <w:rFonts w:ascii="Calibri" w:hAnsi="Calibri"/>
                <w:color w:val="333333"/>
                <w:sz w:val="18"/>
              </w:rPr>
              <w:t>Year-to-date growth rate</w:t>
            </w:r>
          </w:p>
        </w:tc>
      </w:tr>
    </w:tbl>
    <w:p/>
    <w:p>
      <w:pPr>
        <w:pStyle w:val="Heading1"/>
      </w:pPr>
      <w:r>
        <w:t>Appendix B: Current System Capabilities</w:t>
      </w:r>
    </w:p>
    <w:p>
      <w:pPr>
        <w:spacing w:after="120"/>
      </w:pPr>
      <w:r>
        <w:t>This section documents the capabilities of Mars's existing PES and CI systems that Amira FinIQ will preserve and enhance. All current capabilities are maintained; enhancements are additive.</w:t>
      </w:r>
    </w:p>
    <w:p>
      <w:pPr>
        <w:spacing w:after="120"/>
      </w:pPr>
      <w:r>
        <w:rPr>
          <w:b/>
        </w:rPr>
        <w:t>Period End Summary (Current)</w:t>
      </w:r>
    </w:p>
    <w:p>
      <w:pPr>
        <w:pStyle w:val="ListBullet"/>
        <w:spacing w:after="40"/>
      </w:pPr>
      <w:r>
        <w:t>Input: Preprocessed Excel workbooks with 4 sheets (P&amp;L, Product, Brand, NCFO)</w:t>
      </w:r>
    </w:p>
    <w:p>
      <w:pPr>
        <w:pStyle w:val="ListBullet"/>
        <w:spacing w:after="40"/>
      </w:pPr>
      <w:r>
        <w:t>Processing: 6 parallel GPT-4.1 pipelines with prompt engineering</w:t>
      </w:r>
    </w:p>
    <w:p>
      <w:pPr>
        <w:pStyle w:val="ListBullet"/>
        <w:spacing w:after="40"/>
      </w:pPr>
      <w:r>
        <w:t>Output: Markdown narratives with trend taglines and HTML KPI tables</w:t>
      </w:r>
    </w:p>
    <w:p>
      <w:pPr>
        <w:pStyle w:val="ListBullet"/>
        <w:spacing w:after="40"/>
      </w:pPr>
      <w:r>
        <w:t>Caching: Individual KPI JSONs in Azure Blob Storage</w:t>
      </w:r>
    </w:p>
    <w:p>
      <w:pPr>
        <w:pStyle w:val="ListBullet"/>
        <w:spacing w:after="40"/>
      </w:pPr>
      <w:r>
        <w:t>Performance: 10-15s first generation, &lt; 1s cached, 5-8s single KPI regeneration</w:t>
      </w:r>
    </w:p>
    <w:p>
      <w:pPr>
        <w:spacing w:after="120"/>
      </w:pPr>
      <w:r>
        <w:rPr>
          <w:b/>
        </w:rPr>
        <w:t>Competitive Intelligence (Current)</w:t>
      </w:r>
    </w:p>
    <w:p>
      <w:pPr>
        <w:pStyle w:val="ListBullet"/>
        <w:spacing w:after="40"/>
      </w:pPr>
      <w:r>
        <w:t>Input: PDF uploads (earnings releases, presentations, prepared remarks)</w:t>
      </w:r>
    </w:p>
    <w:p>
      <w:pPr>
        <w:pStyle w:val="ListBullet"/>
        <w:spacing w:after="40"/>
      </w:pPr>
      <w:r>
        <w:t>Pipeline: Parse &gt; Chunk &gt; Embed &gt; Index &gt; Summarize &gt; P2P Benchmark &gt; Notify</w:t>
      </w:r>
    </w:p>
    <w:p>
      <w:pPr>
        <w:pStyle w:val="ListBullet"/>
        <w:spacing w:after="40"/>
      </w:pPr>
      <w:r>
        <w:t>Output: Themed summaries with source links, P2P quantitative tables, Q&amp;A chat</w:t>
      </w:r>
    </w:p>
    <w:p>
      <w:pPr>
        <w:pStyle w:val="ListBullet"/>
        <w:spacing w:after="40"/>
      </w:pPr>
      <w:r>
        <w:t>Infrastructure: Azure Blob + Document Intelligence + OpenAI + AI Search + Cosmos DB</w:t>
      </w:r>
    </w:p>
    <w:p/>
    <w:p>
      <w:pPr>
        <w:jc w:val="center"/>
      </w:pPr>
      <w:r>
        <w:rPr>
          <w:i/>
          <w:color w:val="999999"/>
          <w:sz w:val="18"/>
        </w:rPr>
        <w:t>--- End of Document ---</w:t>
      </w:r>
    </w:p>
    <w:p>
      <w:pPr>
        <w:jc w:val="center"/>
      </w:pPr>
      <w:r>
        <w:rPr>
          <w:color w:val="999999"/>
          <w:sz w:val="16"/>
        </w:rPr>
        <w:t>Amira FinIQ SRS v2.0 | Confidential | Prepared for Mars, Incorporated</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1F44"/>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