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z1be1zr4in2s" w:id="0"/>
      <w:bookmarkEnd w:id="0"/>
      <w:r w:rsidDel="00000000" w:rsidR="00000000" w:rsidRPr="00000000">
        <w:rPr/>
        <w:drawing>
          <wp:inline distB="114300" distT="114300" distL="114300" distR="114300">
            <wp:extent cx="573405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9zjmu7969m9" w:id="1"/>
      <w:bookmarkEnd w:id="1"/>
      <w:r w:rsidDel="00000000" w:rsidR="00000000" w:rsidRPr="00000000">
        <w:rPr>
          <w:rtl w:val="0"/>
        </w:rPr>
        <w:t xml:space="preserve">Aprendizagem estatística para ciências.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xaxr0m8nd98p" w:id="2"/>
      <w:bookmarkEnd w:id="2"/>
      <w:r w:rsidDel="00000000" w:rsidR="00000000" w:rsidRPr="00000000">
        <w:rPr>
          <w:rtl w:val="0"/>
        </w:rPr>
        <w:t xml:space="preserve">Aplicações com software.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uwi5u8jfkw" w:id="3"/>
      <w:bookmarkEnd w:id="3"/>
      <w:r w:rsidDel="00000000" w:rsidR="00000000" w:rsidRPr="00000000">
        <w:rPr>
          <w:rtl w:val="0"/>
        </w:rPr>
        <w:t xml:space="preserve">Prefácio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Remember that all models are wrong; the practical question is how wrong do they have to be to not be useful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  <w:t xml:space="preserve">--   George Box &amp; Norman R. Draper, </w:t>
      </w:r>
      <w:r w:rsidDel="00000000" w:rsidR="00000000" w:rsidRPr="00000000">
        <w:rPr>
          <w:i w:val="1"/>
          <w:rtl w:val="0"/>
        </w:rPr>
        <w:t xml:space="preserve">Empirical Model-Building and Response Surfaces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Uma antiga aplicação da matemática é fazer inferências com base em </w:t>
      </w:r>
      <w:r w:rsidDel="00000000" w:rsidR="00000000" w:rsidRPr="00000000">
        <w:rPr>
          <w:rtl w:val="0"/>
        </w:rPr>
        <w:t xml:space="preserve">observações de cenários parecidos. Civilizações antigas, como os babilônios, usavam interpolação linear para estimar informações. Fazendo o censo populacional com intervalo de anos, estimavam o valor dos anos não medidos, supondo que eles eram medidas centrais daquelas que ao seu redor. Métodos iterativos também foram usados para aproximar a raiz quadrada de números naturais (√2) e números irracionais (ⲡ).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Essas técnicas deram fruto a abstrações mais gerais, aos campos da estatística e dos métodos numéricos</w:t>
      </w:r>
      <w:r w:rsidDel="00000000" w:rsidR="00000000" w:rsidRPr="00000000">
        <w:rPr>
          <w:rtl w:val="0"/>
        </w:rPr>
        <w:t xml:space="preserve">. Em particular, o último século contou com a invenção do computador universal e dos processadores eletrônicos, impulsionando o poder de cálculos vertiginosamente. O aperfeiçoamento teórico e instrumental trouxe ferramentas mais adequadas para cientistas e também algoritmos mais potentes para aplicações práticas.  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Nos últimos anos, o campo ganhou forte notoriedade social e acadêmica em virtude dos resultados inéditos em problemas de predição com aplicação prática. Avanços em processamento de linguagem natural, visão computacional e algoritmos preditivos foram rapidamentes aplicados pela indústria e por pesquisadores.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Uma descrição abrangente pode facilmente alcançar 1,000 páginas de texto sucinto, como o clássico ‘Deep Learning (Adaptive Computation and Machine Learning)’ de Goodfellow, Bengio and Courville. Outra obra de escopo e tamanho semelhante é a “</w:t>
      </w:r>
      <w:r w:rsidDel="00000000" w:rsidR="00000000" w:rsidRPr="00000000">
        <w:rPr>
          <w:i w:val="1"/>
          <w:rtl w:val="0"/>
        </w:rPr>
        <w:t xml:space="preserve">Neural networks and learning machines</w:t>
      </w:r>
      <w:r w:rsidDel="00000000" w:rsidR="00000000" w:rsidRPr="00000000">
        <w:rPr>
          <w:rtl w:val="0"/>
        </w:rPr>
        <w:t xml:space="preserve">”, de Simon Haykin.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eb2ve480t7pd" w:id="4"/>
      <w:bookmarkEnd w:id="4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Este texto oferece uma introdução intuitiva ao campo, contextualizando-o epistemologicamente. O campo de aprendizagem estatística tem definição pouco estabelecida. Abrange aspectos de matemática </w:t>
      </w:r>
      <w:r w:rsidDel="00000000" w:rsidR="00000000" w:rsidRPr="00000000">
        <w:rPr>
          <w:i w:val="1"/>
          <w:rtl w:val="0"/>
        </w:rPr>
        <w:t xml:space="preserve">pura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aplicada</w:t>
      </w:r>
      <w:r w:rsidDel="00000000" w:rsidR="00000000" w:rsidRPr="00000000">
        <w:rPr>
          <w:rtl w:val="0"/>
        </w:rPr>
        <w:t xml:space="preserve">. Com uma perspectiva mais geral, a </w:t>
      </w:r>
      <w:r w:rsidDel="00000000" w:rsidR="00000000" w:rsidRPr="00000000">
        <w:rPr>
          <w:i w:val="1"/>
          <w:rtl w:val="0"/>
        </w:rPr>
        <w:t xml:space="preserve">matemática pura </w:t>
      </w:r>
      <w:r w:rsidDel="00000000" w:rsidR="00000000" w:rsidRPr="00000000">
        <w:rPr>
          <w:rtl w:val="0"/>
        </w:rPr>
        <w:t xml:space="preserve">desenvolve abstrações básicas, descrevendo o comportamento de números, probabilidades, funções e outras entidades. Veremos que progressos fundamentais foram feitos por nomes como </w:t>
      </w:r>
      <w:r w:rsidDel="00000000" w:rsidR="00000000" w:rsidRPr="00000000">
        <w:rPr>
          <w:i w:val="1"/>
          <w:rtl w:val="0"/>
        </w:rPr>
        <w:t xml:space="preserve">De Moivre, Euler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Gauss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Em </w:t>
      </w:r>
      <w:r w:rsidDel="00000000" w:rsidR="00000000" w:rsidRPr="00000000">
        <w:rPr>
          <w:i w:val="1"/>
          <w:rtl w:val="0"/>
        </w:rPr>
        <w:t xml:space="preserve">matemática aplicada</w:t>
      </w:r>
      <w:r w:rsidDel="00000000" w:rsidR="00000000" w:rsidRPr="00000000">
        <w:rPr>
          <w:rtl w:val="0"/>
        </w:rPr>
        <w:t xml:space="preserve">, especialistas estudam a relação dessas abstrações com fenômenos observáveis. Estas pessoas empregam métodos quantitativos a contextos restritos: por exemplo,  James Clerk Maxwell deduziu (1860) a distribuição estatística e velocidade de partículas em um gás ideal, conhecida como distribuição de Maxwell–Boltzmann. Em estatística, veremos a descoberta da distribuição </w:t>
      </w:r>
      <w:r w:rsidDel="00000000" w:rsidR="00000000" w:rsidRPr="00000000">
        <w:rPr>
          <w:i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para as estimativas de uma média por Wlliam Gosset.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São exemplos de campos que fazem uso extenso das ferramentas descritas: neurociências (</w:t>
      </w:r>
      <w:r w:rsidDel="00000000" w:rsidR="00000000" w:rsidRPr="00000000">
        <w:rPr>
          <w:i w:val="1"/>
          <w:rtl w:val="0"/>
        </w:rPr>
        <w:t xml:space="preserve">modelos lineares em fmri)</w:t>
      </w:r>
      <w:r w:rsidDel="00000000" w:rsidR="00000000" w:rsidRPr="00000000">
        <w:rPr>
          <w:rtl w:val="0"/>
        </w:rPr>
        <w:t xml:space="preserve">, psicometria (</w:t>
      </w:r>
      <w:r w:rsidDel="00000000" w:rsidR="00000000" w:rsidRPr="00000000">
        <w:rPr>
          <w:i w:val="1"/>
          <w:rtl w:val="0"/>
        </w:rPr>
        <w:t xml:space="preserve">análise fatorial</w:t>
      </w:r>
      <w:r w:rsidDel="00000000" w:rsidR="00000000" w:rsidRPr="00000000">
        <w:rPr>
          <w:rtl w:val="0"/>
        </w:rPr>
        <w:t xml:space="preserve">), ecologia, biologia molecular (</w:t>
      </w:r>
      <w:r w:rsidDel="00000000" w:rsidR="00000000" w:rsidRPr="00000000">
        <w:rPr>
          <w:i w:val="1"/>
          <w:rtl w:val="0"/>
        </w:rPr>
        <w:t xml:space="preserve">testes estatísticos</w:t>
      </w:r>
      <w:r w:rsidDel="00000000" w:rsidR="00000000" w:rsidRPr="00000000">
        <w:rPr>
          <w:rtl w:val="0"/>
        </w:rPr>
        <w:t xml:space="preserve">), ciências clínicas (</w:t>
      </w:r>
      <w:r w:rsidDel="00000000" w:rsidR="00000000" w:rsidRPr="00000000">
        <w:rPr>
          <w:i w:val="1"/>
          <w:rtl w:val="0"/>
        </w:rPr>
        <w:t xml:space="preserve">meta-análises e inferência causal)</w:t>
      </w:r>
      <w:r w:rsidDel="00000000" w:rsidR="00000000" w:rsidRPr="00000000">
        <w:rPr>
          <w:rtl w:val="0"/>
        </w:rPr>
        <w:t xml:space="preserve">, economia, marketing, algotrading.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Este texto introduz e fornece um guia para aplicações práticas destas ferramentas a fenômenos observáveis. É destinados aos profissionais e pesquisadores trabalhando na fronteira entre matemática aplicada e ciências naturais.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primeiro capítulo ilustra como o racional hipotético-dedutivo funciona para estudar teorias científicas. Aborda a relação entre ciências empíricas e três abstrações matemáticas: a distribuição normal, a distribuição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e o teorema do limite central.  O segundo capítulo aborda correlações e modelos preditivos lineares. Um framework frequencista e linguagem R são usados para demonstrações de exemplos e exercícios.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terceiro capítulo apresenta um racional diferente para os procedimentos. Usando o conceito de holismo epistemológico (von Quine), reproduzidos as análises anteriores usando inferência bayesiana. Fazemos perguntas diferentes para obter informações de nossos dados. No capítulo quatro, o foco está em modelos classificatórios e na função logística. Usamos R, Stan e um framework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bayesiano para modelos simples e hierárquicos. Exploramos o poder das simulações através de Markov Chain Monte Carlo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obter estimativas difíceis de tratar analiticamente.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quarto capítulo ilustra o uso de grafos/redes para a construção de modelos preditivos. Os exemplos são de Support Vector Machine e Redes Neurais. Modelos são construídos do zero (</w:t>
      </w:r>
      <w:r w:rsidDel="00000000" w:rsidR="00000000" w:rsidRPr="00000000">
        <w:rPr>
          <w:i w:val="1"/>
          <w:rtl w:val="0"/>
        </w:rPr>
        <w:t xml:space="preserve">from scratch</w:t>
      </w:r>
      <w:r w:rsidDel="00000000" w:rsidR="00000000" w:rsidRPr="00000000">
        <w:rPr>
          <w:rtl w:val="0"/>
        </w:rPr>
        <w:t xml:space="preserve">) para ilustrar dois mecanismos importantes de otimização (</w:t>
      </w:r>
      <w:r w:rsidDel="00000000" w:rsidR="00000000" w:rsidRPr="00000000">
        <w:rPr>
          <w:i w:val="1"/>
          <w:rtl w:val="0"/>
        </w:rPr>
        <w:t xml:space="preserve">gradient descent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back propagation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ldahn3cfpnud" w:id="5"/>
      <w:bookmarkEnd w:id="5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Capítulo 0 - Ferramentas: programação com estatística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 : Curso rápido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Instalação, R e Rstudio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Tipos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Operadores úteis: &lt;- , %&gt;%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Vetores, loops e recursões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Matrizes e dataframes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Gramática dos gráficos e ggplot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Capítulo 1 - Os pássaros de Darwin e o método hipotético dedutivo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Teorema do limite central e Distribuição normal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Distribuição </w:t>
      </w:r>
      <w:r w:rsidDel="00000000" w:rsidR="00000000" w:rsidRPr="00000000">
        <w:rPr>
          <w:i w:val="1"/>
          <w:rtl w:val="0"/>
        </w:rPr>
        <w:t xml:space="preserve">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Método hipotético-dedutivo e Testes de hipótese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p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Capítulo 2 - Expectativa de vida e assistência em saúde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Relações lineares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Coeficiente de correlação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de Pearson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Regressão linear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Capítulo 3 - Contexto e inferência Bayesiana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Intuições sobre distribuições probabilísticas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Inferência Bayesiana para teste de diferenças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correlação linear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Classificação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Regressão logística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/>
        <w:ind w:left="2160" w:hanging="360"/>
        <w:jc w:val="both"/>
        <w:rPr>
          <w:color w:val="efefef"/>
        </w:rPr>
      </w:pPr>
      <w:r w:rsidDel="00000000" w:rsidR="00000000" w:rsidRPr="00000000">
        <w:rPr>
          <w:color w:val="efefef"/>
          <w:rtl w:val="0"/>
        </w:rPr>
        <w:t xml:space="preserve">Modelos hierárquicos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/>
        <w:ind w:left="1440" w:hanging="360"/>
        <w:jc w:val="both"/>
        <w:rPr>
          <w:i w:val="1"/>
          <w:color w:val="efefef"/>
        </w:rPr>
      </w:pPr>
      <w:r w:rsidDel="00000000" w:rsidR="00000000" w:rsidRPr="00000000">
        <w:rPr>
          <w:color w:val="efefef"/>
          <w:rtl w:val="0"/>
        </w:rPr>
        <w:t xml:space="preserve">Flexibilidade Bayesiana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/>
        <w:ind w:left="2160" w:hanging="360"/>
        <w:jc w:val="both"/>
        <w:rPr>
          <w:i w:val="1"/>
          <w:color w:val="efefef"/>
        </w:rPr>
      </w:pPr>
      <w:r w:rsidDel="00000000" w:rsidR="00000000" w:rsidRPr="00000000">
        <w:rPr>
          <w:color w:val="efefef"/>
          <w:rtl w:val="0"/>
        </w:rPr>
        <w:t xml:space="preserve">Usando priors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2160" w:hanging="360"/>
        <w:jc w:val="both"/>
        <w:rPr>
          <w:i w:val="1"/>
          <w:color w:val="efefef"/>
        </w:rPr>
      </w:pPr>
      <w:r w:rsidDel="00000000" w:rsidR="00000000" w:rsidRPr="00000000">
        <w:rPr>
          <w:color w:val="efefef"/>
          <w:rtl w:val="0"/>
        </w:rPr>
        <w:t xml:space="preserve">O estimador </w:t>
      </w:r>
      <w:r w:rsidDel="00000000" w:rsidR="00000000" w:rsidRPr="00000000">
        <w:rPr>
          <w:i w:val="1"/>
          <w:color w:val="efefef"/>
          <w:rtl w:val="0"/>
        </w:rPr>
        <w:t xml:space="preserve">Markov Chain Monte Carlo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Capítulo 4 - Redes neurais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Support Vector Machines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Gradient Descending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Redes Neurais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/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Backpropagation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 (múltiplas camadas)</w:t>
      </w:r>
    </w:p>
    <w:p w:rsidR="00000000" w:rsidDel="00000000" w:rsidP="00000000" w:rsidRDefault="00000000" w:rsidRPr="00000000" w14:paraId="00000036">
      <w:pPr>
        <w:jc w:val="both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Capítulo 5 - Programação probabilística para contextos gerais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/>
        <w:ind w:left="1440" w:hanging="360"/>
        <w:jc w:val="both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Inferência Bayesiana para cosmologia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/>
        <w:ind w:left="2160" w:hanging="360"/>
        <w:jc w:val="both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Prevendo halos de matéria escura (Kaggle top solution)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jc w:val="both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Redes neurais probabilísticas com PyMC3</w:t>
      </w:r>
    </w:p>
    <w:p w:rsidR="00000000" w:rsidDel="00000000" w:rsidP="00000000" w:rsidRDefault="00000000" w:rsidRPr="00000000" w14:paraId="0000003A">
      <w:pPr>
        <w:jc w:val="both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Capítulo 6 - Ambientes desconhecidos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1440" w:hanging="360"/>
        <w:jc w:val="both"/>
        <w:rPr>
          <w:color w:val="d9d9d9"/>
          <w:u w:val="none"/>
        </w:rPr>
      </w:pPr>
      <w:r w:rsidDel="00000000" w:rsidR="00000000" w:rsidRPr="00000000">
        <w:rPr>
          <w:color w:val="d9d9d9"/>
          <w:rtl w:val="0"/>
        </w:rPr>
        <w:t xml:space="preserve">Aprendizagem não supervisionada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/>
        <w:ind w:left="2160" w:hanging="360"/>
        <w:jc w:val="both"/>
        <w:rPr>
          <w:color w:val="d9d9d9"/>
          <w:u w:val="none"/>
        </w:rPr>
      </w:pPr>
      <w:r w:rsidDel="00000000" w:rsidR="00000000" w:rsidRPr="00000000">
        <w:rPr>
          <w:color w:val="d9d9d9"/>
          <w:rtl w:val="0"/>
        </w:rPr>
        <w:t xml:space="preserve">Redução de dimensões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/>
        <w:ind w:left="2160" w:hanging="360"/>
        <w:jc w:val="both"/>
        <w:rPr>
          <w:color w:val="d9d9d9"/>
          <w:u w:val="none"/>
        </w:rPr>
      </w:pPr>
      <w:r w:rsidDel="00000000" w:rsidR="00000000" w:rsidRPr="00000000">
        <w:rPr>
          <w:color w:val="d9d9d9"/>
          <w:rtl w:val="0"/>
        </w:rPr>
        <w:t xml:space="preserve">Clustering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1440" w:hanging="360"/>
        <w:jc w:val="both"/>
        <w:rPr>
          <w:color w:val="d9d9d9"/>
          <w:u w:val="none"/>
        </w:rPr>
      </w:pPr>
      <w:r w:rsidDel="00000000" w:rsidR="00000000" w:rsidRPr="00000000">
        <w:rPr>
          <w:color w:val="d9d9d9"/>
          <w:rtl w:val="0"/>
        </w:rPr>
        <w:t xml:space="preserve">Aprendizagem semi-supervisionada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  <w:jc w:val="both"/>
        <w:rPr>
          <w:color w:val="d9d9d9"/>
          <w:u w:val="none"/>
        </w:rPr>
      </w:pPr>
      <w:r w:rsidDel="00000000" w:rsidR="00000000" w:rsidRPr="00000000">
        <w:rPr>
          <w:color w:val="d9d9d9"/>
          <w:rtl w:val="0"/>
        </w:rPr>
        <w:t xml:space="preserve">Reinforcement learning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hv6jbo8f4ji8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5ox2cz873wdf" w:id="7"/>
      <w:bookmarkEnd w:id="7"/>
      <w:r w:rsidDel="00000000" w:rsidR="00000000" w:rsidRPr="00000000">
        <w:rPr>
          <w:rtl w:val="0"/>
        </w:rPr>
        <w:t xml:space="preserve">Pré-requisitos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Para uma leitura fluida do texto, recomenda-se a compreensão de rudimentos em probabilidade, estatística e cálculo (análise real). Os exemplos com ferramentas computacionais (exceto gráficos) usam </w:t>
      </w:r>
      <w:r w:rsidDel="00000000" w:rsidR="00000000" w:rsidRPr="00000000">
        <w:rPr>
          <w:rtl w:val="0"/>
        </w:rPr>
        <w:t xml:space="preserve">sintaxe semelhante à matemática apresentada no texto. Assim, baixa familiaridade com linguagens de programação não é uma barreira.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Todos os exemplos podem ser reproduzidos usando software livre.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2q8zkzwww1xh" w:id="8"/>
      <w:bookmarkEnd w:id="8"/>
      <w:r w:rsidDel="00000000" w:rsidR="00000000" w:rsidRPr="00000000">
        <w:rPr>
          <w:rtl w:val="0"/>
        </w:rPr>
        <w:t xml:space="preserve">Leitura recomendada:</w:t>
      </w:r>
    </w:p>
    <w:p w:rsidR="00000000" w:rsidDel="00000000" w:rsidP="00000000" w:rsidRDefault="00000000" w:rsidRPr="00000000" w14:paraId="00000045">
      <w:pP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Neurociências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Principles of neural science - Eric Kandel</w:t>
      </w:r>
    </w:p>
    <w:p w:rsidR="00000000" w:rsidDel="00000000" w:rsidP="00000000" w:rsidRDefault="00000000" w:rsidRPr="00000000" w14:paraId="0000004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Matemática pura e programação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Better Explained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https://betterexplained.com/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What is mathematics - Courant &amp; Robbins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Fundamentos da matemática elementar - Iezzi (Vol. 5)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MOOCs sobre estatística básica usando R (e.g.: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https://www.coursera.org/specializations/statistics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Cálculo Diferencial e Integral - Piskounov =)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line="240" w:lineRule="auto"/>
        <w:ind w:left="720" w:hanging="360"/>
        <w:jc w:val="left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http://material.curso-r.com/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 Graphics Cookbook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 Inferno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Learn you a Haskell for Great Good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Layered Grammar of Graphic - Hadley Wickham.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art of computer programming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Algorithms unlocked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Portais: statsexchange, stackoverflow, mathexchange, cross-validated.</w:t>
      </w:r>
    </w:p>
    <w:p w:rsidR="00000000" w:rsidDel="00000000" w:rsidP="00000000" w:rsidRDefault="00000000" w:rsidRPr="00000000" w14:paraId="00000056">
      <w:pPr>
        <w:spacing w:after="0" w:line="240" w:lineRule="auto"/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lin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An Introduction to Statistical Learning: with Applications in R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Neural Networks and Learning Machines - Simon Haykin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Stanford course on computer vision: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http://cs231n.stanford.edu/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Deep learning at Oxford 2015: (https://www.youtube.com/watch?v=dV80NAlEins&amp;list=PLE6Wd9FR--EfW8dtjAuPoTuPcqmOV53Fu) </w:t>
      </w:r>
    </w:p>
    <w:p w:rsidR="00000000" w:rsidDel="00000000" w:rsidP="00000000" w:rsidRDefault="00000000" w:rsidRPr="00000000" w14:paraId="0000005C">
      <w:pPr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s231n.stanford.edu/" TargetMode="External"/><Relationship Id="rId9" Type="http://schemas.openxmlformats.org/officeDocument/2006/relationships/hyperlink" Target="http://material.curso-r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etterexplained.com/" TargetMode="External"/><Relationship Id="rId8" Type="http://schemas.openxmlformats.org/officeDocument/2006/relationships/hyperlink" Target="https://www.coursera.org/specializations/statis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