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E1B1B"/>
          <w:spacing w:val="30"/>
          <w:sz w:val="18"/>
          <w:szCs w:val="18"/>
        </w:rPr>
        <w:t xml:space="preserve">DESIGN SYSTEM ANALYSIS</w:t>
      </w:r>
    </w:p>
    <w:p>
      <w:pPr>
        <w:spacing w:after="100"/>
        <w:jc w:val="center"/>
      </w:pPr>
      <w:r>
        <w:rPr>
          <w:b/>
          <w:bCs/>
          <w:color w:val="0F0F0F"/>
          <w:sz w:val="40"/>
          <w:szCs w:val="40"/>
        </w:rPr>
        <w:t xml:space="preserve">Aeon.co — Structure, Typography &amp; Color</w:t>
      </w:r>
    </w:p>
    <w:p>
      <w:pPr>
        <w:spacing w:after="400"/>
        <w:jc w:val="center"/>
      </w:pPr>
      <w:r>
        <w:rPr>
          <w:i/>
          <w:iCs/>
          <w:color w:val="6E6E6A"/>
          <w:sz w:val="20"/>
          <w:szCs w:val="20"/>
        </w:rPr>
        <w:t xml:space="preserve">A reference document extracted for the Shola Jawid publishing platform</w:t>
      </w:r>
    </w:p>
    <w:p>
      <w:pPr>
        <w:pBdr>
          <w:bottom w:val="single" w:color="E6E5E1" w:sz="6" w:space="4"/>
        </w:pBdr>
        <w:spacing w:after="200"/>
      </w:pPr>
    </w:p>
    <w:p>
      <w:pPr>
        <w:pStyle w:val="Heading1"/>
        <w:spacing w:after="200" w:before="480"/>
      </w:pPr>
      <w:r>
        <w:rPr>
          <w:b/>
          <w:bCs/>
          <w:color w:val="0F0F0F"/>
          <w:sz w:val="32"/>
          <w:szCs w:val="32"/>
        </w:rPr>
        <w:t xml:space="preserve">Executive summary</w:t>
      </w:r>
    </w:p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Aeon is a serious editorial magazine that has resisted every temptation to look like a generic "content site." This document breaks down exactly how — the color system, the type pairing, the page anatomy — so the same discipline can be applied to Shola Jawid's own Crimson brand system, not copied wholesale but understood as a working reference point.</w:t>
      </w:r>
    </w:p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The core idea worth borrowing: restraint is the design. Aeon uses almost no decoration — no card borders, no colored boxes, no icons — and lets typographic hierarchy and whitespace do all the organizing work. This is the same principle already written into the Shola Jawid brand guide's 60/30/10 rule; Aeon is proof that the rule works at full scale in production.</w:t>
      </w:r>
    </w:p>
    <w:p>
      <w:pPr>
        <w:pStyle w:val="Heading1"/>
        <w:spacing w:after="200" w:before="480"/>
      </w:pPr>
      <w:r>
        <w:rPr>
          <w:b/>
          <w:bCs/>
          <w:color w:val="0F0F0F"/>
          <w:sz w:val="32"/>
          <w:szCs w:val="32"/>
        </w:rPr>
        <w:t xml:space="preserve">1. Color system</w:t>
      </w:r>
    </w:p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Aeon's palette is almost entirely achromatic — the site is built on paper white, ink black, and warm neutral grays. Color is reserved almost exclusively for one functional signal: the crimson-red brand mark and interactive accents (links, the donate button; the browser theme-color meta tag itself is #9d120d, a dark crimson red).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Swatch</w:t>
            </w:r>
          </w:p>
        </w:tc>
        <w:tc>
          <w:tcPr>
            <w:tcW w:type="dxa" w:w="22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Approx. hex</w:t>
            </w:r>
          </w:p>
        </w:tc>
        <w:tc>
          <w:tcPr>
            <w:tcW w:type="dxa" w:w="47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Where it appears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Paper white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#FFFFFF</w:t>
            </w:r>
          </w:p>
        </w:tc>
        <w:tc>
          <w:tcPr>
            <w:tcW w:type="dxa" w:w="4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Dominant canvas — well over 90% of every screen. Never tinted.</w:t>
            </w:r>
          </w:p>
        </w:tc>
      </w:tr>
      <w:tr>
        <w:tc>
          <w:tcPr>
            <w:tcW w:type="dxa" w:w="700"/>
            <w:shd w:fill="0F0F0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Ink black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#0F0F0F</w:t>
            </w:r>
          </w:p>
        </w:tc>
        <w:tc>
          <w:tcPr>
            <w:tcW w:type="dxa" w:w="4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All body text, headlines, nav labels — the entire typographic layer.</w:t>
            </w:r>
          </w:p>
        </w:tc>
      </w:tr>
      <w:tr>
        <w:tc>
          <w:tcPr>
            <w:tcW w:type="dxa" w:w="700"/>
            <w:shd w:fill="9D12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Aeon crimson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#9D120D</w:t>
            </w:r>
          </w:p>
        </w:tc>
        <w:tc>
          <w:tcPr>
            <w:tcW w:type="dxa" w:w="4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Theme-color meta tag, donate CTA, hover states — sparse accent only, never a background or headline color.</w:t>
            </w:r>
          </w:p>
        </w:tc>
      </w:tr>
      <w:tr>
        <w:tc>
          <w:tcPr>
            <w:tcW w:type="dxa" w:w="700"/>
            <w:shd w:fill="6E6E6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Warm stone gray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#6E6E6A</w:t>
            </w:r>
          </w:p>
        </w:tc>
        <w:tc>
          <w:tcPr>
            <w:tcW w:type="dxa" w:w="4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Bylines, dates, captions, metadata — anything secondary to the reading experience.</w:t>
            </w:r>
          </w:p>
        </w:tc>
      </w:tr>
      <w:tr>
        <w:tc>
          <w:tcPr>
            <w:tcW w:type="dxa" w:w="700"/>
            <w:shd w:fill="E6E5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Hairline gray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#E6E5E1</w:t>
            </w:r>
          </w:p>
        </w:tc>
        <w:tc>
          <w:tcPr>
            <w:tcW w:type="dxa" w:w="4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Dividers between cards, thin rules — never a full section background.</w:t>
            </w:r>
          </w:p>
        </w:tc>
      </w:tr>
    </w:tbl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Notice the ratio: this is functionally the same 60/30/10 discipline already defined in the Shola Jawid brand guide (Paper White / Ink Black / Crimson) — Aeon just proves it in a live, high-traffic publication. The crimson in both systems is rationed the same way: small, meaningful, never decorative, never used for large fills or headline color.</w:t>
      </w:r>
    </w:p>
    <w:p>
      <w:pPr>
        <w:pStyle w:val="Heading1"/>
        <w:spacing w:after="200" w:before="480"/>
      </w:pPr>
      <w:r>
        <w:rPr>
          <w:b/>
          <w:bCs/>
          <w:color w:val="0F0F0F"/>
          <w:sz w:val="32"/>
          <w:szCs w:val="32"/>
        </w:rPr>
        <w:t xml:space="preserve">2. Typography — and why the pairing matches the content</w:t>
      </w:r>
    </w:p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Aeon pairs exactly two type families, each doing one job: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Family</w:t>
            </w:r>
          </w:p>
        </w:tc>
        <w:tc>
          <w:tcPr>
            <w:tcW w:type="dxa" w:w="50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Why it fits the content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Headlines &amp; dek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Serif display face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Serif carries the weight of long-form argument — it signals "this took a writer weeks, not a listicle." The serif does editorial work: it tells the reader to slow down before they've read a word.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Body copy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Serif, same family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4,000-word essays are the norm, not the exception. A serif body face at generous line-height is a comfort decision for genuinely long reading sessions — this is not a scroll-and-skim site.</w:t>
            </w:r>
          </w:p>
        </w:tc>
      </w:tr>
      <w:t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Nav, labels, metadata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Sans-serif, small size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Anything functional (nav links, tags, byline, word count) drops to sans — a quiet visual cue that this is UI, not editorial voice. The reader's eye learns the switch instantly: serif means someone's argument, sans means the site talking to you.</w:t>
            </w:r>
          </w:p>
        </w:tc>
      </w:tr>
    </w:tbl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This exact logic is already encoded in the Shola Jawid brand guide, and it maps almost one-to-one: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Newsreader (English display/body) plays the same role as Aeon's editorial serif — the "voice of the writer."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Vazirmatn (Persian display/body/UI) has to do double duty since Persian typically uses one typeface for both roles — which is why the brand guide separates it by weight instead of family: 800 ExtraBold for headlines, 400 Regular for body, 600 SemiBold for UI labels. This is the same serif/sans split, expressed through weight rather than family, and it is the correct adaptation for RTL Persian rather than a compromise.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JetBrains Mono (metadata, topic tags) plays exactly the role Aeon's small sans plays for word count and category labels — a monospace signal that this is data about the article, not the article itself.</w:t>
      </w:r>
    </w:p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The underlying principle, stated once: typography should announce who is speaking. A headline and a byline should never be mistaken for each other at a glance, even out of context. That is the whole trick — and it is why the brand guide's type scale (Display 56px / H1 40px / Body 17px / Caption 12px) already has the right bones for it.</w:t>
      </w:r>
    </w:p>
    <w:p>
      <w:pPr>
        <w:pStyle w:val="Heading1"/>
        <w:spacing w:after="200" w:before="480"/>
      </w:pPr>
      <w:r>
        <w:rPr>
          <w:b/>
          <w:bCs/>
          <w:color w:val="0F0F0F"/>
          <w:sz w:val="32"/>
          <w:szCs w:val="32"/>
        </w:rPr>
        <w:t xml:space="preserve">3. Structural language — the page-level grammar</w:t>
      </w:r>
    </w:p>
    <w:p>
      <w:pPr>
        <w:pStyle w:val="Heading2"/>
        <w:spacing w:after="140" w:before="320"/>
      </w:pPr>
      <w:r>
        <w:rPr>
          <w:b/>
          <w:bCs/>
          <w:color w:val="8E1B1B"/>
          <w:sz w:val="24"/>
          <w:szCs w:val="24"/>
        </w:rPr>
        <w:t xml:space="preserve">3.1 — Global chrome stays thin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Single-row header: five topic links, two content-type links (Essays/Videos), one utility link (About), two CTAs (Donate/Newsletter). No dropdown mega-menus, no second nav row.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Sister-site links (Psyche, Sophia Club) sit quietly at the header edge — exactly the role "شعله جاوید / جهان برای فتح" publication-switching should play for Shola Jawid, rather than being a separate prominent nav item.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Footer mirrors the header almost exactly — a closed loop, not a sitemap dump. Essays/Videos, About/Contact/Support, RSS/Donate/Guidelines.</w:t>
      </w:r>
    </w:p>
    <w:p>
      <w:pPr>
        <w:pStyle w:val="Heading2"/>
        <w:spacing w:after="140" w:before="320"/>
      </w:pPr>
      <w:r>
        <w:rPr>
          <w:b/>
          <w:bCs/>
          <w:color w:val="8E1B1B"/>
          <w:sz w:val="24"/>
          <w:szCs w:val="24"/>
        </w:rPr>
        <w:t xml:space="preserve">3.2 — Homepage: one dominant story, then a dense uniform grid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A single full-bleed hero with exactly one story — no slider, no "featured x3" carousel competing for attention.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Below the hero: a dense card grid where every card follows the identical anatomy (image, format label, category, title, dek, author). The repetition is the mechanism — readers never have to re-learn a card shape while scrolling.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Content-type (essay vs. video) is expressed as a small label inside the same card, not as a separate layout. Directly transferable: Shola Jawid's article / issue / library-document cards should share one card partial with a swapped type-tag, not three different visual templates.</w:t>
      </w:r>
    </w:p>
    <w:p>
      <w:pPr>
        <w:pStyle w:val="Heading2"/>
        <w:spacing w:after="140" w:before="320"/>
      </w:pPr>
      <w:r>
        <w:rPr>
          <w:b/>
          <w:bCs/>
          <w:color w:val="8E1B1B"/>
          <w:sz w:val="24"/>
          <w:szCs w:val="24"/>
        </w:rPr>
        <w:t xml:space="preserve">3.3 — Article page anatomy (see diagram above)</w:t>
      </w:r>
    </w:p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This is the most transferable pattern for single.php. In order, top to bottom: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Full-bleed hero image, edge to edge, no container padding.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H1 headline, then immediately a larger, lighter dek/subtitle — this is precisely the "دکِ مقاله" (article deck) token already reserved at #2A2A2A in the brand guide.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Byline block sitting above the body: author plus short bio disclosure, editor credit — small and quiet, never buried in a footer.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A plain metadata row: word count, reading time, save action — no icon clutter.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Topic tags placed directly under the byline, not at the top of the page and not only at the bottom — so the reader knows the piece's category right before they start reading.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Body copy with no visual gimmicks: pull-quotes are bare bold-italic lines, never boxed; related-essay links are woven into the prose itself rather than interrupting it with a callout box.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color w:val="2A2A2A"/>
          <w:sz w:val="21"/>
          <w:szCs w:val="21"/>
        </w:rPr>
        <w:t xml:space="preserve">Tags repeat at the very end of the article, followed by a related-essays rail using the identical card anatomy from the homepage — the pattern never breaks, even at the point furthest from the header.</w:t>
      </w:r>
    </w:p>
    <w:p>
      <w:pPr>
        <w:pStyle w:val="Heading2"/>
        <w:spacing w:after="140" w:before="320"/>
      </w:pPr>
      <w:r>
        <w:rPr>
          <w:b/>
          <w:bCs/>
          <w:color w:val="8E1B1B"/>
          <w:sz w:val="24"/>
          <w:szCs w:val="24"/>
        </w:rPr>
        <w:t xml:space="preserve">3.4 — Section separation: whitespace and type scale, not boxes</w:t>
      </w:r>
    </w:p>
    <w:p>
      <w:pPr>
        <w:spacing w:after="160" w:line="34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Aeon almost never uses borders, background tints, or card containers to separate sections. Sections are separated by whitespace and a jump in type scale (title, dek, byline, tags, body), each a visually distinct size and weight. Whitespace is structural, not empty — this is the same language already used in the Shola Jawid brand guide's writing on generous space reading as authority, not emptiness.</w:t>
      </w:r>
    </w:p>
    <w:p>
      <w:pPr>
        <w:pStyle w:val="Heading1"/>
        <w:spacing w:after="200" w:before="480"/>
      </w:pPr>
      <w:r>
        <w:rPr>
          <w:b/>
          <w:bCs/>
          <w:color w:val="0F0F0F"/>
          <w:sz w:val="32"/>
          <w:szCs w:val="32"/>
        </w:rPr>
        <w:t xml:space="preserve">4. Direct mapping to the Shola Jawid theme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Aeon pattern</w:t>
            </w:r>
          </w:p>
        </w:tc>
        <w:tc>
          <w:tcPr>
            <w:tcW w:type="dxa" w:w="26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Shola Jawid equivalent</w:t>
            </w:r>
          </w:p>
        </w:tc>
        <w:tc>
          <w:tcPr>
            <w:tcW w:type="dxa" w:w="3800"/>
            <w:shd w:fill="D3D1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0F0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Flat 5-item topic nav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موضوعات nav</w:t>
            </w:r>
          </w:p>
        </w:tc>
        <w:tc>
          <w:tcPr>
            <w:tcW w:type="dxa" w:w="3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Keep flat — resist a dropdown mega-menu even as topic count grows.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Single hero story, no slider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front-page.php hero</w:t>
            </w:r>
          </w:p>
        </w:tc>
        <w:tc>
          <w:tcPr>
            <w:tcW w:type="dxa" w:w="3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Already specified in the v5 Crimson Field prototype — this confirms the direction.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One card anatomy, type-tag swap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Article / issue / document cards</w:t>
            </w:r>
          </w:p>
        </w:tc>
        <w:tc>
          <w:tcPr>
            <w:tcW w:type="dxa" w:w="3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Reuse a single card partial across all three CPTs rather than building three card designs.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Dek line under H1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"دکِ مقاله" token, #2A2A2A</w:t>
            </w:r>
          </w:p>
        </w:tc>
        <w:tc>
          <w:tcPr>
            <w:tcW w:type="dxa" w:w="3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Already defined in the brand guide — needs placement in single.php per this diagram.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Tags under byline, repeated at end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Topic taxonomy on single.php</w:t>
            </w:r>
          </w:p>
        </w:tc>
        <w:tc>
          <w:tcPr>
            <w:tcW w:type="dxa" w:w="3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Current plan likely places tags once — add the end-of-article repeat.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Whitespace-driven section breaks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9"/>
                <w:szCs w:val="19"/>
              </w:rPr>
              <w:t xml:space="preserve">60/30/10 rule</w:t>
            </w:r>
          </w:p>
        </w:tc>
        <w:tc>
          <w:tcPr>
            <w:tcW w:type="dxa" w:w="3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F0F0F"/>
                <w:sz w:val="18"/>
                <w:szCs w:val="18"/>
              </w:rPr>
              <w:t xml:space="preserve">Already the Shola Jawid rule — Aeon is a live proof-of-concept at scale.</w:t>
            </w:r>
          </w:p>
        </w:tc>
      </w:tr>
    </w:tbl>
    <w:p>
      <w:pPr>
        <w:pStyle w:val="Heading1"/>
        <w:spacing w:after="200" w:before="480"/>
      </w:pPr>
      <w:r>
        <w:rPr>
          <w:b/>
          <w:bCs/>
          <w:color w:val="0F0F0F"/>
          <w:sz w:val="32"/>
          <w:szCs w:val="32"/>
        </w:rPr>
        <w:t xml:space="preserve">5. The one idea to take, if only one</w:t>
      </w:r>
    </w:p>
    <w:p>
      <w:pPr>
        <w:spacing w:after="160" w:line="340"/>
      </w:pPr>
      <w:r>
        <w:rPr>
          <w:b w:val="false"/>
          <w:bCs w:val="false"/>
          <w:i/>
          <w:iCs/>
          <w:color w:val="2A2A2A"/>
          <w:sz w:val="21"/>
          <w:szCs w:val="21"/>
        </w:rPr>
        <w:t xml:space="preserve">Restraint is not the absence of a design decision — it is the design decision. Every part of Aeon that reads as modern, clear, and professional is the result of removing something a typical CMS theme would add by default: a second nav row, a colored card background, an icon next to every label, a border around every block. The Shola Jawid brand guide already states this as its first principle: discipline through subtraction, not addition. The job in implementation is not to add features to match Aeon — it is to keep refusing the ones that do not earn their place.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A"/>
        <w:sz w:val="16"/>
        <w:szCs w:val="16"/>
      </w:rPr>
      <w:t xml:space="preserve">Page </w:t>
    </w:r>
    <w:r>
      <w:rPr>
        <w:color w:val="6E6E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6E6A"/>
        <w:sz w:val="16"/>
        <w:szCs w:val="16"/>
      </w:rPr>
      <w:t xml:space="preserve">شعله جاوید · Aeon Design Analysis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2026-07-21T11:58:41.133Z</dcterms:created>
  <dcterms:modified xsi:type="dcterms:W3CDTF">2026-07-21T11:58:41.147Z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