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28"/>
          <w:szCs w:val="28"/>
        </w:rPr>
        <w:t xml:space="preserve">DynSciGraph-TF: A Temporal Knowledge Graph Forecasting Framework for Pre-incident Cyber Threat Prediction in U.S. Critical Infrastructure</w:t>
      </w:r>
    </w:p>
    <w:p>
      <w:pPr>
        <w:spacing w:after="240"/>
        <w:jc w:val="center"/>
      </w:pPr>
      <w:r>
        <w:rPr>
          <w:i/>
          <w:iCs/>
          <w:sz w:val="22"/>
          <w:szCs w:val="22"/>
        </w:rPr>
        <w:t xml:space="preserve">(Project name: DynSciGraph)</w:t>
      </w:r>
    </w:p>
    <w:p>
      <w:pPr>
        <w:spacing w:after="120"/>
        <w:jc w:val="center"/>
      </w:pPr>
      <w:r>
        <w:rPr>
          <w:i/>
          <w:iCs/>
          <w:sz w:val="24"/>
          <w:szCs w:val="24"/>
        </w:rPr>
        <w:t xml:space="preserve">Research Concept Paper</w:t>
      </w:r>
    </w:p>
    <w:p>
      <w:pPr>
        <w:spacing w:after="60"/>
        <w:jc w:val="center"/>
      </w:pPr>
      <w:r>
        <w:rPr>
          <w:sz w:val="22"/>
          <w:szCs w:val="22"/>
        </w:rPr>
        <w:t xml:space="preserve">Md Farhad Kabir</w:t>
      </w:r>
    </w:p>
    <w:p>
      <w:pPr>
        <w:spacing w:after="360"/>
        <w:jc w:val="center"/>
      </w:pPr>
      <w:r>
        <w:rPr>
          <w:i/>
          <w:iCs/>
          <w:sz w:val="20"/>
          <w:szCs w:val="20"/>
        </w:rPr>
        <w:t xml:space="preserve">Active Research — April 2026</w:t>
      </w:r>
    </w:p>
    <w:p>
      <w:pPr>
        <w:pStyle w:val="Heading1"/>
        <w:spacing w:after="180" w:before="360"/>
      </w:pPr>
      <w:r>
        <w:rPr>
          <w:b/>
          <w:bCs/>
          <w:sz w:val="28"/>
          <w:szCs w:val="28"/>
        </w:rPr>
        <w:t xml:space="preserve">Abstract</w:t>
      </w:r>
    </w:p>
    <w:p>
      <w:pPr>
        <w:spacing w:after="120" w:line="280"/>
        <w:jc w:val="both"/>
      </w:pPr>
      <w:r>
        <w:t xml:space="preserve">This concept paper presents DynSciGraph-TF, a temporal knowledge graph forecasting framework for pre-incident cyber threat prediction in U.S. critical infrastructure. The contribution is a hybrid architecture that integrates large language model (LLM)-based extraction from unstructured threat intelligence sources with temporal graph neural network (TGNN) forecasting over a unified cybersecurity knowledge graph constructed from MITRE ATT&amp;CK, the National Vulnerability Database, the Exploit Prediction Scoring System, and ISAC threat feeds. The paper formalizes the threat forecasting problem as conditional probability estimation over future graph edges given a temporal sequence of historical graph snapshots: P(E_{t+Δ} | G_1, G_2, ..., G_t). DynSciGraph-TF introduces three components not present in prior cyber threat intelligence systems: schema-aligned LLM extraction with cybersecurity-ontology constraints; a cybersecurity-specific TGNN encoder over a heterogeneous threat knowledge graph; and calibrated uncertainty quantification aligned with the NIST AI Risk Management Framework. The paper presents the full mathematical formulation, complete pseudocode, dataset schema specification, and a planned experimental evaluation against EPSS-only, CVSS-only, static-GNN, LSTM, Transformer, non-LLM-extraction, and reactive baselines. Empirical evaluation results are not yet available; this paper presents the framework specification and planned evaluation methodology.</w:t>
      </w:r>
    </w:p>
    <w:p>
      <w:pPr>
        <w:pStyle w:val="Heading1"/>
        <w:spacing w:after="180" w:before="360"/>
      </w:pPr>
      <w:r>
        <w:rPr>
          <w:b/>
          <w:bCs/>
          <w:sz w:val="28"/>
          <w:szCs w:val="28"/>
        </w:rPr>
        <w:t xml:space="preserve">1. Introduction</w:t>
      </w:r>
    </w:p>
    <w:p>
      <w:pPr>
        <w:spacing w:after="120" w:line="280"/>
        <w:jc w:val="both"/>
      </w:pPr>
      <w:r>
        <w:t xml:space="preserve">Current cybersecurity threat intelligence is overwhelmingly reactive. The MITRE ATT&amp;CK framework documents tactics, techniques, and procedures observed in actual incidents; new techniques are added after observation. The Common Vulnerabilities and Exposures (CVE) system catalogs vulnerabilities after disclosure. The Exploit Prediction Scoring System (EPSS) (Jacobs et al., 2021) estimates 30-day exploitation probability only for already-disclosed vulnerabilities. Commercial SIEM platforms aggregate observed indicators of compromise from incidents that have already occurred. Defenders consequently operate at a temporal disadvantage, allocating defensive resources to mitigate observed attack patterns while adversaries develop and deploy novel patterns.</w:t>
      </w:r>
    </w:p>
    <w:p>
      <w:pPr>
        <w:spacing w:after="120" w:line="280"/>
        <w:jc w:val="both"/>
      </w:pPr>
      <w:r>
        <w:t xml:space="preserve">This reactive posture creates particular exposure during the federal post-quantum cryptography transition. Under NSM-10 (May 4, 2022), federal agencies must transition cryptographic systems to quantum-resistant cryptography. Under CNSSP 15 (December 2024), all new National Security Systems acquisitions must support CNSA 2.0 algorithms from January 1, 2027. During this transition window, federal agencies and critical infrastructure operators face elevated exposure as cryptographic systems are in heterogeneous transition states. Predictive threat intelligence applied to transition-period attack patterns provides leading-indicator value during this exposed window.</w:t>
      </w:r>
    </w:p>
    <w:p>
      <w:pPr>
        <w:spacing w:after="120" w:line="280"/>
        <w:jc w:val="both"/>
      </w:pPr>
      <w:r>
        <w:t xml:space="preserve">This paper presents DynSciGraph-TF, a temporal knowledge graph forecasting framework that predicts emerging cyberattack patterns before they proliferate across critical infrastructure sectors. The framework integrates three capabilities not present together in prior cyber threat intelligence systems: schema-aligned LLM extraction from unstructured threat intelligence; cybersecurity-specific temporal graph neural network forecasting; and NIST AI RMF-aligned calibrated uncertainty quantification.</w:t>
      </w:r>
    </w:p>
    <w:p>
      <w:pPr>
        <w:pStyle w:val="Heading2"/>
        <w:spacing w:after="140" w:before="240"/>
      </w:pPr>
      <w:r>
        <w:rPr>
          <w:b/>
          <w:bCs/>
          <w:sz w:val="24"/>
          <w:szCs w:val="24"/>
        </w:rPr>
        <w:t xml:space="preserve">1.1 Contributions</w:t>
      </w:r>
    </w:p>
    <w:p>
      <w:pPr>
        <w:pStyle w:val="ListParagraph"/>
        <w:numPr>
          <w:ilvl w:val="0"/>
          <w:numId w:val="2"/>
        </w:numPr>
        <w:spacing w:after="100" w:line="280"/>
        <w:jc w:val="both"/>
      </w:pPr>
      <w:r>
        <w:t xml:space="preserve">A formal model of pre-incident cyber threat forecasting as conditional probability estimation over future graph edges, with explicit characterization of the prediction task at distinct time horizons.</w:t>
      </w:r>
    </w:p>
    <w:p>
      <w:pPr>
        <w:pStyle w:val="ListParagraph"/>
        <w:numPr>
          <w:ilvl w:val="0"/>
          <w:numId w:val="2"/>
        </w:numPr>
        <w:spacing w:after="100" w:line="280"/>
        <w:jc w:val="both"/>
      </w:pPr>
      <w:r>
        <w:t xml:space="preserve">DynSciGraph-TF, a novel framework introducing three components not present together in prior cyber threat intelligence systems: schema-aligned LLM extraction with ontology constraints, cybersecurity-specific TGNN encoder over a heterogeneous threat knowledge graph, and calibrated uncertainty quantification.</w:t>
      </w:r>
    </w:p>
    <w:p>
      <w:pPr>
        <w:pStyle w:val="ListParagraph"/>
        <w:numPr>
          <w:ilvl w:val="0"/>
          <w:numId w:val="2"/>
        </w:numPr>
        <w:spacing w:after="100" w:line="280"/>
        <w:jc w:val="both"/>
      </w:pPr>
      <w:r>
        <w:t xml:space="preserve">Pseudocode specification of the complete extraction-encoding-decoding-calibration pipeline.</w:t>
      </w:r>
    </w:p>
    <w:p>
      <w:pPr>
        <w:pStyle w:val="ListParagraph"/>
        <w:numPr>
          <w:ilvl w:val="0"/>
          <w:numId w:val="2"/>
        </w:numPr>
        <w:spacing w:after="100" w:line="280"/>
        <w:jc w:val="both"/>
      </w:pPr>
      <w:r>
        <w:t xml:space="preserve">A dataset schema specification for the cybersecurity threat knowledge graph, with node types, edge types, attributes, and source mappings.</w:t>
      </w:r>
    </w:p>
    <w:p>
      <w:pPr>
        <w:pStyle w:val="ListParagraph"/>
        <w:numPr>
          <w:ilvl w:val="0"/>
          <w:numId w:val="2"/>
        </w:numPr>
        <w:spacing w:after="100" w:line="280"/>
        <w:jc w:val="both"/>
      </w:pPr>
      <w:r>
        <w:t xml:space="preserve">Specification of a planned experimental evaluation comparing DynSciGraph-TF against seven baselines: EPSS-only, CVSS-only, static GNN, LSTM time-series, Transformer time-series, non-LLM entity extraction, and reactive baseline.</w:t>
      </w:r>
    </w:p>
    <w:p>
      <w:pPr>
        <w:pStyle w:val="ListParagraph"/>
        <w:numPr>
          <w:ilvl w:val="0"/>
          <w:numId w:val="2"/>
        </w:numPr>
        <w:spacing w:after="100" w:line="280"/>
        <w:jc w:val="both"/>
      </w:pPr>
      <w:r>
        <w:t xml:space="preserve">Direct alignment of the framework with the NIST AI Risk Management Framework GOVERN, MAP, MEASURE, and MANAGE functions, supporting federal deployment requirements.</w:t>
      </w:r>
    </w:p>
    <w:p>
      <w:pPr>
        <w:pStyle w:val="Heading1"/>
        <w:spacing w:after="180" w:before="360"/>
      </w:pPr>
      <w:r>
        <w:rPr>
          <w:b/>
          <w:bCs/>
          <w:sz w:val="28"/>
          <w:szCs w:val="28"/>
        </w:rPr>
        <w:t xml:space="preserve">2. Related Work</w:t>
      </w:r>
    </w:p>
    <w:p>
      <w:pPr>
        <w:pStyle w:val="Heading2"/>
        <w:spacing w:after="140" w:before="240"/>
      </w:pPr>
      <w:r>
        <w:rPr>
          <w:b/>
          <w:bCs/>
          <w:sz w:val="24"/>
          <w:szCs w:val="24"/>
        </w:rPr>
        <w:t xml:space="preserve">2.1 Cyber Threat Intelligence Systems</w:t>
      </w:r>
    </w:p>
    <w:p>
      <w:pPr>
        <w:spacing w:after="120" w:line="280"/>
        <w:jc w:val="both"/>
      </w:pPr>
      <w:r>
        <w:t xml:space="preserve">Established threat intelligence systems span structured knowledge bases (MITRE ATT&amp;CK, NIST National Vulnerability Database), predictive scoring systems (EPSS, Jacobs et al., 2021), and operational alert feeds (CISA advisories, sector-specific ISAC feeds). These systems share a common limitation: they document threats already observed in the wild. Even predictive components such as EPSS predict near-term exploitation of vulnerabilities already disclosed; they do not predict the emergence of novel attack techniques.</w:t>
      </w:r>
    </w:p>
    <w:p>
      <w:pPr>
        <w:pStyle w:val="Heading2"/>
        <w:spacing w:after="140" w:before="240"/>
      </w:pPr>
      <w:r>
        <w:rPr>
          <w:b/>
          <w:bCs/>
          <w:sz w:val="24"/>
          <w:szCs w:val="24"/>
        </w:rPr>
        <w:t xml:space="preserve">2.2 Graph-Based Machine Learning for Security</w:t>
      </w:r>
    </w:p>
    <w:p>
      <w:pPr>
        <w:spacing w:after="120" w:line="280"/>
        <w:jc w:val="both"/>
      </w:pPr>
      <w:r>
        <w:t xml:space="preserve">Husari et al. (2017) demonstrated graph extraction from CTI text. Subsequent work explored static graph analysis of attack patterns, malware family classification, and adversary group attribution. Temporal graph neural networks (Rossi et al., 2020; Kazemi et al., 2020) have been developed primarily in non-security contexts and have not been substantially applied to cybersecurity threat forecasting integrating MITRE ATT&amp;CK, NVD, EPSS, and unstructured threat intelligence sources.</w:t>
      </w:r>
    </w:p>
    <w:p>
      <w:pPr>
        <w:pStyle w:val="Heading2"/>
        <w:spacing w:after="140" w:before="240"/>
      </w:pPr>
      <w:r>
        <w:rPr>
          <w:b/>
          <w:bCs/>
          <w:sz w:val="24"/>
          <w:szCs w:val="24"/>
        </w:rPr>
        <w:t xml:space="preserve">2.3 Large Language Models in Cybersecurity</w:t>
      </w:r>
    </w:p>
    <w:p>
      <w:pPr>
        <w:spacing w:after="120" w:line="280"/>
        <w:jc w:val="both"/>
      </w:pPr>
      <w:r>
        <w:t xml:space="preserve">Recent work (2023-2025) has applied LLMs to threat report summarization, code vulnerability classification, and structured information extraction from security advisories. These applications focus on individual document processing rather than integration of LLM-extracted information with structured threat-intelligence feeds for predictive forecasting. The integration of LLM extraction with TGNN forecasting in a unified pipeline remains an open research direction.</w:t>
      </w:r>
    </w:p>
    <w:p>
      <w:pPr>
        <w:pStyle w:val="Heading2"/>
        <w:spacing w:after="140" w:before="240"/>
      </w:pPr>
      <w:r>
        <w:rPr>
          <w:b/>
          <w:bCs/>
          <w:sz w:val="24"/>
          <w:szCs w:val="24"/>
        </w:rPr>
        <w:t xml:space="preserve">2.4 Comparison and Identified Gap</w:t>
      </w:r>
    </w:p>
    <w:p>
      <w:pPr>
        <w:spacing w:after="120" w:line="280"/>
        <w:jc w:val="both"/>
      </w:pPr>
      <w:r>
        <w:t xml:space="preserve">The following table positions DynSciGraph-TF against representative prior work along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40"/>
        <w:gridCol w:w="1240"/>
        <w:gridCol w:w="1240"/>
        <w:gridCol w:w="1240"/>
        <w:gridCol w:w="2000"/>
      </w:tblGrid>
      <w:tr>
        <w:tc>
          <w:tcPr>
            <w:tcW w:type="dxa" w:w="2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Approach</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Predictive</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Graph-Based</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LLM-Integrated</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CI Focus</w:t>
            </w:r>
          </w:p>
        </w:tc>
        <w:tc>
          <w:tcPr>
            <w:tcW w:type="dxa" w:w="2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Note</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MITRE ATT&amp;CK</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Partial</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Yes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Reactive technique knowledge base</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EPSS (Jacobs et al., 2021)</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Yes (30-day)</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Partial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Vulnerability-level prediction only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Commercial SIEM platforms</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Partial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Reactive event correlation</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CTI graph extraction (Husari et al., 2017)</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Limited</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Yes</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Static graph from CTI text</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Temporal GNN research (Rossi et al., 2020)</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Yes</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Yes</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General TGNN methods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LLM-based threat intel extraction (2023-2025)</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No</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Yes</w:t>
            </w:r>
          </w:p>
        </w:tc>
        <w:tc>
          <w:tcPr>
            <w:tcW w:type="dxa" w:w="124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Partial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Information extraction only</w:t>
            </w:r>
          </w:p>
        </w:tc>
      </w:tr>
      <w:tr>
        <w:tc>
          <w:tcPr>
            <w:tcW w:type="dxa" w:w="2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DynSciGraph-TF (proposed)</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Yes</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Yes</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Yes</w:t>
            </w:r>
          </w:p>
        </w:tc>
        <w:tc>
          <w:tcPr>
            <w:tcW w:type="dxa" w:w="124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Yes</w:t>
            </w:r>
          </w:p>
        </w:tc>
        <w:tc>
          <w:tcPr>
            <w:tcW w:type="dxa" w:w="2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LLM + TGNN forecasting for CI</w:t>
            </w:r>
          </w:p>
        </w:tc>
      </w:tr>
    </w:tbl>
    <w:p>
      <w:pPr>
        <w:spacing w:after="120" w:before="180" w:line="280"/>
        <w:jc w:val="both"/>
      </w:pPr>
      <w:r>
        <w:t xml:space="preserve">The identified gap is the absence of integrated LLM-plus-TGNN systems for cybersecurity threat forecasting with explicit alignment to federal critical infrastructure protection priorities and NIST AI RMF accountability requirements.</w:t>
      </w:r>
    </w:p>
    <w:p>
      <w:pPr>
        <w:pStyle w:val="Heading1"/>
        <w:spacing w:after="180" w:before="360"/>
      </w:pPr>
      <w:r>
        <w:rPr>
          <w:b/>
          <w:bCs/>
          <w:sz w:val="28"/>
          <w:szCs w:val="28"/>
        </w:rPr>
        <w:t xml:space="preserve">3. Problem Formulation</w:t>
      </w:r>
    </w:p>
    <w:p>
      <w:pPr>
        <w:pStyle w:val="Heading2"/>
        <w:spacing w:after="140" w:before="240"/>
      </w:pPr>
      <w:r>
        <w:rPr>
          <w:b/>
          <w:bCs/>
          <w:sz w:val="24"/>
          <w:szCs w:val="24"/>
        </w:rPr>
        <w:t xml:space="preserve">3.1 Threat Knowledge Graph Definition</w:t>
      </w:r>
    </w:p>
    <w:p>
      <w:pPr>
        <w:spacing w:after="120" w:line="280"/>
        <w:jc w:val="both"/>
      </w:pPr>
      <w:r>
        <w:t xml:space="preserve">Let G_t = (V_t, E_t, X_t) denote the threat knowledge graph at time t, where:</w:t>
      </w:r>
    </w:p>
    <w:p>
      <w:pPr>
        <w:pStyle w:val="ListParagraph"/>
        <w:numPr>
          <w:ilvl w:val="0"/>
          <w:numId w:val="2"/>
        </w:numPr>
        <w:spacing w:after="100" w:line="280"/>
        <w:jc w:val="both"/>
      </w:pPr>
      <w:r>
        <w:t xml:space="preserve">V_t is the set of nodes (vulnerabilities, techniques, adversary groups, target sectors, tools) at time t;</w:t>
      </w:r>
    </w:p>
    <w:p>
      <w:pPr>
        <w:pStyle w:val="ListParagraph"/>
        <w:numPr>
          <w:ilvl w:val="0"/>
          <w:numId w:val="2"/>
        </w:numPr>
        <w:spacing w:after="100" w:line="280"/>
        <w:jc w:val="both"/>
      </w:pPr>
      <w:r>
        <w:t xml:space="preserve">E_t ⊆ V_t × V_t × R is the set of typed edges, where R denotes the set of relationship types (uses, exploits, targets, chains-with, etc.);</w:t>
      </w:r>
    </w:p>
    <w:p>
      <w:pPr>
        <w:pStyle w:val="ListParagraph"/>
        <w:numPr>
          <w:ilvl w:val="0"/>
          <w:numId w:val="2"/>
        </w:numPr>
        <w:spacing w:after="100" w:line="280"/>
        <w:jc w:val="both"/>
      </w:pPr>
      <w:r>
        <w:t xml:space="preserve">X_t : V_t → ℝ^d is the node attribute function mapping each node to a d-dimensional feature vector encoding node attributes (e.g., CVSS score for vulnerabilities, ATT&amp;CK tactic for techniques).</w:t>
      </w:r>
    </w:p>
    <w:p>
      <w:pPr>
        <w:spacing w:after="120" w:line="280"/>
        <w:jc w:val="both"/>
      </w:pPr>
      <w:r>
        <w:t xml:space="preserve">The graph is heterogeneous (multiple node types, multiple edge types) and temporal (V_t, E_t, X_t evolve over discrete time steps t = 1, 2, ..., T). New nodes and edges are added when new threats are observed; node attributes update as additional information becomes available.</w:t>
      </w:r>
    </w:p>
    <w:p>
      <w:pPr>
        <w:pStyle w:val="Heading2"/>
        <w:spacing w:after="140" w:before="240"/>
      </w:pPr>
      <w:r>
        <w:rPr>
          <w:b/>
          <w:bCs/>
          <w:sz w:val="24"/>
          <w:szCs w:val="24"/>
        </w:rPr>
        <w:t xml:space="preserve">3.2 Forecasting Task</w:t>
      </w:r>
    </w:p>
    <w:p>
      <w:pPr>
        <w:spacing w:after="120" w:line="280"/>
        <w:jc w:val="both"/>
      </w:pPr>
      <w:r>
        <w:t xml:space="preserve">Given a sequence of historical graph snapshots G_1, G_2, ..., G_t, the forecasting task is to predict the set of new edges E_{t+Δ} \ E_t that will appear at future time t+Δ, where Δ is the prediction horizon (e.g., Δ = 90 days). Formally, the model estimates the conditional probability:</w:t>
      </w:r>
    </w:p>
    <w:p>
      <w:pPr>
        <w:spacing w:after="120" w:before="120" w:line="280"/>
        <w:jc w:val="center"/>
      </w:pPr>
      <w:r>
        <w:rPr>
          <w:i/>
          <w:iCs/>
          <w:sz w:val="24"/>
          <w:szCs w:val="24"/>
        </w:rPr>
        <w:t xml:space="preserve">P(E_{t+Δ} \ E_t | G_1, G_2, ..., G_t)</w:t>
      </w:r>
    </w:p>
    <w:p>
      <w:pPr>
        <w:spacing w:after="120" w:line="280"/>
        <w:jc w:val="both"/>
      </w:pPr>
      <w:r>
        <w:t xml:space="preserve">In practice, the model produces edge-level probabilities for candidate edges (u, v, r) ∈ V_t × V_t × R, ranking candidates by predicted probability. Predictions above a confidence threshold are surfaced as alerts to defenders.</w:t>
      </w:r>
    </w:p>
    <w:p>
      <w:pPr>
        <w:pStyle w:val="Heading2"/>
        <w:spacing w:after="140" w:before="240"/>
      </w:pPr>
      <w:r>
        <w:rPr>
          <w:b/>
          <w:bCs/>
          <w:sz w:val="24"/>
          <w:szCs w:val="24"/>
        </w:rPr>
        <w:t xml:space="preserve">3.3 Encoder-Decoder Formulation</w:t>
      </w:r>
    </w:p>
    <w:p>
      <w:pPr>
        <w:spacing w:after="120" w:line="280"/>
        <w:jc w:val="both"/>
      </w:pPr>
      <w:r>
        <w:t xml:space="preserve">The forecasting model uses an encoder-decoder architecture. The encoder f_θ: (G_1, ..., G_t) → H_t produces a temporal embedding H_t ∈ ℝ^{|V_t| × d_h} mapping each node to a d_h-dimensional representation that captures both static structural information and temporal dynamics through time t. The decoder g_φ: H_t × V_t × V_t × R → [0, 1] produces edge probabilities:</w:t>
      </w:r>
    </w:p>
    <w:p>
      <w:pPr>
        <w:spacing w:after="120" w:before="120" w:line="280"/>
        <w:jc w:val="center"/>
      </w:pPr>
      <w:r>
        <w:rPr>
          <w:i/>
          <w:iCs/>
          <w:sz w:val="24"/>
          <w:szCs w:val="24"/>
        </w:rPr>
        <w:t xml:space="preserve">p̂((u, v, r), t+Δ) = g_φ(H_t[u], H_t[v], r)</w:t>
      </w:r>
    </w:p>
    <w:p>
      <w:pPr>
        <w:spacing w:after="120" w:line="280"/>
        <w:jc w:val="both"/>
      </w:pPr>
      <w:r>
        <w:t xml:space="preserve">The encoder f_θ and decoder g_φ are jointly trained on historical data using a combined edge prediction loss and confidence calibration loss.</w:t>
      </w:r>
    </w:p>
    <w:p>
      <w:pPr>
        <w:pStyle w:val="Heading2"/>
        <w:spacing w:after="140" w:before="240"/>
      </w:pPr>
      <w:r>
        <w:rPr>
          <w:b/>
          <w:bCs/>
          <w:sz w:val="24"/>
          <w:szCs w:val="24"/>
        </w:rPr>
        <w:t xml:space="preserve">3.4 Evaluation Metrics</w:t>
      </w:r>
    </w:p>
    <w:p>
      <w:pPr>
        <w:spacing w:after="120" w:line="280"/>
        <w:jc w:val="both"/>
      </w:pPr>
      <w:r>
        <w:t xml:space="preserve">Primary accuracy metrics include:</w:t>
      </w:r>
    </w:p>
    <w:p>
      <w:pPr>
        <w:spacing w:after="120" w:before="120" w:line="280"/>
        <w:jc w:val="center"/>
      </w:pPr>
      <w:r>
        <w:rPr>
          <w:i/>
          <w:iCs/>
          <w:sz w:val="24"/>
          <w:szCs w:val="24"/>
        </w:rPr>
        <w:t xml:space="preserve">Precision@k(Δ) = |TopK(P̂_{t+Δ}) ∩ A_{t+Δ}| / k</w:t>
      </w:r>
    </w:p>
    <w:p>
      <w:pPr>
        <w:spacing w:after="120" w:before="120" w:line="280"/>
        <w:jc w:val="center"/>
      </w:pPr>
      <w:r>
        <w:rPr>
          <w:i/>
          <w:iCs/>
          <w:sz w:val="24"/>
          <w:szCs w:val="24"/>
        </w:rPr>
        <w:t xml:space="preserve">Recall@k(Δ) = |TopK(P̂_{t+Δ}) ∩ A_{t+Δ}| / |A_{t+Δ}|</w:t>
      </w:r>
    </w:p>
    <w:p>
      <w:pPr>
        <w:spacing w:after="120" w:line="280"/>
        <w:jc w:val="both"/>
      </w:pPr>
      <w:r>
        <w:t xml:space="preserve">Where TopK(P̂_{t+Δ}) is the set of top-k predicted edges at horizon Δ, and A_{t+Δ} is the set of actually-observed new edges in the period [t, t+Δ]. The F1 score combines precision and recall: F1 = 2·Precision·Recall / (Precision + Recall). Lead time is measured for correctly predicted emerging threats as the difference between prediction date and date of first operational observation. Calibration error is measured as CalErr = E_p[ |accuracy(C(p)) − p| ], where C(p) is the set of predictions emitted with stated confidence p.</w:t>
      </w:r>
    </w:p>
    <w:p>
      <w:pPr>
        <w:pStyle w:val="Heading1"/>
        <w:spacing w:after="180" w:before="360"/>
      </w:pPr>
      <w:r>
        <w:rPr>
          <w:b/>
          <w:bCs/>
          <w:sz w:val="28"/>
          <w:szCs w:val="28"/>
        </w:rPr>
        <w:t xml:space="preserve">4. System Architecture</w:t>
      </w:r>
    </w:p>
    <w:p>
      <w:pPr>
        <w:pStyle w:val="Heading2"/>
        <w:spacing w:after="140" w:before="240"/>
      </w:pPr>
      <w:r>
        <w:rPr>
          <w:b/>
          <w:bCs/>
          <w:sz w:val="24"/>
          <w:szCs w:val="24"/>
        </w:rPr>
        <w:t xml:space="preserve">4.1 Three-Layer Pipeline</w:t>
      </w:r>
    </w:p>
    <w:p>
      <w:pPr>
        <w:spacing w:after="120" w:line="280"/>
        <w:jc w:val="both"/>
      </w:pPr>
      <w:r>
        <w:t xml:space="preserve">DynSciGraph-TF is structured as a three-layer pipeline:</w:t>
      </w:r>
    </w:p>
    <w:p>
      <w:pPr>
        <w:pStyle w:val="ListParagraph"/>
        <w:numPr>
          <w:ilvl w:val="0"/>
          <w:numId w:val="2"/>
        </w:numPr>
        <w:spacing w:after="100" w:line="280"/>
        <w:jc w:val="both"/>
      </w:pPr>
      <w:r>
        <w:rPr>
          <w:b/>
          <w:bCs/>
        </w:rPr>
        <w:t xml:space="preserve">Data ingestion and graph construction layer. </w:t>
      </w:r>
      <w:r>
        <w:t xml:space="preserve">Integrates structured sources (MITRE ATT&amp;CK, NVD, EPSS) and uses schema-aligned LLM extraction for unstructured sources (security research publications, ISAC advisories, incident reports).</w:t>
      </w:r>
    </w:p>
    <w:p>
      <w:pPr>
        <w:pStyle w:val="ListParagraph"/>
        <w:numPr>
          <w:ilvl w:val="0"/>
          <w:numId w:val="2"/>
        </w:numPr>
        <w:spacing w:after="100" w:line="280"/>
        <w:jc w:val="both"/>
      </w:pPr>
      <w:r>
        <w:rPr>
          <w:b/>
          <w:bCs/>
        </w:rPr>
        <w:t xml:space="preserve">Temporal modeling layer. </w:t>
      </w:r>
      <w:r>
        <w:t xml:space="preserve">Cybersecurity-specific TGNN encoder produces temporal embeddings over the heterogeneous threat graph.</w:t>
      </w:r>
    </w:p>
    <w:p>
      <w:pPr>
        <w:pStyle w:val="ListParagraph"/>
        <w:numPr>
          <w:ilvl w:val="0"/>
          <w:numId w:val="2"/>
        </w:numPr>
        <w:spacing w:after="100" w:line="280"/>
        <w:jc w:val="both"/>
      </w:pPr>
      <w:r>
        <w:rPr>
          <w:b/>
          <w:bCs/>
        </w:rPr>
        <w:t xml:space="preserve">Prediction and explanation layer. </w:t>
      </w:r>
      <w:r>
        <w:t xml:space="preserve">Edge-level decoder produces ranked predictions with calibrated confidence intervals; LLM-based explanation generator produces human-readable justifications grounded in the supporting subgraph.</w:t>
      </w:r>
    </w:p>
    <w:p>
      <w:pPr>
        <w:pStyle w:val="Heading2"/>
        <w:spacing w:after="140" w:before="240"/>
      </w:pPr>
      <w:r>
        <w:rPr>
          <w:b/>
          <w:bCs/>
          <w:sz w:val="24"/>
          <w:szCs w:val="24"/>
        </w:rPr>
        <w:t xml:space="preserve">4.2 Dataset Schema Specification</w:t>
      </w:r>
    </w:p>
    <w:p>
      <w:pPr>
        <w:spacing w:after="120" w:line="280"/>
        <w:jc w:val="both"/>
      </w:pPr>
      <w:r>
        <w:t xml:space="preserve">The threat knowledge graph schema is specified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Element Type</w:t>
            </w:r>
          </w:p>
        </w:tc>
        <w:tc>
          <w:tcPr>
            <w:tcW w:type="dxa" w:w="22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Category</w:t>
            </w:r>
          </w:p>
        </w:tc>
        <w:tc>
          <w:tcPr>
            <w:tcW w:type="dxa" w:w="248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Attributes</w:t>
            </w:r>
          </w:p>
        </w:tc>
        <w:tc>
          <w:tcPr>
            <w:tcW w:type="dxa" w:w="248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Source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Vulnerability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Node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CVE-ID, CVSS, CWE, EPSS, disclosure date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NVD, EPSS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Technique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Node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ATT&amp;CK ID, tactic, platform, detection</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MITRE ATT&amp;CK</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Adversary group</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Node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Group ID, attribution, sectors targeted</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MITRE, ISACs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Target sector</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Node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Sector ID (per CISA 16 sectors)</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CISA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Tool/software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Node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Tool ID, malware family, capability</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MITRE, threat intel</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uses</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Edge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Group → Technique, with first-observed date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MITRE, incident reports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exploits</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Edge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Technique → Vulnerability, with chaining order</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Security research, advisories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targets</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Edge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Group → Sector, with campaign attribution</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ISACs, CISA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chains-with</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Edge</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Vulnerability → Vulnerability, with order</w:t>
            </w:r>
          </w:p>
        </w:tc>
        <w:tc>
          <w:tcPr>
            <w:tcW w:type="dxa" w:w="24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Incident reports, research</w:t>
            </w:r>
          </w:p>
        </w:tc>
      </w:tr>
    </w:tbl>
    <w:p>
      <w:pPr>
        <w:spacing w:after="120" w:before="180" w:line="280"/>
        <w:jc w:val="both"/>
      </w:pPr>
      <w:r>
        <w:t xml:space="preserve">Temporal annotations are attached to all edges and to selected node attributes (e.g., CVSS scores, EPSS scores, which update over time). The schema supports incremental updates: new nodes and edges are added without restructuring existing data, supporting continuous data ingestion.</w:t>
      </w:r>
    </w:p>
    <w:p>
      <w:pPr>
        <w:pStyle w:val="Heading1"/>
        <w:spacing w:after="180" w:before="360"/>
      </w:pPr>
      <w:r>
        <w:rPr>
          <w:b/>
          <w:bCs/>
          <w:sz w:val="28"/>
          <w:szCs w:val="28"/>
        </w:rPr>
        <w:t xml:space="preserve">5. Algorithm Specification</w:t>
      </w:r>
    </w:p>
    <w:p>
      <w:pPr>
        <w:pStyle w:val="Heading2"/>
        <w:spacing w:after="140" w:before="240"/>
      </w:pPr>
      <w:r>
        <w:rPr>
          <w:b/>
          <w:bCs/>
          <w:sz w:val="24"/>
          <w:szCs w:val="24"/>
        </w:rPr>
        <w:t xml:space="preserve">5.1 Pseudocode: Schema-Aligned LLM Extraction</w:t>
      </w:r>
    </w:p>
    <w:p>
      <w:pPr>
        <w:spacing w:after="0" w:line="240"/>
        <w:jc w:val="left"/>
      </w:pPr>
      <w:r>
        <w:rPr>
          <w:rFonts w:ascii="Courier New" w:cs="Courier New" w:eastAsia="Courier New" w:hAnsi="Courier New"/>
          <w:sz w:val="18"/>
          <w:szCs w:val="18"/>
        </w:rPr>
        <w:t xml:space="preserve">Algorithm: LLM_Extract(text_corpus, ontology O)</w:t>
      </w:r>
    </w:p>
    <w:p>
      <w:pPr>
        <w:spacing w:after="0" w:line="240"/>
        <w:jc w:val="left"/>
      </w:pPr>
      <w:r>
        <w:rPr>
          <w:rFonts w:ascii="Courier New" w:cs="Courier New" w:eastAsia="Courier New" w:hAnsi="Courier New"/>
          <w:sz w:val="18"/>
          <w:szCs w:val="18"/>
        </w:rPr>
        <w:t xml:space="preserve">  for document d in text_corpus:</w:t>
      </w:r>
    </w:p>
    <w:p>
      <w:pPr>
        <w:spacing w:after="0" w:line="240"/>
        <w:jc w:val="left"/>
      </w:pPr>
      <w:r>
        <w:rPr>
          <w:rFonts w:ascii="Courier New" w:cs="Courier New" w:eastAsia="Courier New" w:hAnsi="Courier New"/>
          <w:sz w:val="18"/>
          <w:szCs w:val="18"/>
        </w:rPr>
        <w:t xml:space="preserve">    // Constrained LLM extraction with ontology schema</w:t>
      </w:r>
    </w:p>
    <w:p>
      <w:pPr>
        <w:spacing w:after="0" w:line="240"/>
        <w:jc w:val="left"/>
      </w:pPr>
      <w:r>
        <w:rPr>
          <w:rFonts w:ascii="Courier New" w:cs="Courier New" w:eastAsia="Courier New" w:hAnsi="Courier New"/>
          <w:sz w:val="18"/>
          <w:szCs w:val="18"/>
        </w:rPr>
        <w:t xml:space="preserve">    raw_extraction = LLM_extract_with_schema(d, O)</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 Validate extracted entities against ontology</w:t>
      </w:r>
    </w:p>
    <w:p>
      <w:pPr>
        <w:spacing w:after="0" w:line="240"/>
        <w:jc w:val="left"/>
      </w:pPr>
      <w:r>
        <w:rPr>
          <w:rFonts w:ascii="Courier New" w:cs="Courier New" w:eastAsia="Courier New" w:hAnsi="Courier New"/>
          <w:sz w:val="18"/>
          <w:szCs w:val="18"/>
        </w:rPr>
        <w:t xml:space="preserve">    entities = []</w:t>
      </w:r>
    </w:p>
    <w:p>
      <w:pPr>
        <w:spacing w:after="0" w:line="240"/>
        <w:jc w:val="left"/>
      </w:pPr>
      <w:r>
        <w:rPr>
          <w:rFonts w:ascii="Courier New" w:cs="Courier New" w:eastAsia="Courier New" w:hAnsi="Courier New"/>
          <w:sz w:val="18"/>
          <w:szCs w:val="18"/>
        </w:rPr>
        <w:t xml:space="preserve">    for entity in raw_extraction.entities:</w:t>
      </w:r>
    </w:p>
    <w:p>
      <w:pPr>
        <w:spacing w:after="0" w:line="240"/>
        <w:jc w:val="left"/>
      </w:pPr>
      <w:r>
        <w:rPr>
          <w:rFonts w:ascii="Courier New" w:cs="Courier New" w:eastAsia="Courier New" w:hAnsi="Courier New"/>
          <w:sz w:val="18"/>
          <w:szCs w:val="18"/>
        </w:rPr>
        <w:t xml:space="preserve">      if entity.type in O.node_types:</w:t>
      </w:r>
    </w:p>
    <w:p>
      <w:pPr>
        <w:spacing w:after="0" w:line="240"/>
        <w:jc w:val="left"/>
      </w:pPr>
      <w:r>
        <w:rPr>
          <w:rFonts w:ascii="Courier New" w:cs="Courier New" w:eastAsia="Courier New" w:hAnsi="Courier New"/>
          <w:sz w:val="18"/>
          <w:szCs w:val="18"/>
        </w:rPr>
        <w:t xml:space="preserve">        canonical = ontology_normalize(entity, O)</w:t>
      </w:r>
    </w:p>
    <w:p>
      <w:pPr>
        <w:spacing w:after="0" w:line="240"/>
        <w:jc w:val="left"/>
      </w:pPr>
      <w:r>
        <w:rPr>
          <w:rFonts w:ascii="Courier New" w:cs="Courier New" w:eastAsia="Courier New" w:hAnsi="Courier New"/>
          <w:sz w:val="18"/>
          <w:szCs w:val="18"/>
        </w:rPr>
        <w:t xml:space="preserve">        if canonical: entities.append(canonical)</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 Validate extracted relationships</w:t>
      </w:r>
    </w:p>
    <w:p>
      <w:pPr>
        <w:spacing w:after="0" w:line="240"/>
        <w:jc w:val="left"/>
      </w:pPr>
      <w:r>
        <w:rPr>
          <w:rFonts w:ascii="Courier New" w:cs="Courier New" w:eastAsia="Courier New" w:hAnsi="Courier New"/>
          <w:sz w:val="18"/>
          <w:szCs w:val="18"/>
        </w:rPr>
        <w:t xml:space="preserve">    edges = []</w:t>
      </w:r>
    </w:p>
    <w:p>
      <w:pPr>
        <w:spacing w:after="0" w:line="240"/>
        <w:jc w:val="left"/>
      </w:pPr>
      <w:r>
        <w:rPr>
          <w:rFonts w:ascii="Courier New" w:cs="Courier New" w:eastAsia="Courier New" w:hAnsi="Courier New"/>
          <w:sz w:val="18"/>
          <w:szCs w:val="18"/>
        </w:rPr>
        <w:t xml:space="preserve">    for rel in raw_extraction.relationships:</w:t>
      </w:r>
    </w:p>
    <w:p>
      <w:pPr>
        <w:spacing w:after="0" w:line="240"/>
        <w:jc w:val="left"/>
      </w:pPr>
      <w:r>
        <w:rPr>
          <w:rFonts w:ascii="Courier New" w:cs="Courier New" w:eastAsia="Courier New" w:hAnsi="Courier New"/>
          <w:sz w:val="18"/>
          <w:szCs w:val="18"/>
        </w:rPr>
        <w:t xml:space="preserve">      if rel.type in O.edge_types and</w:t>
      </w:r>
    </w:p>
    <w:p>
      <w:pPr>
        <w:spacing w:after="0" w:line="240"/>
        <w:jc w:val="left"/>
      </w:pPr>
      <w:r>
        <w:rPr>
          <w:rFonts w:ascii="Courier New" w:cs="Courier New" w:eastAsia="Courier New" w:hAnsi="Courier New"/>
          <w:sz w:val="18"/>
          <w:szCs w:val="18"/>
        </w:rPr>
        <w:t xml:space="preserve">         rel.source in entities and rel.target in entities:</w:t>
      </w:r>
    </w:p>
    <w:p>
      <w:pPr>
        <w:spacing w:after="0" w:line="240"/>
        <w:jc w:val="left"/>
      </w:pPr>
      <w:r>
        <w:rPr>
          <w:rFonts w:ascii="Courier New" w:cs="Courier New" w:eastAsia="Courier New" w:hAnsi="Courier New"/>
          <w:sz w:val="18"/>
          <w:szCs w:val="18"/>
        </w:rPr>
        <w:t xml:space="preserve">        edges.append((rel.source, rel.target, rel.type, d.timestamp))</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yield (entities, edges, source=d.id, confidence=LLM_confidence(d))</w:t>
      </w:r>
    </w:p>
    <w:p>
      <w:pPr>
        <w:pStyle w:val="Heading2"/>
        <w:spacing w:after="140" w:before="240"/>
      </w:pPr>
      <w:r>
        <w:rPr>
          <w:b/>
          <w:bCs/>
          <w:sz w:val="24"/>
          <w:szCs w:val="24"/>
        </w:rPr>
        <w:t xml:space="preserve">5.2 Pseudocode: TGNN Encoder Pass</w:t>
      </w:r>
    </w:p>
    <w:p>
      <w:pPr>
        <w:spacing w:after="0" w:line="240"/>
        <w:jc w:val="left"/>
      </w:pPr>
      <w:r>
        <w:rPr>
          <w:rFonts w:ascii="Courier New" w:cs="Courier New" w:eastAsia="Courier New" w:hAnsi="Courier New"/>
          <w:sz w:val="18"/>
          <w:szCs w:val="18"/>
        </w:rPr>
        <w:t xml:space="preserve">Algorithm: TGNN_Encode(graph_snapshots G_1...G_t, params θ)</w:t>
      </w:r>
    </w:p>
    <w:p>
      <w:pPr>
        <w:spacing w:after="0" w:line="240"/>
        <w:jc w:val="left"/>
      </w:pPr>
      <w:r>
        <w:rPr>
          <w:rFonts w:ascii="Courier New" w:cs="Courier New" w:eastAsia="Courier New" w:hAnsi="Courier New"/>
          <w:sz w:val="18"/>
          <w:szCs w:val="18"/>
        </w:rPr>
        <w:t xml:space="preserve">  // Initialize node embeddings from attributes</w:t>
      </w:r>
    </w:p>
    <w:p>
      <w:pPr>
        <w:spacing w:after="0" w:line="240"/>
        <w:jc w:val="left"/>
      </w:pPr>
      <w:r>
        <w:rPr>
          <w:rFonts w:ascii="Courier New" w:cs="Courier New" w:eastAsia="Courier New" w:hAnsi="Courier New"/>
          <w:sz w:val="18"/>
          <w:szCs w:val="18"/>
        </w:rPr>
        <w:t xml:space="preserve">  for each v in V_t:</w:t>
      </w:r>
    </w:p>
    <w:p>
      <w:pPr>
        <w:spacing w:after="0" w:line="240"/>
        <w:jc w:val="left"/>
      </w:pPr>
      <w:r>
        <w:rPr>
          <w:rFonts w:ascii="Courier New" w:cs="Courier New" w:eastAsia="Courier New" w:hAnsi="Courier New"/>
          <w:sz w:val="18"/>
          <w:szCs w:val="18"/>
        </w:rPr>
        <w:t xml:space="preserve">    H[v, 0] = MLP_init(X_t[v])</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 Recursive temporal message passing</w:t>
      </w:r>
    </w:p>
    <w:p>
      <w:pPr>
        <w:spacing w:after="0" w:line="240"/>
        <w:jc w:val="left"/>
      </w:pPr>
      <w:r>
        <w:rPr>
          <w:rFonts w:ascii="Courier New" w:cs="Courier New" w:eastAsia="Courier New" w:hAnsi="Courier New"/>
          <w:sz w:val="18"/>
          <w:szCs w:val="18"/>
        </w:rPr>
        <w:t xml:space="preserve">  for time_step τ from 1 to t:</w:t>
      </w:r>
    </w:p>
    <w:p>
      <w:pPr>
        <w:spacing w:after="0" w:line="240"/>
        <w:jc w:val="left"/>
      </w:pPr>
      <w:r>
        <w:rPr>
          <w:rFonts w:ascii="Courier New" w:cs="Courier New" w:eastAsia="Courier New" w:hAnsi="Courier New"/>
          <w:sz w:val="18"/>
          <w:szCs w:val="18"/>
        </w:rPr>
        <w:t xml:space="preserve">    for each v in V_τ:</w:t>
      </w:r>
    </w:p>
    <w:p>
      <w:pPr>
        <w:spacing w:after="0" w:line="240"/>
        <w:jc w:val="left"/>
      </w:pPr>
      <w:r>
        <w:rPr>
          <w:rFonts w:ascii="Courier New" w:cs="Courier New" w:eastAsia="Courier New" w:hAnsi="Courier New"/>
          <w:sz w:val="18"/>
          <w:szCs w:val="18"/>
        </w:rPr>
        <w:t xml:space="preserve">      // Aggregate from neighbors at time τ (heterogeneous, by edge type)</w:t>
      </w:r>
    </w:p>
    <w:p>
      <w:pPr>
        <w:spacing w:after="0" w:line="240"/>
        <w:jc w:val="left"/>
      </w:pPr>
      <w:r>
        <w:rPr>
          <w:rFonts w:ascii="Courier New" w:cs="Courier New" w:eastAsia="Courier New" w:hAnsi="Courier New"/>
          <w:sz w:val="18"/>
          <w:szCs w:val="18"/>
        </w:rPr>
        <w:t xml:space="preserve">      messages = []</w:t>
      </w:r>
    </w:p>
    <w:p>
      <w:pPr>
        <w:spacing w:after="0" w:line="240"/>
        <w:jc w:val="left"/>
      </w:pPr>
      <w:r>
        <w:rPr>
          <w:rFonts w:ascii="Courier New" w:cs="Courier New" w:eastAsia="Courier New" w:hAnsi="Courier New"/>
          <w:sz w:val="18"/>
          <w:szCs w:val="18"/>
        </w:rPr>
        <w:t xml:space="preserve">      for r in R:  // each relationship type</w:t>
      </w:r>
    </w:p>
    <w:p>
      <w:pPr>
        <w:spacing w:after="0" w:line="240"/>
        <w:jc w:val="left"/>
      </w:pPr>
      <w:r>
        <w:rPr>
          <w:rFonts w:ascii="Courier New" w:cs="Courier New" w:eastAsia="Courier New" w:hAnsi="Courier New"/>
          <w:sz w:val="18"/>
          <w:szCs w:val="18"/>
        </w:rPr>
        <w:t xml:space="preserve">        N_r(v) = {u : (u, v, r) in E_τ}</w:t>
      </w:r>
    </w:p>
    <w:p>
      <w:pPr>
        <w:spacing w:after="0" w:line="240"/>
        <w:jc w:val="left"/>
      </w:pPr>
      <w:r>
        <w:rPr>
          <w:rFonts w:ascii="Courier New" w:cs="Courier New" w:eastAsia="Courier New" w:hAnsi="Courier New"/>
          <w:sz w:val="18"/>
          <w:szCs w:val="18"/>
        </w:rPr>
        <w:t xml:space="preserve">        m_r = Aggregate_r({H[u, τ-1] : u in N_r(v)})</w:t>
      </w:r>
    </w:p>
    <w:p>
      <w:pPr>
        <w:spacing w:after="0" w:line="240"/>
        <w:jc w:val="left"/>
      </w:pPr>
      <w:r>
        <w:rPr>
          <w:rFonts w:ascii="Courier New" w:cs="Courier New" w:eastAsia="Courier New" w:hAnsi="Courier New"/>
          <w:sz w:val="18"/>
          <w:szCs w:val="18"/>
        </w:rPr>
        <w:t xml:space="preserve">        messages.append(m_r)</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 Temporal attention over previous embeddings</w:t>
      </w:r>
    </w:p>
    <w:p>
      <w:pPr>
        <w:spacing w:after="0" w:line="240"/>
        <w:jc w:val="left"/>
      </w:pPr>
      <w:r>
        <w:rPr>
          <w:rFonts w:ascii="Courier New" w:cs="Courier New" w:eastAsia="Courier New" w:hAnsi="Courier New"/>
          <w:sz w:val="18"/>
          <w:szCs w:val="18"/>
        </w:rPr>
        <w:t xml:space="preserve">      H[v, τ] = TemporalAttention(H[v, τ-1], messages, θ)</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return H[:, t]  // final temporal embedding</w:t>
      </w:r>
    </w:p>
    <w:p>
      <w:pPr>
        <w:pStyle w:val="Heading2"/>
        <w:spacing w:after="140" w:before="240"/>
      </w:pPr>
      <w:r>
        <w:rPr>
          <w:b/>
          <w:bCs/>
          <w:sz w:val="24"/>
          <w:szCs w:val="24"/>
        </w:rPr>
        <w:t xml:space="preserve">5.3 Pseudocode: Edge Prediction Decoder</w:t>
      </w:r>
    </w:p>
    <w:p>
      <w:pPr>
        <w:spacing w:after="0" w:line="240"/>
        <w:jc w:val="left"/>
      </w:pPr>
      <w:r>
        <w:rPr>
          <w:rFonts w:ascii="Courier New" w:cs="Courier New" w:eastAsia="Courier New" w:hAnsi="Courier New"/>
          <w:sz w:val="18"/>
          <w:szCs w:val="18"/>
        </w:rPr>
        <w:t xml:space="preserve">Algorithm: Predict_Edges(embeddings H, candidate_edges C, horizon Δ)</w:t>
      </w:r>
    </w:p>
    <w:p>
      <w:pPr>
        <w:spacing w:after="0" w:line="240"/>
        <w:jc w:val="left"/>
      </w:pPr>
      <w:r>
        <w:rPr>
          <w:rFonts w:ascii="Courier New" w:cs="Courier New" w:eastAsia="Courier New" w:hAnsi="Courier New"/>
          <w:sz w:val="18"/>
          <w:szCs w:val="18"/>
        </w:rPr>
        <w:t xml:space="preserve">  predictions = []</w:t>
      </w:r>
    </w:p>
    <w:p>
      <w:pPr>
        <w:spacing w:after="0" w:line="240"/>
        <w:jc w:val="left"/>
      </w:pPr>
      <w:r>
        <w:rPr>
          <w:rFonts w:ascii="Courier New" w:cs="Courier New" w:eastAsia="Courier New" w:hAnsi="Courier New"/>
          <w:sz w:val="18"/>
          <w:szCs w:val="18"/>
        </w:rPr>
        <w:t xml:space="preserve">  for (u, v, r) in C:</w:t>
      </w:r>
    </w:p>
    <w:p>
      <w:pPr>
        <w:spacing w:after="0" w:line="240"/>
        <w:jc w:val="left"/>
      </w:pPr>
      <w:r>
        <w:rPr>
          <w:rFonts w:ascii="Courier New" w:cs="Courier New" w:eastAsia="Courier New" w:hAnsi="Courier New"/>
          <w:sz w:val="18"/>
          <w:szCs w:val="18"/>
        </w:rPr>
        <w:t xml:space="preserve">    // Decoder produces probability and uncertainty</w:t>
      </w:r>
    </w:p>
    <w:p>
      <w:pPr>
        <w:spacing w:after="0" w:line="240"/>
        <w:jc w:val="left"/>
      </w:pPr>
      <w:r>
        <w:rPr>
          <w:rFonts w:ascii="Courier New" w:cs="Courier New" w:eastAsia="Courier New" w:hAnsi="Courier New"/>
          <w:sz w:val="18"/>
          <w:szCs w:val="18"/>
        </w:rPr>
        <w:t xml:space="preserve">    p_hat = g_phi(H[u], H[v], r, Δ)</w:t>
      </w:r>
    </w:p>
    <w:p>
      <w:pPr>
        <w:spacing w:after="0" w:line="240"/>
        <w:jc w:val="left"/>
      </w:pPr>
      <w:r>
        <w:rPr>
          <w:rFonts w:ascii="Courier New" w:cs="Courier New" w:eastAsia="Courier New" w:hAnsi="Courier New"/>
          <w:sz w:val="18"/>
          <w:szCs w:val="18"/>
        </w:rPr>
        <w:t xml:space="preserve">    sigma_hat = uncertainty_head(H[u], H[v], r)</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 Calibrated confidence interval</w:t>
      </w:r>
    </w:p>
    <w:p>
      <w:pPr>
        <w:spacing w:after="0" w:line="240"/>
        <w:jc w:val="left"/>
      </w:pPr>
      <w:r>
        <w:rPr>
          <w:rFonts w:ascii="Courier New" w:cs="Courier New" w:eastAsia="Courier New" w:hAnsi="Courier New"/>
          <w:sz w:val="18"/>
          <w:szCs w:val="18"/>
        </w:rPr>
        <w:t xml:space="preserve">    ci = calibrate(p_hat, sigma_hat, calibration_table)</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if p_hat &gt; threshold:</w:t>
      </w:r>
    </w:p>
    <w:p>
      <w:pPr>
        <w:spacing w:after="0" w:line="240"/>
        <w:jc w:val="left"/>
      </w:pPr>
      <w:r>
        <w:rPr>
          <w:rFonts w:ascii="Courier New" w:cs="Courier New" w:eastAsia="Courier New" w:hAnsi="Courier New"/>
          <w:sz w:val="18"/>
          <w:szCs w:val="18"/>
        </w:rPr>
        <w:t xml:space="preserve">      explanation = explain_subgraph(u, v, r, H, k=3)</w:t>
      </w:r>
    </w:p>
    <w:p>
      <w:pPr>
        <w:spacing w:after="0" w:line="240"/>
        <w:jc w:val="left"/>
      </w:pPr>
      <w:r>
        <w:rPr>
          <w:rFonts w:ascii="Courier New" w:cs="Courier New" w:eastAsia="Courier New" w:hAnsi="Courier New"/>
          <w:sz w:val="18"/>
          <w:szCs w:val="18"/>
        </w:rPr>
        <w:t xml:space="preserve">      predictions.append((u, v, r, p_hat, ci, explanation))</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return rank_by_confidence(predictions)</w:t>
      </w:r>
    </w:p>
    <w:p>
      <w:pPr>
        <w:pStyle w:val="Heading2"/>
        <w:spacing w:after="140" w:before="240"/>
      </w:pPr>
      <w:r>
        <w:rPr>
          <w:b/>
          <w:bCs/>
          <w:sz w:val="24"/>
          <w:szCs w:val="24"/>
        </w:rPr>
        <w:t xml:space="preserve">5.4 Pseudocode: Calibration and Uncertainty</w:t>
      </w:r>
    </w:p>
    <w:p>
      <w:pPr>
        <w:spacing w:after="0" w:line="240"/>
        <w:jc w:val="left"/>
      </w:pPr>
      <w:r>
        <w:rPr>
          <w:rFonts w:ascii="Courier New" w:cs="Courier New" w:eastAsia="Courier New" w:hAnsi="Courier New"/>
          <w:sz w:val="18"/>
          <w:szCs w:val="18"/>
        </w:rPr>
        <w:t xml:space="preserve">Algorithm: Calibrate(predictions P, validation_outcomes V)</w:t>
      </w:r>
    </w:p>
    <w:p>
      <w:pPr>
        <w:spacing w:after="0" w:line="240"/>
        <w:jc w:val="left"/>
      </w:pPr>
      <w:r>
        <w:rPr>
          <w:rFonts w:ascii="Courier New" w:cs="Courier New" w:eastAsia="Courier New" w:hAnsi="Courier New"/>
          <w:sz w:val="18"/>
          <w:szCs w:val="18"/>
        </w:rPr>
        <w:t xml:space="preserve">  // Bin predictions by stated confidence</w:t>
      </w:r>
    </w:p>
    <w:p>
      <w:pPr>
        <w:spacing w:after="0" w:line="240"/>
        <w:jc w:val="left"/>
      </w:pPr>
      <w:r>
        <w:rPr>
          <w:rFonts w:ascii="Courier New" w:cs="Courier New" w:eastAsia="Courier New" w:hAnsi="Courier New"/>
          <w:sz w:val="18"/>
          <w:szCs w:val="18"/>
        </w:rPr>
        <w:t xml:space="preserve">  for confidence_bin in [0.0..1.0] step 0.1:</w:t>
      </w:r>
    </w:p>
    <w:p>
      <w:pPr>
        <w:spacing w:after="0" w:line="240"/>
        <w:jc w:val="left"/>
      </w:pPr>
      <w:r>
        <w:rPr>
          <w:rFonts w:ascii="Courier New" w:cs="Courier New" w:eastAsia="Courier New" w:hAnsi="Courier New"/>
          <w:sz w:val="18"/>
          <w:szCs w:val="18"/>
        </w:rPr>
        <w:t xml:space="preserve">    P_bin = {p in P : confidence(p) in confidence_bin}</w:t>
      </w:r>
    </w:p>
    <w:p>
      <w:pPr>
        <w:spacing w:after="0" w:line="240"/>
        <w:jc w:val="left"/>
      </w:pPr>
      <w:r>
        <w:rPr>
          <w:rFonts w:ascii="Courier New" w:cs="Courier New" w:eastAsia="Courier New" w:hAnsi="Courier New"/>
          <w:sz w:val="18"/>
          <w:szCs w:val="18"/>
        </w:rPr>
        <w:t xml:space="preserve">    A_bin = {p in P_bin : p was correct in V}</w:t>
      </w:r>
    </w:p>
    <w:p>
      <w:pPr>
        <w:spacing w:after="0" w:line="240"/>
        <w:jc w:val="left"/>
      </w:pPr>
      <w:r>
        <w:rPr>
          <w:rFonts w:ascii="Courier New" w:cs="Courier New" w:eastAsia="Courier New" w:hAnsi="Courier New"/>
          <w:sz w:val="18"/>
          <w:szCs w:val="18"/>
        </w:rPr>
        <w:t xml:space="preserve">    empirical_accuracy[bin] = |A_bin| / |P_bin|</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 Compute calibration error</w:t>
      </w:r>
    </w:p>
    <w:p>
      <w:pPr>
        <w:spacing w:after="0" w:line="240"/>
        <w:jc w:val="left"/>
      </w:pPr>
      <w:r>
        <w:rPr>
          <w:rFonts w:ascii="Courier New" w:cs="Courier New" w:eastAsia="Courier New" w:hAnsi="Courier New"/>
          <w:sz w:val="18"/>
          <w:szCs w:val="18"/>
        </w:rPr>
        <w:t xml:space="preserve">  CalErr = mean(|empirical_accuracy[bin] - bin_center|)</w:t>
      </w:r>
    </w:p>
    <w:p>
      <w:pPr>
        <w:spacing w:after="0" w:line="240"/>
        <w:jc w:val="left"/>
      </w:pPr>
      <w:r>
        <w:rPr>
          <w:rFonts w:ascii="Courier New" w:cs="Courier New" w:eastAsia="Courier New" w:hAnsi="Courier New"/>
          <w:sz w:val="18"/>
          <w:szCs w:val="18"/>
        </w:rPr>
        <w:t xml:space="preserve"/>
      </w:r>
    </w:p>
    <w:p>
      <w:pPr>
        <w:spacing w:after="0" w:line="240"/>
        <w:jc w:val="left"/>
      </w:pPr>
      <w:r>
        <w:rPr>
          <w:rFonts w:ascii="Courier New" w:cs="Courier New" w:eastAsia="Courier New" w:hAnsi="Courier New"/>
          <w:sz w:val="18"/>
          <w:szCs w:val="18"/>
        </w:rPr>
        <w:t xml:space="preserve">  // Apply isotonic regression to recalibrate</w:t>
      </w:r>
    </w:p>
    <w:p>
      <w:pPr>
        <w:spacing w:after="0" w:line="240"/>
        <w:jc w:val="left"/>
      </w:pPr>
      <w:r>
        <w:rPr>
          <w:rFonts w:ascii="Courier New" w:cs="Courier New" w:eastAsia="Courier New" w:hAnsi="Courier New"/>
          <w:sz w:val="18"/>
          <w:szCs w:val="18"/>
        </w:rPr>
        <w:t xml:space="preserve">  recalibration_map = isotonic_fit(stated_conf, empirical_acc)</w:t>
      </w:r>
    </w:p>
    <w:p>
      <w:pPr>
        <w:spacing w:after="0" w:line="240"/>
        <w:jc w:val="left"/>
      </w:pPr>
      <w:r>
        <w:rPr>
          <w:rFonts w:ascii="Courier New" w:cs="Courier New" w:eastAsia="Courier New" w:hAnsi="Courier New"/>
          <w:sz w:val="18"/>
          <w:szCs w:val="18"/>
        </w:rPr>
        <w:t xml:space="preserve">  return recalibration_map</w:t>
      </w:r>
    </w:p>
    <w:p>
      <w:pPr>
        <w:pStyle w:val="Heading1"/>
        <w:spacing w:after="180" w:before="360"/>
      </w:pPr>
      <w:r>
        <w:rPr>
          <w:b/>
          <w:bCs/>
          <w:sz w:val="28"/>
          <w:szCs w:val="28"/>
        </w:rPr>
        <w:t xml:space="preserve">6. Threat Model and Attack Scenarios</w:t>
      </w:r>
    </w:p>
    <w:p>
      <w:pPr>
        <w:spacing w:after="120" w:line="280"/>
        <w:jc w:val="both"/>
      </w:pPr>
      <w:r>
        <w:t xml:space="preserve">Predictive threat intelligence systems face attacks distinct from those targeting reactive defensive systems. Adversaries who become aware of a deployed predictive system may attempt to manipulate predictions to defenders' detriment.</w:t>
      </w:r>
    </w:p>
    <w:p>
      <w:pPr>
        <w:pStyle w:val="ListParagraph"/>
        <w:numPr>
          <w:ilvl w:val="0"/>
          <w:numId w:val="2"/>
        </w:numPr>
        <w:spacing w:after="100" w:line="280"/>
        <w:jc w:val="both"/>
      </w:pPr>
      <w:r>
        <w:rPr>
          <w:b/>
          <w:bCs/>
        </w:rPr>
        <w:t xml:space="preserve">Data poisoning of public threat intelligence sources. </w:t>
      </w:r>
      <w:r>
        <w:t xml:space="preserve">Adversaries publish fabricated security research designed to bias predictions toward decoy patterns. Mitigation: source-reliability weighting calibrated against historical accuracy.</w:t>
      </w:r>
    </w:p>
    <w:p>
      <w:pPr>
        <w:pStyle w:val="ListParagraph"/>
        <w:numPr>
          <w:ilvl w:val="0"/>
          <w:numId w:val="2"/>
        </w:numPr>
        <w:spacing w:after="100" w:line="280"/>
        <w:jc w:val="both"/>
      </w:pPr>
      <w:r>
        <w:rPr>
          <w:b/>
          <w:bCs/>
        </w:rPr>
        <w:t xml:space="preserve">Adversarial pattern obfuscation. </w:t>
      </w:r>
      <w:r>
        <w:t xml:space="preserve">Adversaries deliberately use patterns the model suggests are unlikely. Mitigation: ensemble methods that maintain coverage across pattern categories.</w:t>
      </w:r>
    </w:p>
    <w:p>
      <w:pPr>
        <w:pStyle w:val="ListParagraph"/>
        <w:numPr>
          <w:ilvl w:val="0"/>
          <w:numId w:val="2"/>
        </w:numPr>
        <w:spacing w:after="100" w:line="280"/>
        <w:jc w:val="both"/>
      </w:pPr>
      <w:r>
        <w:rPr>
          <w:b/>
          <w:bCs/>
        </w:rPr>
        <w:t xml:space="preserve">Prediction-output exploitation. </w:t>
      </w:r>
      <w:r>
        <w:t xml:space="preserve">Adversaries observe DynSciGraph-TF outputs and select unpredicted patterns. Mitigation: limited disclosure outside authorized defender contexts.</w:t>
      </w:r>
    </w:p>
    <w:p>
      <w:pPr>
        <w:pStyle w:val="ListParagraph"/>
        <w:numPr>
          <w:ilvl w:val="0"/>
          <w:numId w:val="2"/>
        </w:numPr>
        <w:spacing w:after="100" w:line="280"/>
        <w:jc w:val="both"/>
      </w:pPr>
      <w:r>
        <w:rPr>
          <w:b/>
          <w:bCs/>
        </w:rPr>
        <w:t xml:space="preserve">LLM prompt injection through threat data. </w:t>
      </w:r>
      <w:r>
        <w:t xml:space="preserve">Adversaries embed adversarial instructions in advisories. Mitigation: input sanitization and structural constraints validated against the cybersecurity ontology.</w:t>
      </w:r>
    </w:p>
    <w:p>
      <w:pPr>
        <w:pStyle w:val="ListParagraph"/>
        <w:numPr>
          <w:ilvl w:val="0"/>
          <w:numId w:val="2"/>
        </w:numPr>
        <w:spacing w:after="100" w:line="280"/>
        <w:jc w:val="both"/>
      </w:pPr>
      <w:r>
        <w:rPr>
          <w:b/>
          <w:bCs/>
        </w:rPr>
        <w:t xml:space="preserve">Model extraction. </w:t>
      </w:r>
      <w:r>
        <w:t xml:space="preserve">Query-based model extraction for evasion. Mitigation: rate limiting and anomalous-query monitoring.</w:t>
      </w:r>
    </w:p>
    <w:p>
      <w:pPr>
        <w:pStyle w:val="ListParagraph"/>
        <w:numPr>
          <w:ilvl w:val="0"/>
          <w:numId w:val="2"/>
        </w:numPr>
        <w:spacing w:after="100" w:line="280"/>
        <w:jc w:val="both"/>
      </w:pPr>
      <w:r>
        <w:rPr>
          <w:b/>
          <w:bCs/>
        </w:rPr>
        <w:t xml:space="preserve">Bias amplification. </w:t>
      </w:r>
      <w:r>
        <w:t xml:space="preserve">Underreporting biases inherited and amplified. Mitigation: explicit bias auditing aligned with NIST AI RMF MAP and MEASURE functions.</w:t>
      </w:r>
    </w:p>
    <w:p>
      <w:pPr>
        <w:pStyle w:val="Heading1"/>
        <w:spacing w:after="180" w:before="360"/>
      </w:pPr>
      <w:r>
        <w:rPr>
          <w:b/>
          <w:bCs/>
          <w:sz w:val="28"/>
          <w:szCs w:val="28"/>
        </w:rPr>
        <w:t xml:space="preserve">7. Experimental Framework</w:t>
      </w:r>
    </w:p>
    <w:p>
      <w:pPr>
        <w:spacing w:after="120" w:line="280"/>
        <w:jc w:val="both"/>
      </w:pPr>
      <w:r>
        <w:t xml:space="preserve">Empirical results are not yet available; this section defines the planned evaluation environment, datasets, and metrics.</w:t>
      </w:r>
    </w:p>
    <w:p>
      <w:pPr>
        <w:pStyle w:val="Heading2"/>
        <w:spacing w:after="140" w:before="240"/>
      </w:pPr>
      <w:r>
        <w:rPr>
          <w:b/>
          <w:bCs/>
          <w:sz w:val="24"/>
          <w:szCs w:val="24"/>
        </w:rPr>
        <w:t xml:space="preserve">7.1 Retrospective Validation Methodology</w:t>
      </w:r>
    </w:p>
    <w:p>
      <w:pPr>
        <w:spacing w:after="120" w:line="280"/>
        <w:jc w:val="both"/>
      </w:pPr>
      <w:r>
        <w:t xml:space="preserve">The model is trained on threat data through a historical cutoff date and evaluated against actual emerging threats observed after the cutoff. Multiple cutoff points are evaluated across at least three years of historical data to characterize stability across threat-landscape conditions. Predictions must not be informed by data postdating the cutoff, including indirectly through pre-trained model components updated after the cutoff.</w:t>
      </w:r>
    </w:p>
    <w:p>
      <w:pPr>
        <w:pStyle w:val="Heading2"/>
        <w:spacing w:after="140" w:before="240"/>
      </w:pPr>
      <w:r>
        <w:rPr>
          <w:b/>
          <w:bCs/>
          <w:sz w:val="24"/>
          <w:szCs w:val="24"/>
        </w:rPr>
        <w:t xml:space="preserve">7.2 Baseline Comparisons</w:t>
      </w:r>
    </w:p>
    <w:p>
      <w:pPr>
        <w:spacing w:after="120" w:line="280"/>
        <w:jc w:val="both"/>
      </w:pPr>
      <w:r>
        <w:t xml:space="preserve">DynSciGraph-TF is evaluated against seven baselines: (1) EPSS-only prediction, isolating the contribution of beyond-vulnerability-level forecasting; (2) CVSS-only ranking, the simplest deployed baseline; (3) static GNN without temporal modeling, isolating TGNN contribution; (4) LSTM time-series model on aggregate threat indicators; (5) Transformer time-series model; (6) non-LLM entity extraction (rule-based or fine-tuned classifier), isolating LLM contribution; and (7) reactive threat intelligence baseline using current MITRE ATT&amp;CK and EPSS systems.</w:t>
      </w:r>
    </w:p>
    <w:p>
      <w:pPr>
        <w:pStyle w:val="Heading2"/>
        <w:spacing w:after="140" w:before="240"/>
      </w:pPr>
      <w:r>
        <w:rPr>
          <w:b/>
          <w:bCs/>
          <w:sz w:val="24"/>
          <w:szCs w:val="24"/>
        </w:rPr>
        <w:t xml:space="preserve">7.3 Planned Benchmark Comparison</w:t>
      </w:r>
    </w:p>
    <w:p>
      <w:pPr>
        <w:spacing w:after="120" w:line="280"/>
        <w:jc w:val="both"/>
      </w:pPr>
      <w:r>
        <w:t xml:space="preserve">The following table specifies the planned benchmark structure. Result columns are intentionally empty pending experimental implementation. No synthesized values are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Model</w:t>
            </w:r>
          </w:p>
        </w:tc>
        <w:tc>
          <w:tcPr>
            <w:tcW w:type="dxa" w:w="169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Precision@10</w:t>
            </w:r>
          </w:p>
        </w:tc>
        <w:tc>
          <w:tcPr>
            <w:tcW w:type="dxa" w:w="169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Recall@50</w:t>
            </w:r>
          </w:p>
        </w:tc>
        <w:tc>
          <w:tcPr>
            <w:tcW w:type="dxa" w:w="169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Lead Time (days)</w:t>
            </w:r>
          </w:p>
        </w:tc>
        <w:tc>
          <w:tcPr>
            <w:tcW w:type="dxa" w:w="169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F1 Score</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EPSS-only baseline</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CVSS-only ranking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Static GNN</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LSTM time-series</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Transformer time-series</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Non-LLM entity extraction</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Reactive baseline (MITRE+EPSS)</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20"/>
                <w:szCs w:val="20"/>
              </w:rPr>
              <w:t xml:space="preserve">DynSciGraph-TF (proposed)</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c>
          <w:tcPr>
            <w:tcW w:type="dxa" w:w="169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i/>
                <w:iCs/>
                <w:sz w:val="20"/>
                <w:szCs w:val="20"/>
              </w:rPr>
              <w:t xml:space="preserve">[pending]</w:t>
            </w:r>
          </w:p>
        </w:tc>
      </w:tr>
    </w:tbl>
    <w:p>
      <w:pPr>
        <w:pStyle w:val="Heading2"/>
        <w:spacing w:after="140" w:before="240"/>
      </w:pPr>
      <w:r>
        <w:rPr>
          <w:b/>
          <w:bCs/>
          <w:sz w:val="24"/>
          <w:szCs w:val="24"/>
        </w:rPr>
        <w:t xml:space="preserve">7.4 Forecasting Tasks</w:t>
      </w:r>
    </w:p>
    <w:p>
      <w:pPr>
        <w:spacing w:after="120" w:line="280"/>
        <w:jc w:val="both"/>
      </w:pPr>
      <w:r>
        <w:t xml:space="preserve">Three forecasting tasks: (1) emerging tactic-technique-procedure forecasting, evaluated against MITRE ATT&amp;CK technique additions in the post-cutoff period; (2) vulnerability chaining pattern forecasting, evaluated against incident reports and security research in the post-cutoff period; (3) adversary technique evolution forecasting, evaluated against changes in adversary group TTP profiles.</w:t>
      </w:r>
    </w:p>
    <w:p>
      <w:pPr>
        <w:pStyle w:val="Heading2"/>
        <w:spacing w:after="140" w:before="240"/>
      </w:pPr>
      <w:r>
        <w:rPr>
          <w:b/>
          <w:bCs/>
          <w:sz w:val="24"/>
          <w:szCs w:val="24"/>
        </w:rPr>
        <w:t xml:space="preserve">7.5 AI Accountability Evaluation</w:t>
      </w:r>
    </w:p>
    <w:p>
      <w:pPr>
        <w:spacing w:after="120" w:line="280"/>
        <w:jc w:val="both"/>
      </w:pPr>
      <w:r>
        <w:t xml:space="preserve">Aligned with NIST AI RMF GOVERN, MAP, MEASURE, and MANAGE functions: explanation faithfulness, usefulness, bias auditing across sectors and adversary attribution, and human-oversight integration.</w:t>
      </w:r>
    </w:p>
    <w:p>
      <w:pPr>
        <w:pStyle w:val="Heading2"/>
        <w:spacing w:after="140" w:before="240"/>
      </w:pPr>
      <w:r>
        <w:rPr>
          <w:b/>
          <w:bCs/>
          <w:sz w:val="24"/>
          <w:szCs w:val="24"/>
        </w:rPr>
        <w:t xml:space="preserve">7.6 Reproducibility Plan</w:t>
      </w:r>
    </w:p>
    <w:p>
      <w:pPr>
        <w:spacing w:after="120" w:line="280"/>
        <w:jc w:val="both"/>
      </w:pPr>
      <w:r>
        <w:t xml:space="preserve">Open-source reference implementation; documented training data preparation pipelines on publicly available threat-intelligence sources; benchmark scripts; pre-computed evaluation datasets with documented historical cutoff points; pre-built container images. Released alongside peer-reviewed publication.</w:t>
      </w:r>
    </w:p>
    <w:p>
      <w:pPr>
        <w:pStyle w:val="Heading1"/>
        <w:spacing w:after="180" w:before="360"/>
      </w:pPr>
      <w:r>
        <w:rPr>
          <w:b/>
          <w:bCs/>
          <w:sz w:val="28"/>
          <w:szCs w:val="28"/>
        </w:rPr>
        <w:t xml:space="preserve">8. Federal Alignment and National Importance</w:t>
      </w:r>
    </w:p>
    <w:p>
      <w:pPr>
        <w:pStyle w:val="ListParagraph"/>
        <w:numPr>
          <w:ilvl w:val="0"/>
          <w:numId w:val="2"/>
        </w:numPr>
        <w:spacing w:after="100" w:line="280"/>
        <w:jc w:val="both"/>
      </w:pPr>
      <w:r>
        <w:rPr>
          <w:b/>
          <w:bCs/>
        </w:rPr>
        <w:t xml:space="preserve">White House National Cyber Strategy (2023). </w:t>
      </w:r>
      <w:r>
        <w:t xml:space="preserve">DynSciGraph-TF contributes to the proactive defense posture identified by the strategy.</w:t>
      </w:r>
    </w:p>
    <w:p>
      <w:pPr>
        <w:pStyle w:val="ListParagraph"/>
        <w:numPr>
          <w:ilvl w:val="0"/>
          <w:numId w:val="2"/>
        </w:numPr>
        <w:spacing w:after="100" w:line="280"/>
        <w:jc w:val="both"/>
      </w:pPr>
      <w:r>
        <w:rPr>
          <w:b/>
          <w:bCs/>
        </w:rPr>
        <w:t xml:space="preserve">NIST AI Risk Management Framework (AI RMF 1.0, 2023). </w:t>
      </w:r>
      <w:r>
        <w:t xml:space="preserve">Aligns with GOVERN, MAP, MEASURE, and MANAGE functions through human-readable explanations, calibrated confidence intervals, bias auditing, and human-oversight integration.</w:t>
      </w:r>
    </w:p>
    <w:p>
      <w:pPr>
        <w:pStyle w:val="ListParagraph"/>
        <w:numPr>
          <w:ilvl w:val="0"/>
          <w:numId w:val="2"/>
        </w:numPr>
        <w:spacing w:after="100" w:line="280"/>
        <w:jc w:val="both"/>
      </w:pPr>
      <w:r>
        <w:rPr>
          <w:b/>
          <w:bCs/>
        </w:rPr>
        <w:t xml:space="preserve">CISA priorities. </w:t>
      </w:r>
      <w:r>
        <w:t xml:space="preserve">Sector-specific forecasting supports the Joint Cyber Defense Collaborative and Cybersecurity Performance Goals.</w:t>
      </w:r>
    </w:p>
    <w:p>
      <w:pPr>
        <w:pStyle w:val="ListParagraph"/>
        <w:numPr>
          <w:ilvl w:val="0"/>
          <w:numId w:val="2"/>
        </w:numPr>
        <w:spacing w:after="100" w:line="280"/>
        <w:jc w:val="both"/>
      </w:pPr>
      <w:r>
        <w:rPr>
          <w:b/>
          <w:bCs/>
        </w:rPr>
        <w:t xml:space="preserve">Post-quantum transition support. </w:t>
      </w:r>
      <w:r>
        <w:t xml:space="preserve">Predictive intelligence applied to transition-period attack patterns provides leading-indicator value during the CNSA 2.0 transition window through January 1, 2027.</w:t>
      </w:r>
    </w:p>
    <w:p>
      <w:pPr>
        <w:spacing w:after="120" w:line="280"/>
        <w:jc w:val="both"/>
      </w:pPr>
      <w:r>
        <w:t xml:space="preserve">Sector applications: financial services (FS-ISAC integration), energy (E-ISAC integration), government communications (NSM-8/NSM-10 compliance), emergency services.</w:t>
      </w:r>
    </w:p>
    <w:p>
      <w:pPr>
        <w:pStyle w:val="Heading1"/>
        <w:spacing w:after="180" w:before="360"/>
      </w:pPr>
      <w:r>
        <w:rPr>
          <w:b/>
          <w:bCs/>
          <w:sz w:val="28"/>
          <w:szCs w:val="28"/>
        </w:rPr>
        <w:t xml:space="preserve">9. Research Roadmap</w:t>
      </w:r>
    </w:p>
    <w:p>
      <w:pPr>
        <w:pStyle w:val="Heading2"/>
        <w:spacing w:after="140" w:before="240"/>
      </w:pPr>
      <w:r>
        <w:rPr>
          <w:b/>
          <w:bCs/>
          <w:sz w:val="24"/>
          <w:szCs w:val="24"/>
        </w:rPr>
        <w:t xml:space="preserve">9.1 Phase One: Architecture and Data Pipeline</w:t>
      </w:r>
    </w:p>
    <w:p>
      <w:pPr>
        <w:spacing w:after="120" w:line="280"/>
        <w:jc w:val="both"/>
      </w:pPr>
      <w:r>
        <w:t xml:space="preserve">Complete specification of LLM extraction prompts and ontology alignment procedures; data ingestion pipeline integrating MITRE ATT&amp;CK, NVD, EPSS, and at least two ISAC sources; documented preprocessing for security research publication corpus; validated knowledge graph construction with size and quality metrics established.</w:t>
      </w:r>
    </w:p>
    <w:p>
      <w:pPr>
        <w:pStyle w:val="Heading2"/>
        <w:spacing w:after="140" w:before="240"/>
      </w:pPr>
      <w:r>
        <w:rPr>
          <w:b/>
          <w:bCs/>
          <w:sz w:val="24"/>
          <w:szCs w:val="24"/>
        </w:rPr>
        <w:t xml:space="preserve">9.2 Phase Two: TGNN Implementation and Evaluation</w:t>
      </w:r>
    </w:p>
    <w:p>
      <w:pPr>
        <w:spacing w:after="120" w:line="280"/>
        <w:jc w:val="both"/>
      </w:pPr>
      <w:r>
        <w:t xml:space="preserve">Cybersecurity-specific TGNN implementation; retrospective validation across multiple historical cutoff points; characterization across three forecasting tasks; calibration analysis; AI accountability evaluation aligned with NIST AI RMF requirements.</w:t>
      </w:r>
    </w:p>
    <w:p>
      <w:pPr>
        <w:pStyle w:val="Heading2"/>
        <w:spacing w:after="140" w:before="240"/>
      </w:pPr>
      <w:r>
        <w:rPr>
          <w:b/>
          <w:bCs/>
          <w:sz w:val="24"/>
          <w:szCs w:val="24"/>
        </w:rPr>
        <w:t xml:space="preserve">9.3 Phase Three: Federal Engagement and Publication</w:t>
      </w:r>
    </w:p>
    <w:p>
      <w:pPr>
        <w:spacing w:after="120" w:line="280"/>
        <w:jc w:val="both"/>
      </w:pPr>
      <w:r>
        <w:t xml:space="preserve">Technical documentation for review by CISA, sector-specific ISACs, and federal cybersecurity stakeholders; manuscripts targeted at peer-reviewed venues focused on AI-driven cybersecurity (target venues include IEEE Access, Computers &amp; Security, Information Sciences, Expert Systems with Applications, Journal of Information Security and Applications, Cluster Computing); reference deployment configurations for federal pilot evaluation in coordination with the Joint Cyber Defense Collaborative.</w:t>
      </w:r>
    </w:p>
    <w:p>
      <w:pPr>
        <w:pStyle w:val="Heading1"/>
        <w:spacing w:after="180" w:before="360"/>
      </w:pPr>
      <w:r>
        <w:rPr>
          <w:b/>
          <w:bCs/>
          <w:sz w:val="28"/>
          <w:szCs w:val="28"/>
        </w:rPr>
        <w:t xml:space="preserve">10. Conclusion</w:t>
      </w:r>
    </w:p>
    <w:p>
      <w:pPr>
        <w:spacing w:after="120" w:line="280"/>
        <w:jc w:val="both"/>
      </w:pPr>
      <w:r>
        <w:t xml:space="preserve">This concept paper has presented DynSciGraph-TF, a temporal knowledge graph forecasting framework for pre-incident cyber threat prediction in U.S. critical infrastructure. The contribution is a hybrid LLM-TGNN architecture introducing three components not present together in prior threat intelligence systems: schema-aligned LLM extraction with cybersecurity-ontology constraints, a cybersecurity-specific TGNN encoder over a heterogeneous threat knowledge graph, and calibrated uncertainty quantification aligned with the NIST AI Risk Management Framework. The paper presents the formal problem formulation as conditional probability estimation over future graph edges, complete pseudocode for the extraction-encoding-decoding-calibration pipeline, and a planned experimental evaluation against seven baselines. Empirical results are deferred to the implementation and evaluation phases of the research roadmap.</w:t>
      </w:r>
    </w:p>
    <w:p>
      <w:pPr>
        <w:pStyle w:val="Heading1"/>
        <w:spacing w:after="180" w:before="360"/>
      </w:pPr>
      <w:r>
        <w:rPr>
          <w:b/>
          <w:bCs/>
          <w:sz w:val="28"/>
          <w:szCs w:val="28"/>
        </w:rPr>
        <w:t xml:space="preserve">References</w:t>
      </w:r>
    </w:p>
    <w:p>
      <w:pPr>
        <w:pStyle w:val="Heading2"/>
        <w:spacing w:after="140" w:before="240"/>
      </w:pPr>
      <w:r>
        <w:rPr>
          <w:b/>
          <w:bCs/>
          <w:sz w:val="24"/>
          <w:szCs w:val="24"/>
        </w:rPr>
        <w:t xml:space="preserve">Federal and Standards-Body Sources</w:t>
      </w:r>
    </w:p>
    <w:p>
      <w:pPr>
        <w:pStyle w:val="ListParagraph"/>
        <w:numPr>
          <w:ilvl w:val="0"/>
          <w:numId w:val="2"/>
        </w:numPr>
        <w:spacing w:after="100" w:line="280"/>
        <w:jc w:val="both"/>
      </w:pPr>
      <w:r>
        <w:t xml:space="preserve">White House, National Cybersecurity Strategy, March 2023.</w:t>
      </w:r>
    </w:p>
    <w:p>
      <w:pPr>
        <w:pStyle w:val="ListParagraph"/>
        <w:numPr>
          <w:ilvl w:val="0"/>
          <w:numId w:val="2"/>
        </w:numPr>
        <w:spacing w:after="100" w:line="280"/>
        <w:jc w:val="both"/>
      </w:pPr>
      <w:r>
        <w:t xml:space="preserve">NIST, Artificial Intelligence Risk Management Framework (AI RMF 1.0), January 2023.</w:t>
      </w:r>
    </w:p>
    <w:p>
      <w:pPr>
        <w:pStyle w:val="ListParagraph"/>
        <w:numPr>
          <w:ilvl w:val="0"/>
          <w:numId w:val="2"/>
        </w:numPr>
        <w:spacing w:after="100" w:line="280"/>
        <w:jc w:val="both"/>
      </w:pPr>
      <w:r>
        <w:t xml:space="preserve">MITRE Corporation, ATT&amp;CK Framework, continuously updated.</w:t>
      </w:r>
    </w:p>
    <w:p>
      <w:pPr>
        <w:pStyle w:val="ListParagraph"/>
        <w:numPr>
          <w:ilvl w:val="0"/>
          <w:numId w:val="2"/>
        </w:numPr>
        <w:spacing w:after="100" w:line="280"/>
        <w:jc w:val="both"/>
      </w:pPr>
      <w:r>
        <w:t xml:space="preserve">NIST, National Vulnerability Database (NVD), continuously updated.</w:t>
      </w:r>
    </w:p>
    <w:p>
      <w:pPr>
        <w:pStyle w:val="ListParagraph"/>
        <w:numPr>
          <w:ilvl w:val="0"/>
          <w:numId w:val="2"/>
        </w:numPr>
        <w:spacing w:after="100" w:line="280"/>
        <w:jc w:val="both"/>
      </w:pPr>
      <w:r>
        <w:t xml:space="preserve">Cybersecurity and Infrastructure Security Agency, Exploit Prediction Scoring System, continuously updated.</w:t>
      </w:r>
    </w:p>
    <w:p>
      <w:pPr>
        <w:pStyle w:val="ListParagraph"/>
        <w:numPr>
          <w:ilvl w:val="0"/>
          <w:numId w:val="2"/>
        </w:numPr>
        <w:spacing w:after="100" w:line="280"/>
        <w:jc w:val="both"/>
      </w:pPr>
      <w:r>
        <w:t xml:space="preserve">White House National Security Memorandum-10 (NSM-10), May 4, 2022.</w:t>
      </w:r>
    </w:p>
    <w:p>
      <w:pPr>
        <w:pStyle w:val="ListParagraph"/>
        <w:numPr>
          <w:ilvl w:val="0"/>
          <w:numId w:val="2"/>
        </w:numPr>
        <w:spacing w:after="100" w:line="280"/>
        <w:jc w:val="both"/>
      </w:pPr>
      <w:r>
        <w:t xml:space="preserve">Public Law 117-260, Quantum Computing Cybersecurity Preparedness Act, December 21, 2022.</w:t>
      </w:r>
    </w:p>
    <w:p>
      <w:pPr>
        <w:pStyle w:val="ListParagraph"/>
        <w:numPr>
          <w:ilvl w:val="0"/>
          <w:numId w:val="2"/>
        </w:numPr>
        <w:spacing w:after="100" w:line="280"/>
        <w:jc w:val="both"/>
      </w:pPr>
      <w:r>
        <w:t xml:space="preserve">CISA, Joint Cyber Defense Collaborative Charter, 2021.</w:t>
      </w:r>
    </w:p>
    <w:p>
      <w:pPr>
        <w:pStyle w:val="ListParagraph"/>
        <w:numPr>
          <w:ilvl w:val="0"/>
          <w:numId w:val="2"/>
        </w:numPr>
        <w:spacing w:after="100" w:line="280"/>
        <w:jc w:val="both"/>
      </w:pPr>
      <w:r>
        <w:t xml:space="preserve">CISA, Cross-Sector Cybersecurity Performance Goals, March 2023.</w:t>
      </w:r>
    </w:p>
    <w:p>
      <w:pPr>
        <w:pStyle w:val="ListParagraph"/>
        <w:numPr>
          <w:ilvl w:val="0"/>
          <w:numId w:val="2"/>
        </w:numPr>
        <w:spacing w:after="100" w:line="280"/>
        <w:jc w:val="both"/>
      </w:pPr>
      <w:r>
        <w:t xml:space="preserve">Securities and Exchange Commission, Final Rule on Cybersecurity Risk Management, effective December 18, 2023.</w:t>
      </w:r>
    </w:p>
    <w:p>
      <w:pPr>
        <w:pStyle w:val="Heading2"/>
        <w:spacing w:after="140" w:before="240"/>
      </w:pPr>
      <w:r>
        <w:rPr>
          <w:b/>
          <w:bCs/>
          <w:sz w:val="24"/>
          <w:szCs w:val="24"/>
        </w:rPr>
        <w:t xml:space="preserve">Academic Sources</w:t>
      </w:r>
    </w:p>
    <w:p>
      <w:pPr>
        <w:pStyle w:val="ListParagraph"/>
        <w:numPr>
          <w:ilvl w:val="0"/>
          <w:numId w:val="2"/>
        </w:numPr>
        <w:spacing w:after="100" w:line="280"/>
        <w:jc w:val="both"/>
      </w:pPr>
      <w:r>
        <w:t xml:space="preserve">Husari, G. et al., "TTPDrill: Automatic and Accurate Extraction of Threat Actions from Unstructured Text of CTI Sources," ACSAC, 2017.</w:t>
      </w:r>
    </w:p>
    <w:p>
      <w:pPr>
        <w:pStyle w:val="ListParagraph"/>
        <w:numPr>
          <w:ilvl w:val="0"/>
          <w:numId w:val="2"/>
        </w:numPr>
        <w:spacing w:after="100" w:line="280"/>
        <w:jc w:val="both"/>
      </w:pPr>
      <w:r>
        <w:t xml:space="preserve">Jacobs, J., Romanosky, S., Adjerid, I. and Baker, W., "Improving Vulnerability Remediation Through Better Exploit Prediction," WEIS, 2021.</w:t>
      </w:r>
    </w:p>
    <w:p>
      <w:pPr>
        <w:pStyle w:val="ListParagraph"/>
        <w:numPr>
          <w:ilvl w:val="0"/>
          <w:numId w:val="2"/>
        </w:numPr>
        <w:spacing w:after="100" w:line="280"/>
        <w:jc w:val="both"/>
      </w:pPr>
      <w:r>
        <w:t xml:space="preserve">Rossi, E. et al., "Temporal Graph Networks for Deep Learning on Dynamic Graphs," ICML Workshop on Graph Representation Learning, 2020.</w:t>
      </w:r>
    </w:p>
    <w:p>
      <w:pPr>
        <w:pStyle w:val="ListParagraph"/>
        <w:numPr>
          <w:ilvl w:val="0"/>
          <w:numId w:val="2"/>
        </w:numPr>
        <w:spacing w:after="100" w:line="280"/>
        <w:jc w:val="both"/>
      </w:pPr>
      <w:r>
        <w:t xml:space="preserve">Kazemi, S. M. et al., "Representation Learning for Dynamic Graphs: A Survey," Journal of Machine Learning Research, 2020.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DynSciGraph-TF Concept Paper — M. F. Kabir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DynSciGraph-TF: Temporal Knowledge Graph Forecasting Framework</dc:title>
  <dc:creator>Md Farhad Kabir</dc:creator>
  <cp:lastModifiedBy>Un-named</cp:lastModifiedBy>
  <cp:revision>1</cp:revision>
  <dcterms:created xsi:type="dcterms:W3CDTF">2026-04-27T20:27:15.635Z</dcterms:created>
  <dcterms:modified xsi:type="dcterms:W3CDTF">2026-04-27T20:27:15.658Z</dcterms:modified>
</cp:coreProperties>
</file>

<file path=docProps/custom.xml><?xml version="1.0" encoding="utf-8"?>
<Properties xmlns="http://schemas.openxmlformats.org/officeDocument/2006/custom-properties" xmlns:vt="http://schemas.openxmlformats.org/officeDocument/2006/docPropsVTypes"/>
</file>