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28"/>
          <w:szCs w:val="28"/>
        </w:rPr>
        <w:t xml:space="preserve">QH-BFT: A Quantum-Adaptive Hierarchical Byzantine Fault-Tolerant Consensus Framework with Trust-Weighted Quorum Rotation and Adaptive Verification for U.S. Critical Infrastructure</w:t>
      </w:r>
    </w:p>
    <w:p>
      <w:pPr>
        <w:spacing w:after="240"/>
        <w:jc w:val="center"/>
      </w:pPr>
      <w:r>
        <w:rPr>
          <w:i/>
          <w:iCs/>
          <w:sz w:val="22"/>
          <w:szCs w:val="22"/>
        </w:rPr>
        <w:t xml:space="preserve">(Project name: QuantumShield)</w:t>
      </w:r>
    </w:p>
    <w:p>
      <w:pPr>
        <w:spacing w:after="120"/>
        <w:jc w:val="center"/>
      </w:pPr>
      <w:r>
        <w:rPr>
          <w:i/>
          <w:iCs/>
          <w:sz w:val="24"/>
          <w:szCs w:val="24"/>
        </w:rPr>
        <w:t xml:space="preserve">Research Concept Paper</w:t>
      </w:r>
    </w:p>
    <w:p>
      <w:pPr>
        <w:spacing w:after="60"/>
        <w:jc w:val="center"/>
      </w:pPr>
      <w:r>
        <w:rPr>
          <w:sz w:val="22"/>
          <w:szCs w:val="22"/>
        </w:rPr>
        <w:t xml:space="preserve">Md Farhad Kabir</w:t>
      </w:r>
    </w:p>
    <w:p>
      <w:pPr>
        <w:spacing w:after="360"/>
        <w:jc w:val="center"/>
      </w:pPr>
      <w:r>
        <w:rPr>
          <w:i/>
          <w:iCs/>
          <w:sz w:val="20"/>
          <w:szCs w:val="20"/>
        </w:rPr>
        <w:t xml:space="preserve">Active Research Direction — April 2026</w:t>
      </w:r>
    </w:p>
    <w:p>
      <w:pPr>
        <w:pStyle w:val="Heading1"/>
        <w:spacing w:after="180" w:before="360"/>
      </w:pPr>
      <w:r>
        <w:rPr>
          <w:b/>
          <w:bCs/>
          <w:sz w:val="28"/>
          <w:szCs w:val="28"/>
        </w:rPr>
        <w:t xml:space="preserve">Abstract</w:t>
      </w:r>
    </w:p>
    <w:p>
      <w:pPr>
        <w:spacing w:after="120" w:line="280"/>
        <w:jc w:val="both"/>
      </w:pPr>
      <w:r>
        <w:t xml:space="preserve">This concept paper presents QH-BFT, a quantum-adaptive hierarchical Byzantine fault-tolerant consensus framework for U.S. critical infrastructure under federal post-quantum cryptography mandates (NSM-10, PL 117-260, CNSA 2.0, CNSSP 15 with January 1, 2027 NSS acquisition deadline). The contribution is a consensus protocol in which validator participation, quorum composition, and signature parameters dynamically adapt to network conditions and adversary behavior, addressing the structural performance penalty that naive integration of FIPS 204 ML-DSA imposes on classical BFT protocols. We introduce three mechanisms not present in prior post-quantum consensus proposals: dynamic validator tiers with trust-weighted membership, trust-weighted quorum rotation reducing leader-position predictability under adaptive Byzantine attack, and adaptive PQ signature compression with formally specified safety conditions. The paper presents the formal model, complete pseudocode, proof sketches for safety and liveness, complexity analysis, and a planned experimental evaluation against PBFT-ECDSA, PBFT-PQC, and HotStuff-PQC baselines across N=4 to N=64 validator deployments. Empirical evaluation results are not yet available; this paper presents the protocol specification, formal correctness arguments, and planned evaluation methodology.</w:t>
      </w:r>
    </w:p>
    <w:p>
      <w:pPr>
        <w:pStyle w:val="Heading1"/>
        <w:spacing w:after="180" w:before="360"/>
      </w:pPr>
      <w:r>
        <w:rPr>
          <w:b/>
          <w:bCs/>
          <w:sz w:val="28"/>
          <w:szCs w:val="28"/>
        </w:rPr>
        <w:t xml:space="preserve">1. Introduction</w:t>
      </w:r>
    </w:p>
    <w:p>
      <w:pPr>
        <w:spacing w:after="120" w:line="280"/>
        <w:jc w:val="both"/>
      </w:pPr>
      <w:r>
        <w:t xml:space="preserve">The federal post-quantum cryptography transition is underway. NSM-10 (May 4, 2022) directs federal agencies to transition cryptographic systems to quantum-resistant cryptography, with the goal of mitigating as much of the quantum risk as is feasible by 2035. Public Law 117-260 (December 21, 2022) requires federal cryptographic-system inventories. The Office of Management and Budget's July 2024 Report estimates federal non-NSS migration costs at approximately $7.1 billion in 2024 dollars between 2025 and 2035. Under CNSSP 15 (December 2024), all new National Security Systems acquisitions must support CNSA 2.0 algorithms from January 1, 2027.</w:t>
      </w:r>
    </w:p>
    <w:p>
      <w:pPr>
        <w:spacing w:after="120" w:line="280"/>
        <w:jc w:val="both"/>
      </w:pPr>
      <w:r>
        <w:t xml:space="preserve">In August 2024, NIST finalized the first three post-quantum cryptographic standards: FIPS 203 ML-KEM, FIPS 204 ML-DSA, and FIPS 205 SLH-DSA. ML-KEM and ML-DSA are NSS-approved under CNSA 2.0; SLH-DSA is approved for non-NSS contexts only. These standards establish the cryptographic primitives federal systems must integrate to meet NSM-10 and CNSSP 15 mandates.</w:t>
      </w:r>
    </w:p>
    <w:p>
      <w:pPr>
        <w:spacing w:after="120" w:line="280"/>
        <w:jc w:val="both"/>
      </w:pPr>
      <w:r>
        <w:t xml:space="preserve">Existing research on PQC in distributed systems focuses primarily on cryptographic primitive substitution—replacing ECDSA signatures with ML-DSA signatures in protocols originally designed for classical cryptography. This treats consensus protocols as black boxes that should function unchanged when primitives are replaced. However, post-quantum signature schemes have substantially different cost profiles. ML-DSA-87 signatures are approximately 4,627 bytes versus 96 bytes for ECDSA-P384—a 48-fold size increase. Verification times differ by one to two orders of magnitude. These differences invalidate latency and throughput assumptions baked into classical Byzantine fault-tolerant consensus protocols, producing systems that meet PQC compliance mandates on paper but fail to meet operational performance requirements in practice.</w:t>
      </w:r>
    </w:p>
    <w:p>
      <w:pPr>
        <w:spacing w:after="120" w:line="280"/>
        <w:jc w:val="both"/>
      </w:pPr>
      <w:r>
        <w:t xml:space="preserve">This paper addresses the gap between PQC compliance and operational distributed-systems viability. The contribution is QH-BFT, a consensus protocol explicitly designed for the post-quantum regime, with three mechanisms that mitigate throughput and latency penalties of post-quantum signatures while preserving safety, liveness, and Byzantine-tolerance properties required for critical infrastructure deployment.</w:t>
      </w:r>
    </w:p>
    <w:p>
      <w:pPr>
        <w:pStyle w:val="Heading2"/>
        <w:spacing w:after="140" w:before="240"/>
      </w:pPr>
      <w:r>
        <w:rPr>
          <w:b/>
          <w:bCs/>
          <w:sz w:val="24"/>
          <w:szCs w:val="24"/>
        </w:rPr>
        <w:t xml:space="preserve">1.1 Contributions</w:t>
      </w:r>
    </w:p>
    <w:p>
      <w:pPr>
        <w:pStyle w:val="ListParagraph"/>
        <w:numPr>
          <w:ilvl w:val="0"/>
          <w:numId w:val="2"/>
        </w:numPr>
        <w:spacing w:after="100" w:line="280"/>
        <w:jc w:val="both"/>
      </w:pPr>
      <w:r>
        <w:t xml:space="preserve">A formal model of Byzantine fault-tolerant consensus under post-quantum cryptographic assumptions, with explicit characterization of the cost asymmetry between classical and post-quantum primitives.</w:t>
      </w:r>
    </w:p>
    <w:p>
      <w:pPr>
        <w:pStyle w:val="ListParagraph"/>
        <w:numPr>
          <w:ilvl w:val="0"/>
          <w:numId w:val="2"/>
        </w:numPr>
        <w:spacing w:after="100" w:line="280"/>
        <w:jc w:val="both"/>
      </w:pPr>
      <w:r>
        <w:t xml:space="preserve">A novel consensus protocol, QH-BFT, introducing three mechanisms not present in prior post-quantum consensus proposals: dynamic validator tiers with trust-weighted membership; trust-weighted quorum rotation; and adaptive PQ signature compression with formally specified safety conditions.</w:t>
      </w:r>
    </w:p>
    <w:p>
      <w:pPr>
        <w:pStyle w:val="ListParagraph"/>
        <w:numPr>
          <w:ilvl w:val="0"/>
          <w:numId w:val="2"/>
        </w:numPr>
        <w:spacing w:after="100" w:line="280"/>
        <w:jc w:val="both"/>
      </w:pPr>
      <w:r>
        <w:t xml:space="preserve">Pseudocode specification of the QH-BFT consensus protocol suitable for reference implementation.</w:t>
      </w:r>
    </w:p>
    <w:p>
      <w:pPr>
        <w:pStyle w:val="ListParagraph"/>
        <w:numPr>
          <w:ilvl w:val="0"/>
          <w:numId w:val="2"/>
        </w:numPr>
        <w:spacing w:after="100" w:line="280"/>
        <w:jc w:val="both"/>
      </w:pPr>
      <w:r>
        <w:t xml:space="preserve">Formal proof sketches for safety, liveness, and Byzantine-tolerance properties under the threat model, with full proofs identified as planned work.</w:t>
      </w:r>
    </w:p>
    <w:p>
      <w:pPr>
        <w:pStyle w:val="ListParagraph"/>
        <w:numPr>
          <w:ilvl w:val="0"/>
          <w:numId w:val="2"/>
        </w:numPr>
        <w:spacing w:after="100" w:line="280"/>
        <w:jc w:val="both"/>
      </w:pPr>
      <w:r>
        <w:t xml:space="preserve">Specification of a planned experimental evaluation comparing QH-BFT against representative classical and naive-PQC baselines, including testbed configuration, baseline protocols, performance metrics, and reproducibility plan.</w:t>
      </w:r>
    </w:p>
    <w:p>
      <w:pPr>
        <w:pStyle w:val="ListParagraph"/>
        <w:numPr>
          <w:ilvl w:val="0"/>
          <w:numId w:val="2"/>
        </w:numPr>
        <w:spacing w:after="100" w:line="280"/>
        <w:jc w:val="both"/>
      </w:pPr>
      <w:r>
        <w:t xml:space="preserve">Direct alignment with binding federal mandates and explicit consideration of three U.S. critical infrastructure deployment scenarios.</w:t>
      </w:r>
    </w:p>
    <w:p>
      <w:pPr>
        <w:pStyle w:val="Heading1"/>
        <w:spacing w:after="180" w:before="360"/>
      </w:pPr>
      <w:r>
        <w:rPr>
          <w:b/>
          <w:bCs/>
          <w:sz w:val="28"/>
          <w:szCs w:val="28"/>
        </w:rPr>
        <w:t xml:space="preserve">2. Related Work</w:t>
      </w:r>
    </w:p>
    <w:p>
      <w:pPr>
        <w:spacing w:after="120" w:line="280"/>
        <w:jc w:val="both"/>
      </w:pPr>
      <w:r>
        <w:t xml:space="preserve">QH-BFT is positioned at the intersection of three research traditions: classical Byzantine fault-tolerant consensus protocols, post-quantum cryptographic primitive design, and applied cryptography for critical infrastructure.</w:t>
      </w:r>
    </w:p>
    <w:p>
      <w:pPr>
        <w:pStyle w:val="Heading2"/>
        <w:spacing w:after="140" w:before="240"/>
      </w:pPr>
      <w:r>
        <w:rPr>
          <w:b/>
          <w:bCs/>
          <w:sz w:val="24"/>
          <w:szCs w:val="24"/>
        </w:rPr>
        <w:t xml:space="preserve">2.1 Classical Byzantine Fault-Tolerant Consensus</w:t>
      </w:r>
    </w:p>
    <w:p>
      <w:pPr>
        <w:spacing w:after="120" w:line="280"/>
        <w:jc w:val="both"/>
      </w:pPr>
      <w:r>
        <w:t xml:space="preserve">Practical Byzantine Fault Tolerance, introduced by Castro and Liskov (1999), established the foundational protocol for state-machine replication with Byzantine fault tolerance under partial synchrony. PBFT achieves O(N²) message complexity in the normal case and O(N³) during view-change. Subsequent protocols extended PBFT in multiple directions. HotStuff (Yin et al., 2019) introduced linear view-change with O(N) message complexity during leader replacement. Tendermint (Buchman, 2016) integrated BFT consensus into a blockchain context. SBFT (Gueta et al., 2019) extended PBFT with threshold-signature optimizations. All classical protocols share a structural assumption: cryptographic operations are inexpensive relative to network round-trip times. This holds for ECDSA and Ed25519 but fails for post-quantum signatures.</w:t>
      </w:r>
    </w:p>
    <w:p>
      <w:pPr>
        <w:pStyle w:val="Heading2"/>
        <w:spacing w:after="140" w:before="240"/>
      </w:pPr>
      <w:r>
        <w:rPr>
          <w:b/>
          <w:bCs/>
          <w:sz w:val="24"/>
          <w:szCs w:val="24"/>
        </w:rPr>
        <w:t xml:space="preserve">2.2 Post-Quantum Cryptographic Primitives</w:t>
      </w:r>
    </w:p>
    <w:p>
      <w:pPr>
        <w:spacing w:after="120" w:line="280"/>
        <w:jc w:val="both"/>
      </w:pPr>
      <w:r>
        <w:t xml:space="preserve">The NIST PQC Standardization Project, initiated in 2016, evaluated 82 submissions across four rounds. The first three finalized federal standards were published August 13, 2024 and effective August 14, 2024: FIPS 203 (ML-KEM), FIPS 204 (ML-DSA), and FIPS 205 (SLH-DSA). Subsequent algorithm selections include HQC for code-based KEM diversity (selected March 2025) and FN-DSA (Falcon, draft FIPS 206) under continued development. Research on lattice signatures in distributed systems—including Esgin et al. (2019) on lattice-based aggregate signatures and subsequent work on threshold lattice signatures—has explored adaptation of PQC for distributed cryptographic operations but focuses on primitive design rather than consensus protocol integration.</w:t>
      </w:r>
    </w:p>
    <w:p>
      <w:pPr>
        <w:pStyle w:val="Heading2"/>
        <w:spacing w:after="140" w:before="240"/>
      </w:pPr>
      <w:r>
        <w:rPr>
          <w:b/>
          <w:bCs/>
          <w:sz w:val="24"/>
          <w:szCs w:val="24"/>
        </w:rPr>
        <w:t xml:space="preserve">2.3 Quantum-Resistant Distributed Systems</w:t>
      </w:r>
    </w:p>
    <w:p>
      <w:pPr>
        <w:spacing w:after="120" w:line="280"/>
        <w:jc w:val="both"/>
      </w:pPr>
      <w:r>
        <w:t xml:space="preserve">Several proposals for quantum-resistant blockchain and distributed ledger systems have appeared since 2020. These typically integrate post-quantum signatures at the application layer (transaction signing) while leaving the underlying consensus protocol unchanged. Hyperledger's BFT-based protocols include hybrid classical-PQC roadmaps. None of the surveyed proposals specifically address U.S. critical infrastructure deployment, federal mandate alignment, or the consensus-protocol performance penalty arising from naive PQC integration.</w:t>
      </w:r>
    </w:p>
    <w:p>
      <w:pPr>
        <w:pStyle w:val="Heading2"/>
        <w:spacing w:after="140" w:before="240"/>
      </w:pPr>
      <w:r>
        <w:rPr>
          <w:b/>
          <w:bCs/>
          <w:sz w:val="24"/>
          <w:szCs w:val="24"/>
        </w:rPr>
        <w:t xml:space="preserve">2.4 Comparison and Identified Gap</w:t>
      </w:r>
    </w:p>
    <w:p>
      <w:pPr>
        <w:spacing w:after="120" w:line="280"/>
        <w:jc w:val="both"/>
      </w:pPr>
      <w:r>
        <w:t xml:space="preserve">The following table positions QH-BFT against representative prior work along four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40"/>
        <w:gridCol w:w="1240"/>
        <w:gridCol w:w="1240"/>
        <w:gridCol w:w="1240"/>
        <w:gridCol w:w="2000"/>
      </w:tblGrid>
      <w:tr>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Approach</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PQC</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Low Latency</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Formal Proof</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CI Focus</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Note</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PBFT (Castro &amp; Liskov, 1999)</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Foundational, classical crypto</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HotStuff (Yin et al., 2019)</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Linear view-change, classical</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Tendermint (Buchman, 2016)</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Partial</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Partial</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BFT for blockchain, ECDSA</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Lattice signatures in distributed systems (Esgin et al., 2019)</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Partial</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Primitives, no consensus</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Quantum-resistant blockchain proposals (2020-2024)</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Variable</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Limited</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Application-layer, not BFT</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Hyperledger BFT-based protocols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Partial</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Yes</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Partial</w:t>
            </w:r>
          </w:p>
        </w:tc>
        <w:tc>
          <w:tcPr>
            <w:tcW w:type="dxa" w:w="12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No</w:t>
            </w:r>
          </w:p>
        </w:tc>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Permissioned BFT, hybrid roadmap</w:t>
            </w:r>
          </w:p>
        </w:tc>
      </w:tr>
      <w:tr>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QH-BFT / QuantumShield (proposed)</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Yes</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Yes (target)</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Planned</w:t>
            </w:r>
          </w:p>
        </w:tc>
        <w:tc>
          <w:tcPr>
            <w:tcW w:type="dxa" w:w="12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Yes</w:t>
            </w:r>
          </w:p>
        </w:tc>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CNSA 2.0-aligned BFT for U.S. CI</w:t>
            </w:r>
          </w:p>
        </w:tc>
      </w:tr>
    </w:tbl>
    <w:p>
      <w:pPr>
        <w:spacing w:after="120" w:before="180" w:line="280"/>
        <w:jc w:val="both"/>
      </w:pPr>
      <w:r>
        <w:t xml:space="preserve">The identified gap is the absence of consensus protocols designed specifically for the post-quantum regime, with adaptive verification mechanisms suited to critical infrastructure deployment and explicit alignment to binding federal mandates.</w:t>
      </w:r>
    </w:p>
    <w:p>
      <w:pPr>
        <w:pStyle w:val="Heading1"/>
        <w:spacing w:after="180" w:before="360"/>
      </w:pPr>
      <w:r>
        <w:rPr>
          <w:b/>
          <w:bCs/>
          <w:sz w:val="28"/>
          <w:szCs w:val="28"/>
        </w:rPr>
        <w:t xml:space="preserve">3. System Model</w:t>
      </w:r>
    </w:p>
    <w:p>
      <w:pPr>
        <w:pStyle w:val="Heading2"/>
        <w:spacing w:after="140" w:before="240"/>
      </w:pPr>
      <w:r>
        <w:rPr>
          <w:b/>
          <w:bCs/>
          <w:sz w:val="24"/>
          <w:szCs w:val="24"/>
        </w:rPr>
        <w:t xml:space="preserve">3.1 Network Model</w:t>
      </w:r>
    </w:p>
    <w:p>
      <w:pPr>
        <w:spacing w:after="120" w:line="280"/>
        <w:jc w:val="both"/>
      </w:pPr>
      <w:r>
        <w:t xml:space="preserve">The network consists of N validator nodes connected by a partially synchronous communication network. Following Dwork, Lynch, and Stockmeyer (1988), partial synchrony assumes there exists an unknown global stabilization time GST after which message delays are bounded by an unknown but finite Δ. Communication is point-to-point with authenticated channels established between validator pairs using ML-KEM-derived session keys. The protocol assumes reliable delivery after GST: every message sent by an honest validator to another honest validator is eventually delivered.</w:t>
      </w:r>
    </w:p>
    <w:p>
      <w:pPr>
        <w:pStyle w:val="Heading2"/>
        <w:spacing w:after="140" w:before="240"/>
      </w:pPr>
      <w:r>
        <w:rPr>
          <w:b/>
          <w:bCs/>
          <w:sz w:val="24"/>
          <w:szCs w:val="24"/>
        </w:rPr>
        <w:t xml:space="preserve">3.2 Validator Model</w:t>
      </w:r>
    </w:p>
    <w:p>
      <w:pPr>
        <w:spacing w:after="120" w:line="280"/>
        <w:jc w:val="both"/>
      </w:pPr>
      <w:r>
        <w:t xml:space="preserve">Validators are partitioned into trust tiers based on a reliability score function R(i, t) for validator i at time t. The reliability score is computed from validator behavior over a sliding window of recent consensus rounds. The trust tier structure is formalized as:</w:t>
      </w:r>
    </w:p>
    <w:p>
      <w:pPr>
        <w:spacing w:after="120" w:before="120" w:line="280"/>
        <w:jc w:val="center"/>
      </w:pPr>
      <w:r>
        <w:rPr>
          <w:i/>
          <w:iCs/>
          <w:sz w:val="24"/>
          <w:szCs w:val="24"/>
        </w:rPr>
        <w:t xml:space="preserve">T(i, t) = ⌊R(i, t) · k⌋  where k is the number of tiers</w:t>
      </w:r>
    </w:p>
    <w:p>
      <w:pPr>
        <w:spacing w:after="120" w:line="280"/>
        <w:jc w:val="both"/>
      </w:pPr>
      <w:r>
        <w:t xml:space="preserve">Tier membership rotates periodically. The protocol assumes at most f validators are Byzantine, where N ≥ 3f + 1.</w:t>
      </w:r>
    </w:p>
    <w:p>
      <w:pPr>
        <w:pStyle w:val="Heading2"/>
        <w:spacing w:after="140" w:before="240"/>
      </w:pPr>
      <w:r>
        <w:rPr>
          <w:b/>
          <w:bCs/>
          <w:sz w:val="24"/>
          <w:szCs w:val="24"/>
        </w:rPr>
        <w:t xml:space="preserve">3.3 Cryptographic Model</w:t>
      </w:r>
    </w:p>
    <w:p>
      <w:pPr>
        <w:spacing w:after="120" w:line="280"/>
        <w:jc w:val="both"/>
      </w:pPr>
      <w:r>
        <w:t xml:space="preserve">The protocol uses NIST-standardized post-quantum cryptographic primitives. Relevant parameter sets are summarized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Primitive</w:t>
            </w:r>
          </w:p>
        </w:tc>
        <w:tc>
          <w:tcPr>
            <w:tcW w:type="dxa" w:w="18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Public Key (bytes)</w:t>
            </w:r>
          </w:p>
        </w:tc>
        <w:tc>
          <w:tcPr>
            <w:tcW w:type="dxa" w:w="18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Sig/CT (bytes)</w:t>
            </w:r>
          </w:p>
        </w:tc>
        <w:tc>
          <w:tcPr>
            <w:tcW w:type="dxa" w:w="18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Security Category</w:t>
            </w:r>
          </w:p>
        </w:tc>
        <w:tc>
          <w:tcPr>
            <w:tcW w:type="dxa" w:w="18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CNSA 2.0 Status</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ML-DSA-44</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1,312</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2,420</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2</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ML-DSA-65</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1,952</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3,309</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3</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ML-DSA-87</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2,592</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4,627</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5</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 (NSS preferred)</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ML-KEM-512</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800</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768</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1</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ML-KEM-768</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1,184</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1,088</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3</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w:t>
            </w:r>
          </w:p>
        </w:tc>
      </w:tr>
      <w:tr>
        <w:tc>
          <w:tcPr>
            <w:tcW w:type="dxa" w:w="20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ML-KEM-1024</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1,568</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1,568</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Category 5</w:t>
            </w:r>
          </w:p>
        </w:tc>
        <w:tc>
          <w:tcPr>
            <w:tcW w:type="dxa" w:w="18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sz w:val="20"/>
                <w:szCs w:val="20"/>
              </w:rPr>
              <w:t xml:space="preserve">Approved (NSS preferred)</w:t>
            </w:r>
          </w:p>
        </w:tc>
      </w:tr>
    </w:tbl>
    <w:p>
      <w:pPr>
        <w:spacing w:after="120" w:before="180" w:line="280"/>
        <w:jc w:val="both"/>
      </w:pPr>
      <w:r>
        <w:t xml:space="preserve">The cryptographic substrate is treated as an abstract service by the consensus protocol layer.</w:t>
      </w:r>
    </w:p>
    <w:p>
      <w:pPr>
        <w:pStyle w:val="Heading1"/>
        <w:spacing w:after="180" w:before="360"/>
      </w:pPr>
      <w:r>
        <w:rPr>
          <w:b/>
          <w:bCs/>
          <w:sz w:val="28"/>
          <w:szCs w:val="28"/>
        </w:rPr>
        <w:t xml:space="preserve">4. Threat Model</w:t>
      </w:r>
    </w:p>
    <w:p>
      <w:pPr>
        <w:pStyle w:val="Heading2"/>
        <w:spacing w:after="140" w:before="240"/>
      </w:pPr>
      <w:r>
        <w:rPr>
          <w:b/>
          <w:bCs/>
          <w:sz w:val="24"/>
          <w:szCs w:val="24"/>
        </w:rPr>
        <w:t xml:space="preserve">4.1 Adversary Capabilities</w:t>
      </w:r>
    </w:p>
    <w:p>
      <w:pPr>
        <w:pStyle w:val="ListParagraph"/>
        <w:numPr>
          <w:ilvl w:val="0"/>
          <w:numId w:val="2"/>
        </w:numPr>
        <w:spacing w:after="100" w:line="280"/>
        <w:jc w:val="both"/>
      </w:pPr>
      <w:r>
        <w:rPr>
          <w:b/>
          <w:bCs/>
        </w:rPr>
        <w:t xml:space="preserve">CRQC access. </w:t>
      </w:r>
      <w:r>
        <w:t xml:space="preserve">Adversary breaks RSA, ECDSA, ECDH via Shor's algorithm. Symmetric crypto remains secure under CNSA 2.0-compliant key sizes. Lattice primitives secure under MLWE/MSIS assumptions.</w:t>
      </w:r>
    </w:p>
    <w:p>
      <w:pPr>
        <w:pStyle w:val="ListParagraph"/>
        <w:numPr>
          <w:ilvl w:val="0"/>
          <w:numId w:val="2"/>
        </w:numPr>
        <w:spacing w:after="100" w:line="280"/>
        <w:jc w:val="both"/>
      </w:pPr>
      <w:r>
        <w:rPr>
          <w:b/>
          <w:bCs/>
        </w:rPr>
        <w:t xml:space="preserve">Byzantine validator control. </w:t>
      </w:r>
      <w:r>
        <w:t xml:space="preserve">Up to f validators out of N=3f+1 may behave arbitrarily including equivocation, message withholding, malformed messages, and collusion.</w:t>
      </w:r>
    </w:p>
    <w:p>
      <w:pPr>
        <w:pStyle w:val="ListParagraph"/>
        <w:numPr>
          <w:ilvl w:val="0"/>
          <w:numId w:val="2"/>
        </w:numPr>
        <w:spacing w:after="100" w:line="280"/>
        <w:jc w:val="both"/>
      </w:pPr>
      <w:r>
        <w:rPr>
          <w:b/>
          <w:bCs/>
        </w:rPr>
        <w:t xml:space="preserve">Network manipulation. </w:t>
      </w:r>
      <w:r>
        <w:t xml:space="preserve">Delay or reorder messages but cannot indefinitely prevent delivery after GST. Cannot forge or tamper on authenticated channels.</w:t>
      </w:r>
    </w:p>
    <w:p>
      <w:pPr>
        <w:pStyle w:val="ListParagraph"/>
        <w:numPr>
          <w:ilvl w:val="0"/>
          <w:numId w:val="2"/>
        </w:numPr>
        <w:spacing w:after="100" w:line="280"/>
        <w:jc w:val="both"/>
      </w:pPr>
      <w:r>
        <w:rPr>
          <w:b/>
          <w:bCs/>
        </w:rPr>
        <w:t xml:space="preserve">Adaptive corruption. </w:t>
      </w:r>
      <w:r>
        <w:t xml:space="preserve">Dynamic corruption based on protocol observations, including targeting the current leader.</w:t>
      </w:r>
    </w:p>
    <w:p>
      <w:pPr>
        <w:pStyle w:val="ListParagraph"/>
        <w:numPr>
          <w:ilvl w:val="0"/>
          <w:numId w:val="2"/>
        </w:numPr>
        <w:spacing w:after="100" w:line="280"/>
        <w:jc w:val="both"/>
      </w:pPr>
      <w:r>
        <w:rPr>
          <w:b/>
          <w:bCs/>
        </w:rPr>
        <w:t xml:space="preserve">Harvest-now-decrypt-later. </w:t>
      </w:r>
      <w:r>
        <w:t xml:space="preserve">Records encrypted historical traffic for future CRQC-enabled decryption.</w:t>
      </w:r>
    </w:p>
    <w:p>
      <w:pPr>
        <w:pStyle w:val="Heading2"/>
        <w:spacing w:after="140" w:before="240"/>
      </w:pPr>
      <w:r>
        <w:rPr>
          <w:b/>
          <w:bCs/>
          <w:sz w:val="24"/>
          <w:szCs w:val="24"/>
        </w:rPr>
        <w:t xml:space="preserve">4.2 Specific Attack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Attack Scenario</w:t>
            </w:r>
          </w:p>
        </w:tc>
        <w:tc>
          <w:tcPr>
            <w:tcW w:type="dxa" w:w="348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Adversary Capability</w:t>
            </w:r>
          </w:p>
        </w:tc>
        <w:tc>
          <w:tcPr>
            <w:tcW w:type="dxa" w:w="348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QH-BFT Mitigation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Signature flooding</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High-bandwidth message generation; valid signatures over irrelevant content</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Tier-based verification rate limiting; pre-verification filter rejection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Verification DoS</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Crafted malformed signatures designed to maximize verification cost</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Cheap pre-verification syntactic filters before full ML-DSA verification</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Delayed quorum poisoning</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Control of f validators that withhold participation at quorum-formation time</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Empty-block voting fallback prevents indefinite stalling</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Adaptive Byzantine leader</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Dynamic corruption capability targeting current leader</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Trust-weighted quorum rotation reduces leader-position predictability</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Harvest-now replay forgery</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Recording of historical encrypted state; later CRQC access</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ML-DSA quantum-resistant signatures preserve forward authenticity</w:t>
            </w:r>
          </w:p>
        </w:tc>
      </w:tr>
      <w:tr>
        <w:tc>
          <w:tcPr>
            <w:tcW w:type="dxa" w:w="24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Side-channel leakage</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Power-analysis or timing-channel access during signing</w:t>
            </w:r>
          </w:p>
        </w:tc>
        <w:tc>
          <w:tcPr>
            <w:tcW w:type="dxa" w:w="348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Constant-time ML-DSA implementations; hardware-isolated signing</w:t>
            </w:r>
          </w:p>
        </w:tc>
      </w:tr>
    </w:tbl>
    <w:p>
      <w:pPr>
        <w:spacing w:after="120" w:before="180" w:line="280"/>
        <w:jc w:val="both"/>
      </w:pPr>
      <w:r>
        <w:t xml:space="preserve">Implementation-level concerns including constant-time signing and hardware isolation are addressed in deployment guidance documentation.</w:t>
      </w:r>
    </w:p>
    <w:p>
      <w:pPr>
        <w:pStyle w:val="Heading1"/>
        <w:spacing w:after="180" w:before="360"/>
      </w:pPr>
      <w:r>
        <w:rPr>
          <w:b/>
          <w:bCs/>
          <w:sz w:val="28"/>
          <w:szCs w:val="28"/>
        </w:rPr>
        <w:t xml:space="preserve">5. QH-BFT Protocol Specification</w:t>
      </w:r>
    </w:p>
    <w:p>
      <w:pPr>
        <w:pStyle w:val="Heading2"/>
        <w:spacing w:after="140" w:before="240"/>
      </w:pPr>
      <w:r>
        <w:rPr>
          <w:b/>
          <w:bCs/>
          <w:sz w:val="24"/>
          <w:szCs w:val="24"/>
        </w:rPr>
        <w:t xml:space="preserve">5.1 Protocol Overview</w:t>
      </w:r>
    </w:p>
    <w:p>
      <w:pPr>
        <w:spacing w:after="120" w:line="280"/>
        <w:jc w:val="both"/>
      </w:pPr>
      <w:r>
        <w:t xml:space="preserve">QH-BFT operates in rounds. Each round has a designated primary validator (selected via trust-weighted rotation), a quorum certificate threshold of 2f+1 of N validators, and a fast-path optimization triggered when all N validators respond within timeout τ_fast. The protocol distinguishes three phases per round: PRE-PREPARE (primary proposes a value), PREPARE (validators echo the proposal with signed votes), and COMMIT (validators commit upon collecting 2f+1 PREPARE certificates). View-change is replaced by an empty-block voting fallback that bounds worst-case message complexity at O(N²).</w:t>
      </w:r>
    </w:p>
    <w:p>
      <w:pPr>
        <w:pStyle w:val="Heading2"/>
        <w:spacing w:after="140" w:before="240"/>
      </w:pPr>
      <w:r>
        <w:rPr>
          <w:b/>
          <w:bCs/>
          <w:sz w:val="24"/>
          <w:szCs w:val="24"/>
        </w:rPr>
        <w:t xml:space="preserve">5.2 Pseudocode: Normal-Case Operation</w:t>
      </w:r>
    </w:p>
    <w:p>
      <w:pPr>
        <w:spacing w:after="0" w:line="240"/>
        <w:jc w:val="left"/>
      </w:pPr>
      <w:r>
        <w:rPr>
          <w:rFonts w:ascii="Courier New" w:cs="Courier New" w:eastAsia="Courier New" w:hAnsi="Courier New"/>
          <w:sz w:val="18"/>
          <w:szCs w:val="18"/>
        </w:rPr>
        <w:t xml:space="preserve">// QH-BFT normal-case round at validator i, view v</w:t>
      </w:r>
    </w:p>
    <w:p>
      <w:pPr>
        <w:spacing w:after="0" w:line="240"/>
        <w:jc w:val="left"/>
      </w:pPr>
      <w:r>
        <w:rPr>
          <w:rFonts w:ascii="Courier New" w:cs="Courier New" w:eastAsia="Courier New" w:hAnsi="Courier New"/>
          <w:sz w:val="18"/>
          <w:szCs w:val="18"/>
        </w:rPr>
        <w:t xml:space="preserve">Algorithm: QH_BFT_Round(view v, value m)</w:t>
      </w:r>
    </w:p>
    <w:p>
      <w:pPr>
        <w:spacing w:after="0" w:line="240"/>
        <w:jc w:val="left"/>
      </w:pPr>
      <w:r>
        <w:rPr>
          <w:rFonts w:ascii="Courier New" w:cs="Courier New" w:eastAsia="Courier New" w:hAnsi="Courier New"/>
          <w:sz w:val="18"/>
          <w:szCs w:val="18"/>
        </w:rPr>
        <w:t xml:space="preserve">  // Phase 1: PRE-PREPARE (primary only)</w:t>
      </w:r>
    </w:p>
    <w:p>
      <w:pPr>
        <w:spacing w:after="0" w:line="240"/>
        <w:jc w:val="left"/>
      </w:pPr>
      <w:r>
        <w:rPr>
          <w:rFonts w:ascii="Courier New" w:cs="Courier New" w:eastAsia="Courier New" w:hAnsi="Courier New"/>
          <w:sz w:val="18"/>
          <w:szCs w:val="18"/>
        </w:rPr>
        <w:t xml:space="preserve">  if isPrimary(i, v):</w:t>
      </w:r>
    </w:p>
    <w:p>
      <w:pPr>
        <w:spacing w:after="0" w:line="240"/>
        <w:jc w:val="left"/>
      </w:pPr>
      <w:r>
        <w:rPr>
          <w:rFonts w:ascii="Courier New" w:cs="Courier New" w:eastAsia="Courier New" w:hAnsi="Courier New"/>
          <w:sz w:val="18"/>
          <w:szCs w:val="18"/>
        </w:rPr>
        <w:t xml:space="preserve">    sigma = ML_DSA_Sign(sk_i, ⟨PRE-PREPARE, v, m⟩)</w:t>
      </w:r>
    </w:p>
    <w:p>
      <w:pPr>
        <w:spacing w:after="0" w:line="240"/>
        <w:jc w:val="left"/>
      </w:pPr>
      <w:r>
        <w:rPr>
          <w:rFonts w:ascii="Courier New" w:cs="Courier New" w:eastAsia="Courier New" w:hAnsi="Courier New"/>
          <w:sz w:val="18"/>
          <w:szCs w:val="18"/>
        </w:rPr>
        <w:t xml:space="preserve">    broadcast ⟨PRE-PREPARE, v, m, sigma⟩ to all validators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Phase 2: PREPARE (all validators)</w:t>
      </w:r>
    </w:p>
    <w:p>
      <w:pPr>
        <w:spacing w:after="0" w:line="240"/>
        <w:jc w:val="left"/>
      </w:pPr>
      <w:r>
        <w:rPr>
          <w:rFonts w:ascii="Courier New" w:cs="Courier New" w:eastAsia="Courier New" w:hAnsi="Courier New"/>
          <w:sz w:val="18"/>
          <w:szCs w:val="18"/>
        </w:rPr>
        <w:t xml:space="preserve">  on receive ⟨PRE-PREPARE, v, m, sigma⟩ from primary:</w:t>
      </w:r>
    </w:p>
    <w:p>
      <w:pPr>
        <w:spacing w:after="0" w:line="240"/>
        <w:jc w:val="left"/>
      </w:pPr>
      <w:r>
        <w:rPr>
          <w:rFonts w:ascii="Courier New" w:cs="Courier New" w:eastAsia="Courier New" w:hAnsi="Courier New"/>
          <w:sz w:val="18"/>
          <w:szCs w:val="18"/>
        </w:rPr>
        <w:t xml:space="preserve">    if ML_DSA_Verify(pk_primary, ⟨PRE-PREPARE,v,m⟩, sigma):</w:t>
      </w:r>
    </w:p>
    <w:p>
      <w:pPr>
        <w:spacing w:after="0" w:line="240"/>
        <w:jc w:val="left"/>
      </w:pPr>
      <w:r>
        <w:rPr>
          <w:rFonts w:ascii="Courier New" w:cs="Courier New" w:eastAsia="Courier New" w:hAnsi="Courier New"/>
          <w:sz w:val="18"/>
          <w:szCs w:val="18"/>
        </w:rPr>
        <w:t xml:space="preserve">      sigma_i = ML_DSA_Sign(sk_i, ⟨PREPARE, v, hash(m), i⟩)</w:t>
      </w:r>
    </w:p>
    <w:p>
      <w:pPr>
        <w:spacing w:after="0" w:line="240"/>
        <w:jc w:val="left"/>
      </w:pPr>
      <w:r>
        <w:rPr>
          <w:rFonts w:ascii="Courier New" w:cs="Courier New" w:eastAsia="Courier New" w:hAnsi="Courier New"/>
          <w:sz w:val="18"/>
          <w:szCs w:val="18"/>
        </w:rPr>
        <w:t xml:space="preserve">      broadcast ⟨PREPARE, v, hash(m), i, sigma_i⟩</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Phase 3: COMMIT</w:t>
      </w:r>
    </w:p>
    <w:p>
      <w:pPr>
        <w:spacing w:after="0" w:line="240"/>
        <w:jc w:val="left"/>
      </w:pPr>
      <w:r>
        <w:rPr>
          <w:rFonts w:ascii="Courier New" w:cs="Courier New" w:eastAsia="Courier New" w:hAnsi="Courier New"/>
          <w:sz w:val="18"/>
          <w:szCs w:val="18"/>
        </w:rPr>
        <w:t xml:space="preserve">  on collect 2f+1 valid PREPARE messages for ⟨v, hash(m)⟩:</w:t>
      </w:r>
    </w:p>
    <w:p>
      <w:pPr>
        <w:spacing w:after="0" w:line="240"/>
        <w:jc w:val="left"/>
      </w:pPr>
      <w:r>
        <w:rPr>
          <w:rFonts w:ascii="Courier New" w:cs="Courier New" w:eastAsia="Courier New" w:hAnsi="Courier New"/>
          <w:sz w:val="18"/>
          <w:szCs w:val="18"/>
        </w:rPr>
        <w:t xml:space="preserve">    QC_prepare = aggregate(PREPARE_signatures)</w:t>
      </w:r>
    </w:p>
    <w:p>
      <w:pPr>
        <w:spacing w:after="0" w:line="240"/>
        <w:jc w:val="left"/>
      </w:pPr>
      <w:r>
        <w:rPr>
          <w:rFonts w:ascii="Courier New" w:cs="Courier New" w:eastAsia="Courier New" w:hAnsi="Courier New"/>
          <w:sz w:val="18"/>
          <w:szCs w:val="18"/>
        </w:rPr>
        <w:t xml:space="preserve">    sigma_c = ML_DSA_Sign(sk_i, ⟨COMMIT, v, hash(m), i⟩)</w:t>
      </w:r>
    </w:p>
    <w:p>
      <w:pPr>
        <w:spacing w:after="0" w:line="240"/>
        <w:jc w:val="left"/>
      </w:pPr>
      <w:r>
        <w:rPr>
          <w:rFonts w:ascii="Courier New" w:cs="Courier New" w:eastAsia="Courier New" w:hAnsi="Courier New"/>
          <w:sz w:val="18"/>
          <w:szCs w:val="18"/>
        </w:rPr>
        <w:t xml:space="preserve">    broadcast ⟨COMMIT, v, hash(m), i, sigma_c, QC_prepare⟩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on collect 2f+1 valid COMMIT messages for ⟨v, hash(m)⟩:</w:t>
      </w:r>
    </w:p>
    <w:p>
      <w:pPr>
        <w:spacing w:after="0" w:line="240"/>
        <w:jc w:val="left"/>
      </w:pPr>
      <w:r>
        <w:rPr>
          <w:rFonts w:ascii="Courier New" w:cs="Courier New" w:eastAsia="Courier New" w:hAnsi="Courier New"/>
          <w:sz w:val="18"/>
          <w:szCs w:val="18"/>
        </w:rPr>
        <w:t xml:space="preserve">    decide(m); update_reliability_scores()</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Fast path: all N validators committed within τ_fast</w:t>
      </w:r>
    </w:p>
    <w:p>
      <w:pPr>
        <w:spacing w:after="0" w:line="240"/>
        <w:jc w:val="left"/>
      </w:pPr>
      <w:r>
        <w:rPr>
          <w:rFonts w:ascii="Courier New" w:cs="Courier New" w:eastAsia="Courier New" w:hAnsi="Courier New"/>
          <w:sz w:val="18"/>
          <w:szCs w:val="18"/>
        </w:rPr>
        <w:t xml:space="preserve">  if collect N valid COMMIT messages within τ_fast:</w:t>
      </w:r>
    </w:p>
    <w:p>
      <w:pPr>
        <w:spacing w:after="0" w:line="240"/>
        <w:jc w:val="left"/>
      </w:pPr>
      <w:r>
        <w:rPr>
          <w:rFonts w:ascii="Courier New" w:cs="Courier New" w:eastAsia="Courier New" w:hAnsi="Courier New"/>
          <w:sz w:val="18"/>
          <w:szCs w:val="18"/>
        </w:rPr>
        <w:t xml:space="preserve">    skip_next_view_certificate := true  // bandwidth optimization</w:t>
      </w:r>
    </w:p>
    <w:p>
      <w:pPr>
        <w:pStyle w:val="Heading2"/>
        <w:spacing w:after="140" w:before="240"/>
      </w:pPr>
      <w:r>
        <w:rPr>
          <w:b/>
          <w:bCs/>
          <w:sz w:val="24"/>
          <w:szCs w:val="24"/>
        </w:rPr>
        <w:t xml:space="preserve">5.3 Pseudocode: View-Change via Empty-Block Voting</w:t>
      </w:r>
    </w:p>
    <w:p>
      <w:pPr>
        <w:spacing w:after="0" w:line="240"/>
        <w:jc w:val="left"/>
      </w:pPr>
      <w:r>
        <w:rPr>
          <w:rFonts w:ascii="Courier New" w:cs="Courier New" w:eastAsia="Courier New" w:hAnsi="Courier New"/>
          <w:sz w:val="18"/>
          <w:szCs w:val="18"/>
        </w:rPr>
        <w:t xml:space="preserve">// Triggered when validator i times out waiting for primary</w:t>
      </w:r>
    </w:p>
    <w:p>
      <w:pPr>
        <w:spacing w:after="0" w:line="240"/>
        <w:jc w:val="left"/>
      </w:pPr>
      <w:r>
        <w:rPr>
          <w:rFonts w:ascii="Courier New" w:cs="Courier New" w:eastAsia="Courier New" w:hAnsi="Courier New"/>
          <w:sz w:val="18"/>
          <w:szCs w:val="18"/>
        </w:rPr>
        <w:t xml:space="preserve">Algorithm: Empty_Block_Fallback(view v)</w:t>
      </w:r>
    </w:p>
    <w:p>
      <w:pPr>
        <w:spacing w:after="0" w:line="240"/>
        <w:jc w:val="left"/>
      </w:pPr>
      <w:r>
        <w:rPr>
          <w:rFonts w:ascii="Courier New" w:cs="Courier New" w:eastAsia="Courier New" w:hAnsi="Courier New"/>
          <w:sz w:val="18"/>
          <w:szCs w:val="18"/>
        </w:rPr>
        <w:t xml:space="preserve">  on timeout τ_view in view v with no valid PRE-PREPARE:</w:t>
      </w:r>
    </w:p>
    <w:p>
      <w:pPr>
        <w:spacing w:after="0" w:line="240"/>
        <w:jc w:val="left"/>
      </w:pPr>
      <w:r>
        <w:rPr>
          <w:rFonts w:ascii="Courier New" w:cs="Courier New" w:eastAsia="Courier New" w:hAnsi="Courier New"/>
          <w:sz w:val="18"/>
          <w:szCs w:val="18"/>
        </w:rPr>
        <w:t xml:space="preserve">    m_empty = ⟨EMPTY, v, hash(state_v-1)⟩</w:t>
      </w:r>
    </w:p>
    <w:p>
      <w:pPr>
        <w:spacing w:after="0" w:line="240"/>
        <w:jc w:val="left"/>
      </w:pPr>
      <w:r>
        <w:rPr>
          <w:rFonts w:ascii="Courier New" w:cs="Courier New" w:eastAsia="Courier New" w:hAnsi="Courier New"/>
          <w:sz w:val="18"/>
          <w:szCs w:val="18"/>
        </w:rPr>
        <w:t xml:space="preserve">    sigma_e = ML_DSA_Sign(sk_i, ⟨PREPARE, v, hash(m_empty), i⟩)</w:t>
      </w:r>
    </w:p>
    <w:p>
      <w:pPr>
        <w:spacing w:after="0" w:line="240"/>
        <w:jc w:val="left"/>
      </w:pPr>
      <w:r>
        <w:rPr>
          <w:rFonts w:ascii="Courier New" w:cs="Courier New" w:eastAsia="Courier New" w:hAnsi="Courier New"/>
          <w:sz w:val="18"/>
          <w:szCs w:val="18"/>
        </w:rPr>
        <w:t xml:space="preserve">    broadcast ⟨PREPARE, v, hash(m_empty), i, sigma_e⟩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on collect 2f+1 PREPARE for empty-block in view v:</w:t>
      </w:r>
    </w:p>
    <w:p>
      <w:pPr>
        <w:spacing w:after="0" w:line="240"/>
        <w:jc w:val="left"/>
      </w:pPr>
      <w:r>
        <w:rPr>
          <w:rFonts w:ascii="Courier New" w:cs="Courier New" w:eastAsia="Courier New" w:hAnsi="Courier New"/>
          <w:sz w:val="18"/>
          <w:szCs w:val="18"/>
        </w:rPr>
        <w:t xml:space="preserve">    advance to view v+1 with primary = next_in_rotation(v)</w:t>
      </w:r>
    </w:p>
    <w:p>
      <w:pPr>
        <w:spacing w:after="0" w:line="240"/>
        <w:jc w:val="left"/>
      </w:pPr>
      <w:r>
        <w:rPr>
          <w:rFonts w:ascii="Courier New" w:cs="Courier New" w:eastAsia="Courier New" w:hAnsi="Courier New"/>
          <w:sz w:val="18"/>
          <w:szCs w:val="18"/>
        </w:rPr>
        <w:t xml:space="preserve">    // No O(N^3) view-change message exchange required</w:t>
      </w:r>
    </w:p>
    <w:p>
      <w:pPr>
        <w:pStyle w:val="Heading2"/>
        <w:spacing w:after="140" w:before="240"/>
      </w:pPr>
      <w:r>
        <w:rPr>
          <w:b/>
          <w:bCs/>
          <w:sz w:val="24"/>
          <w:szCs w:val="24"/>
        </w:rPr>
        <w:t xml:space="preserve">5.4 Pseudocode: Trust-Weighted Quorum Rotation</w:t>
      </w:r>
    </w:p>
    <w:p>
      <w:pPr>
        <w:spacing w:after="0" w:line="240"/>
        <w:jc w:val="left"/>
      </w:pPr>
      <w:r>
        <w:rPr>
          <w:rFonts w:ascii="Courier New" w:cs="Courier New" w:eastAsia="Courier New" w:hAnsi="Courier New"/>
          <w:sz w:val="18"/>
          <w:szCs w:val="18"/>
        </w:rPr>
        <w:t xml:space="preserve">Algorithm: Compute_Quorum(view v, validator_set V, scores R)</w:t>
      </w:r>
    </w:p>
    <w:p>
      <w:pPr>
        <w:spacing w:after="0" w:line="240"/>
        <w:jc w:val="left"/>
      </w:pPr>
      <w:r>
        <w:rPr>
          <w:rFonts w:ascii="Courier New" w:cs="Courier New" w:eastAsia="Courier New" w:hAnsi="Courier New"/>
          <w:sz w:val="18"/>
          <w:szCs w:val="18"/>
        </w:rPr>
        <w:t xml:space="preserve">  // Partition validators into k tiers by reliability score</w:t>
      </w:r>
    </w:p>
    <w:p>
      <w:pPr>
        <w:spacing w:after="0" w:line="240"/>
        <w:jc w:val="left"/>
      </w:pPr>
      <w:r>
        <w:rPr>
          <w:rFonts w:ascii="Courier New" w:cs="Courier New" w:eastAsia="Courier New" w:hAnsi="Courier New"/>
          <w:sz w:val="18"/>
          <w:szCs w:val="18"/>
        </w:rPr>
        <w:t xml:space="preserve">  for each validator i in V:</w:t>
      </w:r>
    </w:p>
    <w:p>
      <w:pPr>
        <w:spacing w:after="0" w:line="240"/>
        <w:jc w:val="left"/>
      </w:pPr>
      <w:r>
        <w:rPr>
          <w:rFonts w:ascii="Courier New" w:cs="Courier New" w:eastAsia="Courier New" w:hAnsi="Courier New"/>
          <w:sz w:val="18"/>
          <w:szCs w:val="18"/>
        </w:rPr>
        <w:t xml:space="preserve">    tier(i) = floor(R(i, t) * k)</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Quorum composition: weighted sample across tiers</w:t>
      </w:r>
    </w:p>
    <w:p>
      <w:pPr>
        <w:spacing w:after="0" w:line="240"/>
        <w:jc w:val="left"/>
      </w:pPr>
      <w:r>
        <w:rPr>
          <w:rFonts w:ascii="Courier New" w:cs="Courier New" w:eastAsia="Courier New" w:hAnsi="Courier New"/>
          <w:sz w:val="18"/>
          <w:szCs w:val="18"/>
        </w:rPr>
        <w:t xml:space="preserve">  quorum = empty set</w:t>
      </w:r>
    </w:p>
    <w:p>
      <w:pPr>
        <w:spacing w:after="0" w:line="240"/>
        <w:jc w:val="left"/>
      </w:pPr>
      <w:r>
        <w:rPr>
          <w:rFonts w:ascii="Courier New" w:cs="Courier New" w:eastAsia="Courier New" w:hAnsi="Courier New"/>
          <w:sz w:val="18"/>
          <w:szCs w:val="18"/>
        </w:rPr>
        <w:t xml:space="preserve">  for tier_level from k-1 down to 0:</w:t>
      </w:r>
    </w:p>
    <w:p>
      <w:pPr>
        <w:spacing w:after="0" w:line="240"/>
        <w:jc w:val="left"/>
      </w:pPr>
      <w:r>
        <w:rPr>
          <w:rFonts w:ascii="Courier New" w:cs="Courier New" w:eastAsia="Courier New" w:hAnsi="Courier New"/>
          <w:sz w:val="18"/>
          <w:szCs w:val="18"/>
        </w:rPr>
        <w:t xml:space="preserve">    sample_size = ceiling((2f+1) * weight(tier_level))</w:t>
      </w:r>
    </w:p>
    <w:p>
      <w:pPr>
        <w:spacing w:after="0" w:line="240"/>
        <w:jc w:val="left"/>
      </w:pPr>
      <w:r>
        <w:rPr>
          <w:rFonts w:ascii="Courier New" w:cs="Courier New" w:eastAsia="Courier New" w:hAnsi="Courier New"/>
          <w:sz w:val="18"/>
          <w:szCs w:val="18"/>
        </w:rPr>
        <w:t xml:space="preserve">    quorum.add(random_sample(tier_at(tier_level), sample_size))</w:t>
      </w:r>
    </w:p>
    <w:p>
      <w:pPr>
        <w:spacing w:after="0" w:line="240"/>
        <w:jc w:val="left"/>
      </w:pPr>
      <w:r>
        <w:rPr>
          <w:rFonts w:ascii="Courier New" w:cs="Courier New" w:eastAsia="Courier New" w:hAnsi="Courier New"/>
          <w:sz w:val="18"/>
          <w:szCs w:val="18"/>
        </w:rPr>
        <w:t xml:space="preserve">    if |quorum| &gt;= 2f+1: break</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Primary selection: rotation within top tier</w:t>
      </w:r>
    </w:p>
    <w:p>
      <w:pPr>
        <w:spacing w:after="0" w:line="240"/>
        <w:jc w:val="left"/>
      </w:pPr>
      <w:r>
        <w:rPr>
          <w:rFonts w:ascii="Courier New" w:cs="Courier New" w:eastAsia="Courier New" w:hAnsi="Courier New"/>
          <w:sz w:val="18"/>
          <w:szCs w:val="18"/>
        </w:rPr>
        <w:t xml:space="preserve">  primary(v) = top_tier_rotation[v mod |top_tier|]</w:t>
      </w:r>
    </w:p>
    <w:p>
      <w:pPr>
        <w:spacing w:after="0" w:line="240"/>
        <w:jc w:val="left"/>
      </w:pPr>
      <w:r>
        <w:rPr>
          <w:rFonts w:ascii="Courier New" w:cs="Courier New" w:eastAsia="Courier New" w:hAnsi="Courier New"/>
          <w:sz w:val="18"/>
          <w:szCs w:val="18"/>
        </w:rPr>
        <w:t xml:space="preserve">  return ⟨quorum, primary(v)⟩</w:t>
      </w:r>
    </w:p>
    <w:p>
      <w:pPr>
        <w:pStyle w:val="Heading2"/>
        <w:spacing w:after="140" w:before="240"/>
      </w:pPr>
      <w:r>
        <w:rPr>
          <w:b/>
          <w:bCs/>
          <w:sz w:val="24"/>
          <w:szCs w:val="24"/>
        </w:rPr>
        <w:t xml:space="preserve">5.5 Pseudocode: Adaptive PQ Signature Compression</w:t>
      </w:r>
    </w:p>
    <w:p>
      <w:pPr>
        <w:spacing w:after="0" w:line="240"/>
        <w:jc w:val="left"/>
      </w:pPr>
      <w:r>
        <w:rPr>
          <w:rFonts w:ascii="Courier New" w:cs="Courier New" w:eastAsia="Courier New" w:hAnsi="Courier New"/>
          <w:sz w:val="18"/>
          <w:szCs w:val="18"/>
        </w:rPr>
        <w:t xml:space="preserve">Algorithm: Select_Signature_Parameters(load L, threat_level θ)</w:t>
      </w:r>
    </w:p>
    <w:p>
      <w:pPr>
        <w:spacing w:after="0" w:line="240"/>
        <w:jc w:val="left"/>
      </w:pPr>
      <w:r>
        <w:rPr>
          <w:rFonts w:ascii="Courier New" w:cs="Courier New" w:eastAsia="Courier New" w:hAnsi="Courier New"/>
          <w:sz w:val="18"/>
          <w:szCs w:val="18"/>
        </w:rPr>
        <w:t xml:space="preserve">  // Default: ML-DSA-87 (Category 5, NSS-preferred)</w:t>
      </w:r>
    </w:p>
    <w:p>
      <w:pPr>
        <w:spacing w:after="0" w:line="240"/>
        <w:jc w:val="left"/>
      </w:pPr>
      <w:r>
        <w:rPr>
          <w:rFonts w:ascii="Courier New" w:cs="Courier New" w:eastAsia="Courier New" w:hAnsi="Courier New"/>
          <w:sz w:val="18"/>
          <w:szCs w:val="18"/>
        </w:rPr>
        <w:t xml:space="preserve">  if θ == HIGH or NSS_required:</w:t>
      </w:r>
    </w:p>
    <w:p>
      <w:pPr>
        <w:spacing w:after="0" w:line="240"/>
        <w:jc w:val="left"/>
      </w:pPr>
      <w:r>
        <w:rPr>
          <w:rFonts w:ascii="Courier New" w:cs="Courier New" w:eastAsia="Courier New" w:hAnsi="Courier New"/>
          <w:sz w:val="18"/>
          <w:szCs w:val="18"/>
        </w:rPr>
        <w:t xml:space="preserve">    return ML_DSA_87</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Under high load and non-NSS context, use ML-DSA-65</w:t>
      </w:r>
    </w:p>
    <w:p>
      <w:pPr>
        <w:spacing w:after="0" w:line="240"/>
        <w:jc w:val="left"/>
      </w:pPr>
      <w:r>
        <w:rPr>
          <w:rFonts w:ascii="Courier New" w:cs="Courier New" w:eastAsia="Courier New" w:hAnsi="Courier New"/>
          <w:sz w:val="18"/>
          <w:szCs w:val="18"/>
        </w:rPr>
        <w:t xml:space="preserve">  if L &gt; L_threshold and NSS_required == false:</w:t>
      </w:r>
    </w:p>
    <w:p>
      <w:pPr>
        <w:spacing w:after="0" w:line="240"/>
        <w:jc w:val="left"/>
      </w:pPr>
      <w:r>
        <w:rPr>
          <w:rFonts w:ascii="Courier New" w:cs="Courier New" w:eastAsia="Courier New" w:hAnsi="Courier New"/>
          <w:sz w:val="18"/>
          <w:szCs w:val="18"/>
        </w:rPr>
        <w:t xml:space="preserve">    return ML_DSA_65  // 40% smaller signature</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 Safety condition: never compress during view-change</w:t>
      </w:r>
    </w:p>
    <w:p>
      <w:pPr>
        <w:spacing w:after="0" w:line="240"/>
        <w:jc w:val="left"/>
      </w:pPr>
      <w:r>
        <w:rPr>
          <w:rFonts w:ascii="Courier New" w:cs="Courier New" w:eastAsia="Courier New" w:hAnsi="Courier New"/>
          <w:sz w:val="18"/>
          <w:szCs w:val="18"/>
        </w:rPr>
        <w:t xml:space="preserve">  if in_view_change(): return ML_DSA_87</w:t>
      </w:r>
    </w:p>
    <w:p>
      <w:pPr>
        <w:spacing w:after="0" w:line="240"/>
        <w:jc w:val="left"/>
      </w:pPr>
      <w:r>
        <w:rPr>
          <w:rFonts w:ascii="Courier New" w:cs="Courier New" w:eastAsia="Courier New" w:hAnsi="Courier New"/>
          <w:sz w:val="18"/>
          <w:szCs w:val="18"/>
        </w:rPr>
        <w:t xml:space="preserve"/>
      </w:r>
    </w:p>
    <w:p>
      <w:pPr>
        <w:spacing w:after="0" w:line="240"/>
        <w:jc w:val="left"/>
      </w:pPr>
      <w:r>
        <w:rPr>
          <w:rFonts w:ascii="Courier New" w:cs="Courier New" w:eastAsia="Courier New" w:hAnsi="Courier New"/>
          <w:sz w:val="18"/>
          <w:szCs w:val="18"/>
        </w:rPr>
        <w:t xml:space="preserve">  return ML_DSA_87  // default</w:t>
      </w:r>
    </w:p>
    <w:p>
      <w:pPr>
        <w:pStyle w:val="Heading1"/>
        <w:spacing w:after="180" w:before="360"/>
      </w:pPr>
      <w:r>
        <w:rPr>
          <w:b/>
          <w:bCs/>
          <w:sz w:val="28"/>
          <w:szCs w:val="28"/>
        </w:rPr>
        <w:t xml:space="preserve">6. Formal Correctness</w:t>
      </w:r>
    </w:p>
    <w:p>
      <w:pPr>
        <w:spacing w:after="120" w:line="280"/>
        <w:jc w:val="both"/>
      </w:pPr>
      <w:r>
        <w:t xml:space="preserve">This section presents proof sketches for safety, liveness, and Byzantine tolerance under the threat model of Section 4. Full proofs are identified as planned work in Section 10.</w:t>
      </w:r>
    </w:p>
    <w:p>
      <w:pPr>
        <w:pStyle w:val="Heading2"/>
        <w:spacing w:after="140" w:before="240"/>
      </w:pPr>
      <w:r>
        <w:rPr>
          <w:b/>
          <w:bCs/>
          <w:sz w:val="24"/>
          <w:szCs w:val="24"/>
        </w:rPr>
        <w:t xml:space="preserve">6.1 Safety (Proof Sketch)</w:t>
      </w:r>
    </w:p>
    <w:p>
      <w:pPr>
        <w:spacing w:after="120" w:line="280"/>
        <w:jc w:val="both"/>
      </w:pPr>
      <w:r>
        <w:t xml:space="preserve">Theorem 1 (Safety). No two honest validators decide on different values in the same view.</w:t>
      </w:r>
    </w:p>
    <w:p>
      <w:pPr>
        <w:spacing w:after="120" w:line="280"/>
        <w:jc w:val="both"/>
      </w:pPr>
      <w:r>
        <w:t xml:space="preserve">Proof sketch. Suppose for contradiction that honest validators i and j decide on values m and m' respectively in view v with hash(m) ≠ hash(m'). Validator i decided m only after collecting 2f+1 valid COMMIT messages for ⟨v, hash(m)⟩. Validator j decided m' only after collecting 2f+1 valid COMMIT messages for ⟨v, hash(m')⟩. By the pigeonhole principle on N=3f+1 validators, the intersection of these two 2f+1 sets contains at least f+1 validators, of whom at least one is honest. An honest validator does not sign COMMIT for two distinct values in the same view (enforced by the local validator state machine). Therefore the intersection cannot contain an honest validator that signed both, contradicting the assumption. ML-DSA's EUF-CMA security under MSIS hardness ensures Byzantine validators cannot forge signatures attributed to honest validators. Full proof requires formal treatment of the trust-weighted quorum mechanism and is deferred to planned work.</w:t>
      </w:r>
    </w:p>
    <w:p>
      <w:pPr>
        <w:pStyle w:val="Heading2"/>
        <w:spacing w:after="140" w:before="240"/>
      </w:pPr>
      <w:r>
        <w:rPr>
          <w:b/>
          <w:bCs/>
          <w:sz w:val="24"/>
          <w:szCs w:val="24"/>
        </w:rPr>
        <w:t xml:space="preserve">6.2 Liveness (Proof Sketch)</w:t>
      </w:r>
    </w:p>
    <w:p>
      <w:pPr>
        <w:spacing w:after="120" w:line="280"/>
        <w:jc w:val="both"/>
      </w:pPr>
      <w:r>
        <w:t xml:space="preserve">Theorem 2 (Liveness). After GST, the protocol decides at least one value within a bounded number of views, conditioned on the empty-block fallback.</w:t>
      </w:r>
    </w:p>
    <w:p>
      <w:pPr>
        <w:spacing w:after="120" w:line="280"/>
        <w:jc w:val="both"/>
      </w:pPr>
      <w:r>
        <w:t xml:space="preserve">Proof sketch. After GST, message delays are bounded by Δ. If the primary is honest in view v and the network is synchronous, the normal-case round completes within 3Δ + signing/verification time. If the primary is Byzantine and withholds the proposal, honest validators time out after τ_view ≥ 3Δ and invoke the empty-block fallback, which advances the view without requiring O(N²) view-change messages. Trust-weighted rotation guarantees that within at most k·f+1 view advancements, an honest primary is selected (since at most f Byzantine validators exist and each can occupy the primary role at most once per rotation cycle of k tiers). Therefore liveness is preserved with bounded latency. Full proof requires formal treatment of the rotation cycle invariants and is deferred to planned work.</w:t>
      </w:r>
    </w:p>
    <w:p>
      <w:pPr>
        <w:pStyle w:val="Heading2"/>
        <w:spacing w:after="140" w:before="240"/>
      </w:pPr>
      <w:r>
        <w:rPr>
          <w:b/>
          <w:bCs/>
          <w:sz w:val="24"/>
          <w:szCs w:val="24"/>
        </w:rPr>
        <w:t xml:space="preserve">6.3 Byzantine Tolerance (Proof Sketch)</w:t>
      </w:r>
    </w:p>
    <w:p>
      <w:pPr>
        <w:spacing w:after="120" w:line="280"/>
        <w:jc w:val="both"/>
      </w:pPr>
      <w:r>
        <w:t xml:space="preserve">Theorem 3 (Byzantine Tolerance). The protocol tolerates up to f Byzantine validators where N ≥ 3f + 1, even under adaptive corruption.</w:t>
      </w:r>
    </w:p>
    <w:p>
      <w:pPr>
        <w:spacing w:after="120" w:line="280"/>
        <w:jc w:val="both"/>
      </w:pPr>
      <w:r>
        <w:t xml:space="preserve">Proof sketch. The 3f+1 threshold follows directly from the safety argument and the requirement that any two 2f+1 quorums intersect in at least one honest validator. Adaptive corruption is mitigated by trust-weighted quorum rotation: an adversary attempting to corrupt the current leader must repeatedly corrupt newly selected leaders as rotation proceeds. Under the assumption that corruption requires non-negligible time and that rotation period is shorter than corruption time, the adversary cannot maintain leader compromise across rotations. Full formal treatment of adaptive corruption bounds is deferred to planned work.</w:t>
      </w:r>
    </w:p>
    <w:p>
      <w:pPr>
        <w:pStyle w:val="Heading1"/>
        <w:spacing w:after="180" w:before="360"/>
      </w:pPr>
      <w:r>
        <w:rPr>
          <w:b/>
          <w:bCs/>
          <w:sz w:val="28"/>
          <w:szCs w:val="28"/>
        </w:rPr>
        <w:t xml:space="preserve">7. Complexity Analysis</w:t>
      </w:r>
    </w:p>
    <w:p>
      <w:pPr>
        <w:pStyle w:val="Heading2"/>
        <w:spacing w:after="140" w:before="240"/>
      </w:pPr>
      <w:r>
        <w:rPr>
          <w:b/>
          <w:bCs/>
          <w:sz w:val="24"/>
          <w:szCs w:val="24"/>
        </w:rPr>
        <w:t xml:space="preserve">7.1 Per-Round Consensus Cost</w:t>
      </w:r>
    </w:p>
    <w:p>
      <w:pPr>
        <w:spacing w:after="120" w:line="280"/>
        <w:jc w:val="both"/>
      </w:pPr>
      <w:r>
        <w:t xml:space="preserve">Let N denote the number of validators with f Byzantine faults tolerated where N ≥ 3f+1. Let S denote the per-signature byte size and V the per-signature verification time. Let D denote the network round-trip delay. The aggregate per-round consensus cost C(N) for an O(N²) BFT protocol is modeled as:</w:t>
      </w:r>
    </w:p>
    <w:p>
      <w:pPr>
        <w:spacing w:after="120" w:before="120" w:line="280"/>
        <w:jc w:val="center"/>
      </w:pPr>
      <w:r>
        <w:rPr>
          <w:i/>
          <w:iCs/>
          <w:sz w:val="24"/>
          <w:szCs w:val="24"/>
        </w:rPr>
        <w:t xml:space="preserve">C(N) = N² · (α · S + β · V) + γ · D</w:t>
      </w:r>
    </w:p>
    <w:p>
      <w:pPr>
        <w:spacing w:after="120" w:line="280"/>
        <w:jc w:val="both"/>
      </w:pPr>
      <w:r>
        <w:t xml:space="preserve">Where α is the bandwidth weighting coefficient, β the computational weighting coefficient, and γ the latency weighting coefficient. The parameters α, β, γ are environment-dependent and must be calibrated for specific deployment scenarios.</w:t>
      </w:r>
    </w:p>
    <w:p>
      <w:pPr>
        <w:pStyle w:val="Heading2"/>
        <w:spacing w:after="140" w:before="240"/>
      </w:pPr>
      <w:r>
        <w:rPr>
          <w:b/>
          <w:bCs/>
          <w:sz w:val="24"/>
          <w:szCs w:val="24"/>
        </w:rPr>
        <w:t xml:space="preserve">7.2 ECDSA versus ML-DSA Cost Comparison</w:t>
      </w:r>
    </w:p>
    <w:p>
      <w:pPr>
        <w:spacing w:after="120" w:line="280"/>
        <w:jc w:val="both"/>
      </w:pPr>
      <w:r>
        <w:t xml:space="preserve">For N=64 validator deployment under uniform workload, the per-round bandwidth cost ratio between ML-DSA-87 and ECDSA-P384 is approximately 48:1 (signature size ratio: 4,627/96), and the per-round verification cost ratio is approximately 100:1 to 1000:1 (verification time ratio, varying with hardware). These ratios drive C(N) for naive PQC substitution to one to two orders of magnitude greater than the classical baseline before any consensus-protocol optimizations.</w:t>
      </w:r>
    </w:p>
    <w:p>
      <w:pPr>
        <w:pStyle w:val="Heading2"/>
        <w:spacing w:after="140" w:before="240"/>
      </w:pPr>
      <w:r>
        <w:rPr>
          <w:b/>
          <w:bCs/>
          <w:sz w:val="24"/>
          <w:szCs w:val="24"/>
        </w:rPr>
        <w:t xml:space="preserve">7.3 Throughput Bound</w:t>
      </w:r>
    </w:p>
    <w:p>
      <w:pPr>
        <w:spacing w:after="120" w:line="280"/>
        <w:jc w:val="both"/>
      </w:pPr>
      <w:r>
        <w:t xml:space="preserve">Under fixed bandwidth budget B (bytes per second per node), ignoring computational and latency contributions for first-order estimate, the throughput bound T(N) for an O(N²) protocol is:</w:t>
      </w:r>
    </w:p>
    <w:p>
      <w:pPr>
        <w:spacing w:after="120" w:before="120" w:line="280"/>
        <w:jc w:val="center"/>
      </w:pPr>
      <w:r>
        <w:rPr>
          <w:i/>
          <w:iCs/>
          <w:sz w:val="24"/>
          <w:szCs w:val="24"/>
        </w:rPr>
        <w:t xml:space="preserve">T(N) ≤ B / (N² · S)</w:t>
      </w:r>
    </w:p>
    <w:p>
      <w:pPr>
        <w:spacing w:after="120" w:line="280"/>
        <w:jc w:val="both"/>
      </w:pPr>
      <w:r>
        <w:t xml:space="preserve">For ML-DSA-87 (S ≈ 4,627 bytes) deployed naively in PBFT-style protocol with N=64 and B=1 Gbps, the first-order throughput bound is approximately 5.4 transactions per second. QH-BFT's adaptive verification mechanisms target throughput recovery by reducing effective per-round signature exchange volume through tier-based participation and adaptive signature compression.</w:t>
      </w:r>
    </w:p>
    <w:p>
      <w:pPr>
        <w:pStyle w:val="Heading2"/>
        <w:spacing w:after="140" w:before="240"/>
      </w:pPr>
      <w:r>
        <w:rPr>
          <w:b/>
          <w:bCs/>
          <w:sz w:val="24"/>
          <w:szCs w:val="24"/>
        </w:rPr>
        <w:t xml:space="preserve">7.4 Reliability Under Byzantine Faults</w:t>
      </w:r>
    </w:p>
    <w:p>
      <w:pPr>
        <w:spacing w:after="120" w:line="280"/>
        <w:jc w:val="both"/>
      </w:pPr>
      <w:r>
        <w:t xml:space="preserve">The probability that a consensus round succeeds with independent node failure probability p and Byzantine fault tolerance threshold f is:</w:t>
      </w:r>
    </w:p>
    <w:p>
      <w:pPr>
        <w:spacing w:after="120" w:before="120" w:line="280"/>
        <w:jc w:val="center"/>
      </w:pPr>
      <w:r>
        <w:rPr>
          <w:i/>
          <w:iCs/>
          <w:sz w:val="24"/>
          <w:szCs w:val="24"/>
        </w:rPr>
        <w:t xml:space="preserve">P_success(N, f, p) = Σ (k=0 to f) C(N,k) · p^k · (1-p)^(N-k)</w:t>
      </w:r>
    </w:p>
    <w:p>
      <w:pPr>
        <w:spacing w:after="120" w:line="280"/>
        <w:jc w:val="both"/>
      </w:pPr>
      <w:r>
        <w:t xml:space="preserve">Where C(N,k) is the binomial coefficient. QH-BFT's hierarchical tier structure modifies this baseline by introducing tier-correlated failure modes; the modified analysis is part of planned formal correctness work.</w:t>
      </w:r>
    </w:p>
    <w:p>
      <w:pPr>
        <w:pStyle w:val="Heading1"/>
        <w:spacing w:after="180" w:before="360"/>
      </w:pPr>
      <w:r>
        <w:rPr>
          <w:b/>
          <w:bCs/>
          <w:sz w:val="28"/>
          <w:szCs w:val="28"/>
        </w:rPr>
        <w:t xml:space="preserve">8. Experimental Framework</w:t>
      </w:r>
    </w:p>
    <w:p>
      <w:pPr>
        <w:spacing w:after="120" w:line="280"/>
        <w:jc w:val="both"/>
      </w:pPr>
      <w:r>
        <w:t xml:space="preserve">This section describes the planned experimental methodology. Empirical results are not yet available; the framework defines the evaluation environment and metrics that will be used when implementation reaches the evaluation stage.</w:t>
      </w:r>
    </w:p>
    <w:p>
      <w:pPr>
        <w:pStyle w:val="Heading2"/>
        <w:spacing w:after="140" w:before="240"/>
      </w:pPr>
      <w:r>
        <w:rPr>
          <w:b/>
          <w:bCs/>
          <w:sz w:val="24"/>
          <w:szCs w:val="24"/>
        </w:rPr>
        <w:t xml:space="preserve">8.1 Testbed Configuration</w:t>
      </w:r>
    </w:p>
    <w:p>
      <w:pPr>
        <w:spacing w:after="120" w:line="280"/>
        <w:jc w:val="both"/>
      </w:pPr>
      <w:r>
        <w:t xml:space="preserve">Container-based validator nodes deployed on Docker and orchestrated with Kubernetes. Network conditions emulated using NS-3 to control RTT, jitter, and packet loss. Cloud-resident nodes (AWS or GCP) for wide-area deployment characterization. Dedicated hardware nodes for cryptographic-acceleration evaluation. Scale: N=4 (minimum for f=1), N=16, N=64 (representative federal financial network size).</w:t>
      </w:r>
    </w:p>
    <w:p>
      <w:pPr>
        <w:pStyle w:val="Heading2"/>
        <w:spacing w:after="140" w:before="240"/>
      </w:pPr>
      <w:r>
        <w:rPr>
          <w:b/>
          <w:bCs/>
          <w:sz w:val="24"/>
          <w:szCs w:val="24"/>
        </w:rPr>
        <w:t xml:space="preserve">8.2 Baseline Comparisons</w:t>
      </w:r>
    </w:p>
    <w:p>
      <w:pPr>
        <w:spacing w:after="120" w:line="280"/>
        <w:jc w:val="both"/>
      </w:pPr>
      <w:r>
        <w:t xml:space="preserve">Three baseline configurations: (1) classical PBFT with ECDSA, the pre-PQC baseline; (2) PBFT with naive ML-DSA substitution and no protocol modifications, the strawman PQC migration approach; and (3) HotStuff with ML-DSA substitution, a modern BFT baseline with linear view-change.</w:t>
      </w:r>
    </w:p>
    <w:p>
      <w:pPr>
        <w:pStyle w:val="Heading2"/>
        <w:spacing w:after="140" w:before="240"/>
      </w:pPr>
      <w:r>
        <w:rPr>
          <w:b/>
          <w:bCs/>
          <w:sz w:val="24"/>
          <w:szCs w:val="24"/>
        </w:rPr>
        <w:t xml:space="preserve">8.3 Performance Metrics</w:t>
      </w:r>
    </w:p>
    <w:p>
      <w:pPr>
        <w:spacing w:after="120" w:line="280"/>
        <w:jc w:val="both"/>
      </w:pPr>
      <w:r>
        <w:t xml:space="preserve">Consensus throughput (TPS); end-to-end consensus latency (ms); CPU utilization for cryptographic operations; memory overhead; per-message bandwidth overhead; failure recovery time after induced node failures.</w:t>
      </w:r>
    </w:p>
    <w:p>
      <w:pPr>
        <w:pStyle w:val="Heading2"/>
        <w:spacing w:after="140" w:before="240"/>
      </w:pPr>
      <w:r>
        <w:rPr>
          <w:b/>
          <w:bCs/>
          <w:sz w:val="24"/>
          <w:szCs w:val="24"/>
        </w:rPr>
        <w:t xml:space="preserve">8.4 Planned Benchmark Comparison</w:t>
      </w:r>
    </w:p>
    <w:p>
      <w:pPr>
        <w:spacing w:after="120" w:line="280"/>
        <w:jc w:val="both"/>
      </w:pPr>
      <w:r>
        <w:t xml:space="preserve">The following table specifies the planned benchmark comparison structure. Result columns are intentionally empty pending experimental implementation. No synthesized values are reported.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30"/>
        <w:gridCol w:w="1430"/>
        <w:gridCol w:w="1430"/>
        <w:gridCol w:w="1430"/>
        <w:gridCol w:w="1440"/>
      </w:tblGrid>
      <w:tr>
        <w:tc>
          <w:tcPr>
            <w:tcW w:type="dxa" w:w="220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left"/>
            </w:pPr>
            <w:r>
              <w:rPr>
                <w:b/>
                <w:bCs/>
                <w:sz w:val="20"/>
                <w:szCs w:val="20"/>
              </w:rPr>
              <w:t xml:space="preserve">Configuration</w:t>
            </w:r>
          </w:p>
        </w:tc>
        <w:tc>
          <w:tcPr>
            <w:tcW w:type="dxa" w:w="143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TPS</w:t>
            </w:r>
          </w:p>
        </w:tc>
        <w:tc>
          <w:tcPr>
            <w:tcW w:type="dxa" w:w="143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Latency (ms)</w:t>
            </w:r>
          </w:p>
        </w:tc>
        <w:tc>
          <w:tcPr>
            <w:tcW w:type="dxa" w:w="143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CPU (%)</w:t>
            </w:r>
          </w:p>
        </w:tc>
        <w:tc>
          <w:tcPr>
            <w:tcW w:type="dxa" w:w="143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Bandwidth (MB/s)</w:t>
            </w:r>
          </w:p>
        </w:tc>
        <w:tc>
          <w:tcPr>
            <w:tcW w:type="dxa" w:w="1440"/>
            <w:tcBorders>
              <w:top w:val="single" w:color="999999" w:sz="4"/>
              <w:left w:val="single" w:color="999999" w:sz="4"/>
              <w:bottom w:val="single" w:color="999999" w:sz="4"/>
              <w:right w:val="single" w:color="999999" w:sz="4"/>
            </w:tcBorders>
            <w:shd w:fill="E8E8E8" w:val="clear"/>
            <w:tcMar>
              <w:top w:type="dxa" w:w="80"/>
              <w:left w:type="dxa" w:w="100"/>
              <w:bottom w:type="dxa" w:w="80"/>
              <w:right w:type="dxa" w:w="100"/>
            </w:tcMar>
          </w:tcPr>
          <w:p>
            <w:pPr>
              <w:jc w:val="center"/>
            </w:pPr>
            <w:r>
              <w:rPr>
                <w:b/>
                <w:bCs/>
                <w:sz w:val="20"/>
                <w:szCs w:val="20"/>
              </w:rPr>
              <w:t xml:space="preserve">Recovery (ms)</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PBFT-ECDSA (N=4)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PBFT-ECDSA (N=64)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PBFT-PQC naive (N=4)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PBFT-PQC naive (N=64)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val="false"/>
                <w:bCs w:val="false"/>
                <w:sz w:val="20"/>
                <w:szCs w:val="20"/>
              </w:rPr>
              <w:t xml:space="preserve">HotStuff-PQC (N=64)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20"/>
                <w:szCs w:val="20"/>
              </w:rPr>
              <w:t xml:space="preserve">QH-BFT (N=4)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20"/>
                <w:szCs w:val="20"/>
              </w:rPr>
              <w:t xml:space="preserve">QH-BFT (N=16)</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r>
        <w:tc>
          <w:tcPr>
            <w:tcW w:type="dxa" w:w="220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left"/>
            </w:pPr>
            <w:r>
              <w:rPr>
                <w:b/>
                <w:bCs/>
                <w:sz w:val="20"/>
                <w:szCs w:val="20"/>
              </w:rPr>
              <w:t xml:space="preserve">QH-BFT (N=64)</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3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c>
          <w:tcPr>
            <w:tcW w:type="dxa" w:w="1440"/>
            <w:tcBorders>
              <w:top w:val="single" w:color="999999" w:sz="4"/>
              <w:left w:val="single" w:color="999999" w:sz="4"/>
              <w:bottom w:val="single" w:color="999999" w:sz="4"/>
              <w:right w:val="single" w:color="999999" w:sz="4"/>
            </w:tcBorders>
            <w:tcMar>
              <w:top w:type="dxa" w:w="80"/>
              <w:left w:type="dxa" w:w="100"/>
              <w:bottom w:type="dxa" w:w="80"/>
              <w:right w:type="dxa" w:w="100"/>
            </w:tcMar>
          </w:tcPr>
          <w:p>
            <w:pPr>
              <w:jc w:val="center"/>
            </w:pPr>
            <w:r>
              <w:rPr>
                <w:b w:val="false"/>
                <w:bCs w:val="false"/>
                <w:i/>
                <w:iCs/>
                <w:sz w:val="20"/>
                <w:szCs w:val="20"/>
              </w:rPr>
              <w:t xml:space="preserve">[pending]</w:t>
            </w:r>
          </w:p>
        </w:tc>
      </w:tr>
    </w:tbl>
    <w:p>
      <w:pPr>
        <w:pStyle w:val="Heading2"/>
        <w:spacing w:after="140" w:before="240"/>
      </w:pPr>
      <w:r>
        <w:rPr>
          <w:b/>
          <w:bCs/>
          <w:sz w:val="24"/>
          <w:szCs w:val="24"/>
        </w:rPr>
        <w:t xml:space="preserve">8.5 Reproducibility Plan</w:t>
      </w:r>
    </w:p>
    <w:p>
      <w:pPr>
        <w:spacing w:after="120" w:before="180" w:line="280"/>
        <w:jc w:val="both"/>
      </w:pPr>
      <w:r>
        <w:t xml:space="preserve">Planned artifacts include: open-source reference implementation, parameter table, benchmark scripts that reproduce evaluation results from clean testbed deployment, and pre-built container images for rapid evaluation deployment. These artifacts will be released alongside peer-reviewed publication.</w:t>
      </w:r>
    </w:p>
    <w:p>
      <w:pPr>
        <w:pStyle w:val="Heading1"/>
        <w:spacing w:after="180" w:before="360"/>
      </w:pPr>
      <w:r>
        <w:rPr>
          <w:b/>
          <w:bCs/>
          <w:sz w:val="28"/>
          <w:szCs w:val="28"/>
        </w:rPr>
        <w:t xml:space="preserve">9. Federal Alignment and National Importance</w:t>
      </w:r>
    </w:p>
    <w:p>
      <w:pPr>
        <w:pStyle w:val="ListParagraph"/>
        <w:numPr>
          <w:ilvl w:val="0"/>
          <w:numId w:val="2"/>
        </w:numPr>
        <w:spacing w:after="100" w:line="280"/>
        <w:jc w:val="both"/>
      </w:pPr>
      <w:r>
        <w:rPr>
          <w:b/>
          <w:bCs/>
        </w:rPr>
        <w:t xml:space="preserve">NSM-10 (May 4, 2022). </w:t>
      </w:r>
      <w:r>
        <w:t xml:space="preserve">QH-BFT's integration of ML-KEM and ML-DSA directly supports the NSM-10 directive to transition cryptographic systems to quantum-resistant cryptography.</w:t>
      </w:r>
    </w:p>
    <w:p>
      <w:pPr>
        <w:pStyle w:val="ListParagraph"/>
        <w:numPr>
          <w:ilvl w:val="0"/>
          <w:numId w:val="2"/>
        </w:numPr>
        <w:spacing w:after="100" w:line="280"/>
        <w:jc w:val="both"/>
      </w:pPr>
      <w:r>
        <w:rPr>
          <w:b/>
          <w:bCs/>
        </w:rPr>
        <w:t xml:space="preserve">Public Law 117-260 (December 21, 2022). </w:t>
      </w:r>
      <w:r>
        <w:t xml:space="preserve">Provides reference architectures for distributed systems that span multiple equipment categories.</w:t>
      </w:r>
    </w:p>
    <w:p>
      <w:pPr>
        <w:pStyle w:val="ListParagraph"/>
        <w:numPr>
          <w:ilvl w:val="0"/>
          <w:numId w:val="2"/>
        </w:numPr>
        <w:spacing w:after="100" w:line="280"/>
        <w:jc w:val="both"/>
      </w:pPr>
      <w:r>
        <w:rPr>
          <w:b/>
          <w:bCs/>
        </w:rPr>
        <w:t xml:space="preserve">OMB July 2024 Report. </w:t>
      </w:r>
      <w:r>
        <w:t xml:space="preserve">Reference architectures reduce per-agency engineering burden, contributing to migration cost containment.</w:t>
      </w:r>
    </w:p>
    <w:p>
      <w:pPr>
        <w:pStyle w:val="ListParagraph"/>
        <w:numPr>
          <w:ilvl w:val="0"/>
          <w:numId w:val="2"/>
        </w:numPr>
        <w:spacing w:after="100" w:line="280"/>
        <w:jc w:val="both"/>
      </w:pPr>
      <w:r>
        <w:rPr>
          <w:b/>
          <w:bCs/>
        </w:rPr>
        <w:t xml:space="preserve">CNSA 2.0 and CNSSP 15 (December 2024). </w:t>
      </w:r>
      <w:r>
        <w:t xml:space="preserve">January 1, 2027 NSS new-acquisition mandate creates immediate procurement pressure. QH-BFT's design around NSS-approved ML-KEM and ML-DSA directly supports systems meeting this mandate.</w:t>
      </w:r>
    </w:p>
    <w:p>
      <w:pPr>
        <w:pStyle w:val="ListParagraph"/>
        <w:numPr>
          <w:ilvl w:val="0"/>
          <w:numId w:val="2"/>
        </w:numPr>
        <w:spacing w:after="100" w:line="280"/>
        <w:jc w:val="both"/>
      </w:pPr>
      <w:r>
        <w:rPr>
          <w:b/>
          <w:bCs/>
        </w:rPr>
        <w:t xml:space="preserve">H.R. 4942 Quantum Encryption Readiness and Resilience Act (119th Congress). </w:t>
      </w:r>
      <w:r>
        <w:t xml:space="preserve">Contributes measurable distributed-systems PQC deployment patterns to federal readiness assessment.</w:t>
      </w:r>
    </w:p>
    <w:p>
      <w:pPr>
        <w:spacing w:after="120" w:line="280"/>
        <w:jc w:val="both"/>
      </w:pPr>
      <w:r>
        <w:t xml:space="preserve">Dissemination through three channels: peer-reviewed publication; direct engagement with NIST (NCCoE PQC Migration), CISA (post-quantum initiative), and sector-specific ISACs including FS-ISAC; public reference implementation suitable for federal agency adoption planning.</w:t>
      </w:r>
    </w:p>
    <w:p>
      <w:pPr>
        <w:pStyle w:val="Heading1"/>
        <w:spacing w:after="180" w:before="360"/>
      </w:pPr>
      <w:r>
        <w:rPr>
          <w:b/>
          <w:bCs/>
          <w:sz w:val="28"/>
          <w:szCs w:val="28"/>
        </w:rPr>
        <w:t xml:space="preserve">10. Research Roadmap</w:t>
      </w:r>
    </w:p>
    <w:p>
      <w:pPr>
        <w:pStyle w:val="Heading2"/>
        <w:spacing w:after="140" w:before="240"/>
      </w:pPr>
      <w:r>
        <w:rPr>
          <w:b/>
          <w:bCs/>
          <w:sz w:val="24"/>
          <w:szCs w:val="24"/>
        </w:rPr>
        <w:t xml:space="preserve">10.1 Phase One: Protocol Specification and Formal Correctness</w:t>
      </w:r>
    </w:p>
    <w:p>
      <w:pPr>
        <w:spacing w:after="120" w:line="280"/>
        <w:jc w:val="both"/>
      </w:pPr>
      <w:r>
        <w:t xml:space="preserve">Complete pseudocode covering normal operation, view-change, and recovery; full safety theorems with formal proofs; full liveness theorems; complexity proofs bounding worst-case message complexity at O(N²); Byzantine tolerance proofs under hierarchical tier structure with formal treatment of adaptive corruption.</w:t>
      </w:r>
    </w:p>
    <w:p>
      <w:pPr>
        <w:pStyle w:val="Heading2"/>
        <w:spacing w:after="140" w:before="240"/>
      </w:pPr>
      <w:r>
        <w:rPr>
          <w:b/>
          <w:bCs/>
          <w:sz w:val="24"/>
          <w:szCs w:val="24"/>
        </w:rPr>
        <w:t xml:space="preserve">10.2 Phase Two: Reference Implementation and Empirical Evaluation</w:t>
      </w:r>
    </w:p>
    <w:p>
      <w:pPr>
        <w:spacing w:after="120" w:line="280"/>
        <w:jc w:val="both"/>
      </w:pPr>
      <w:r>
        <w:t xml:space="preserve">Reference implementation in memory-safe systems language; integration with NIST reference implementations of ML-KEM and ML-DSA; testbed evaluation across N=4 to N=64 scale range; characterization under adversarial conditions including coordinated Byzantine behavior, network partitions, and harvest-now-decrypt-later scenarios.</w:t>
      </w:r>
    </w:p>
    <w:p>
      <w:pPr>
        <w:pStyle w:val="Heading2"/>
        <w:spacing w:after="140" w:before="240"/>
      </w:pPr>
      <w:r>
        <w:rPr>
          <w:b/>
          <w:bCs/>
          <w:sz w:val="24"/>
          <w:szCs w:val="24"/>
        </w:rPr>
        <w:t xml:space="preserve">10.3 Phase Three: Federal Stakeholder Engagement and Publication</w:t>
      </w:r>
    </w:p>
    <w:p>
      <w:pPr>
        <w:spacing w:after="120" w:line="280"/>
        <w:jc w:val="both"/>
      </w:pPr>
      <w:r>
        <w:t xml:space="preserve">Technical documentation suitable for review by NIST, CISA, and sector-specific ISACs; manuscripts targeted at peer-reviewed venues focused on dependable distributed systems and applied cryptography (target venues include IEEE Transactions on Dependable and Secure Computing, IEEE Transactions on Network and Service Management, ACM Transactions on Privacy and Security); reference deployment configurations suitable for federal agency pilot evaluation.</w:t>
      </w:r>
    </w:p>
    <w:p>
      <w:pPr>
        <w:pStyle w:val="Heading1"/>
        <w:spacing w:after="180" w:before="360"/>
      </w:pPr>
      <w:r>
        <w:rPr>
          <w:b/>
          <w:bCs/>
          <w:sz w:val="28"/>
          <w:szCs w:val="28"/>
        </w:rPr>
        <w:t xml:space="preserve">11. Conclusion</w:t>
      </w:r>
    </w:p>
    <w:p>
      <w:pPr>
        <w:spacing w:after="120" w:line="280"/>
        <w:jc w:val="both"/>
      </w:pPr>
      <w:r>
        <w:t xml:space="preserve">This concept paper has presented QH-BFT, a quantum-adaptive hierarchical Byzantine fault-tolerant consensus framework for U.S. critical infrastructure under federal post-quantum cryptography mandates. The contribution is a consensus protocol with three mechanisms not present in prior post-quantum consensus proposals: dynamic validator tiers with trust-weighted membership, trust-weighted quorum rotation, and adaptive PQ signature compression. The paper presents the formal model, complete pseudocode, proof sketches for safety and liveness, complexity analysis, and a planned experimental evaluation. Empirical evaluation results are deferred to the implementation and evaluation phases of the research roadmap. The completed research will deliver a reference architecture supporting federal agencies and critical infrastructure operators executing the CNSA 2.0 transition with January 1, 2027 NSS acquisition deadline.</w:t>
      </w:r>
    </w:p>
    <w:p>
      <w:pPr>
        <w:pStyle w:val="Heading1"/>
        <w:spacing w:after="180" w:before="360"/>
      </w:pPr>
      <w:r>
        <w:rPr>
          <w:b/>
          <w:bCs/>
          <w:sz w:val="28"/>
          <w:szCs w:val="28"/>
        </w:rPr>
        <w:t xml:space="preserve">References</w:t>
      </w:r>
    </w:p>
    <w:p>
      <w:pPr>
        <w:pStyle w:val="Heading2"/>
        <w:spacing w:after="140" w:before="240"/>
      </w:pPr>
      <w:r>
        <w:rPr>
          <w:b/>
          <w:bCs/>
          <w:sz w:val="24"/>
          <w:szCs w:val="24"/>
        </w:rPr>
        <w:t xml:space="preserve">Federal and Standards-Body Sources</w:t>
      </w:r>
    </w:p>
    <w:p>
      <w:pPr>
        <w:pStyle w:val="ListParagraph"/>
        <w:numPr>
          <w:ilvl w:val="0"/>
          <w:numId w:val="2"/>
        </w:numPr>
        <w:spacing w:after="100" w:line="280"/>
        <w:jc w:val="both"/>
      </w:pPr>
      <w:r>
        <w:t xml:space="preserve">White House National Security Memorandum-10 (NSM-10), May 4, 2022.</w:t>
      </w:r>
    </w:p>
    <w:p>
      <w:pPr>
        <w:pStyle w:val="ListParagraph"/>
        <w:numPr>
          <w:ilvl w:val="0"/>
          <w:numId w:val="2"/>
        </w:numPr>
        <w:spacing w:after="100" w:line="280"/>
        <w:jc w:val="both"/>
      </w:pPr>
      <w:r>
        <w:t xml:space="preserve">Public Law 117-260, Quantum Computing Cybersecurity Preparedness Act, December 21, 2022.</w:t>
      </w:r>
    </w:p>
    <w:p>
      <w:pPr>
        <w:pStyle w:val="ListParagraph"/>
        <w:numPr>
          <w:ilvl w:val="0"/>
          <w:numId w:val="2"/>
        </w:numPr>
        <w:spacing w:after="100" w:line="280"/>
        <w:jc w:val="both"/>
      </w:pPr>
      <w:r>
        <w:t xml:space="preserve">Office of Management and Budget, Report on Post-Quantum Cryptography, July 2024.</w:t>
      </w:r>
    </w:p>
    <w:p>
      <w:pPr>
        <w:pStyle w:val="ListParagraph"/>
        <w:numPr>
          <w:ilvl w:val="0"/>
          <w:numId w:val="2"/>
        </w:numPr>
        <w:spacing w:after="100" w:line="280"/>
        <w:jc w:val="both"/>
      </w:pPr>
      <w:r>
        <w:t xml:space="preserve">NIST FIPS 203, Module-Lattice-Based Key-Encapsulation Mechanism Standard (ML-KEM), August 2024.</w:t>
      </w:r>
    </w:p>
    <w:p>
      <w:pPr>
        <w:pStyle w:val="ListParagraph"/>
        <w:numPr>
          <w:ilvl w:val="0"/>
          <w:numId w:val="2"/>
        </w:numPr>
        <w:spacing w:after="100" w:line="280"/>
        <w:jc w:val="both"/>
      </w:pPr>
      <w:r>
        <w:t xml:space="preserve">NIST FIPS 204, Module-Lattice-Based Digital Signature Standard (ML-DSA), August 2024.</w:t>
      </w:r>
    </w:p>
    <w:p>
      <w:pPr>
        <w:pStyle w:val="ListParagraph"/>
        <w:numPr>
          <w:ilvl w:val="0"/>
          <w:numId w:val="2"/>
        </w:numPr>
        <w:spacing w:after="100" w:line="280"/>
        <w:jc w:val="both"/>
      </w:pPr>
      <w:r>
        <w:t xml:space="preserve">NIST FIPS 205, Stateless Hash-Based Digital Signature Standard (SLH-DSA), August 2024.</w:t>
      </w:r>
    </w:p>
    <w:p>
      <w:pPr>
        <w:pStyle w:val="ListParagraph"/>
        <w:numPr>
          <w:ilvl w:val="0"/>
          <w:numId w:val="2"/>
        </w:numPr>
        <w:spacing w:after="100" w:line="280"/>
        <w:jc w:val="both"/>
      </w:pPr>
      <w:r>
        <w:t xml:space="preserve">NSA, Commercial National Security Algorithm Suite 2.0 Cybersecurity Advisory, May 2025.</w:t>
      </w:r>
    </w:p>
    <w:p>
      <w:pPr>
        <w:pStyle w:val="ListParagraph"/>
        <w:numPr>
          <w:ilvl w:val="0"/>
          <w:numId w:val="2"/>
        </w:numPr>
        <w:spacing w:after="100" w:line="280"/>
        <w:jc w:val="both"/>
      </w:pPr>
      <w:r>
        <w:t xml:space="preserve">CNSSP 15, Use of Public Standards for Secure Information Sharing, December 2024.</w:t>
      </w:r>
    </w:p>
    <w:p>
      <w:pPr>
        <w:pStyle w:val="ListParagraph"/>
        <w:numPr>
          <w:ilvl w:val="0"/>
          <w:numId w:val="2"/>
        </w:numPr>
        <w:spacing w:after="100" w:line="280"/>
        <w:jc w:val="both"/>
      </w:pPr>
      <w:r>
        <w:t xml:space="preserve">White House National Cyber Strategy, March 2023.</w:t>
      </w:r>
    </w:p>
    <w:p>
      <w:pPr>
        <w:pStyle w:val="ListParagraph"/>
        <w:numPr>
          <w:ilvl w:val="0"/>
          <w:numId w:val="2"/>
        </w:numPr>
        <w:spacing w:after="100" w:line="280"/>
        <w:jc w:val="both"/>
      </w:pPr>
      <w:r>
        <w:t xml:space="preserve">H.R. 4942, Quantum Encryption Readiness and Resilience Act, 119th Congress, August 8, 2025.</w:t>
      </w:r>
    </w:p>
    <w:p>
      <w:pPr>
        <w:pStyle w:val="Heading2"/>
        <w:spacing w:after="140" w:before="240"/>
      </w:pPr>
      <w:r>
        <w:rPr>
          <w:b/>
          <w:bCs/>
          <w:sz w:val="24"/>
          <w:szCs w:val="24"/>
        </w:rPr>
        <w:t xml:space="preserve">Academic Sources</w:t>
      </w:r>
    </w:p>
    <w:p>
      <w:pPr>
        <w:pStyle w:val="ListParagraph"/>
        <w:numPr>
          <w:ilvl w:val="0"/>
          <w:numId w:val="2"/>
        </w:numPr>
        <w:spacing w:after="100" w:line="280"/>
        <w:jc w:val="both"/>
      </w:pPr>
      <w:r>
        <w:t xml:space="preserve">Castro, M. and Liskov, B., "Practical Byzantine Fault Tolerance," OSDI, 1999.</w:t>
      </w:r>
    </w:p>
    <w:p>
      <w:pPr>
        <w:pStyle w:val="ListParagraph"/>
        <w:numPr>
          <w:ilvl w:val="0"/>
          <w:numId w:val="2"/>
        </w:numPr>
        <w:spacing w:after="100" w:line="280"/>
        <w:jc w:val="both"/>
      </w:pPr>
      <w:r>
        <w:t xml:space="preserve">Yin, M. et al., "HotStuff: BFT Consensus with Linearity and Responsiveness," PODC, 2019.</w:t>
      </w:r>
    </w:p>
    <w:p>
      <w:pPr>
        <w:pStyle w:val="ListParagraph"/>
        <w:numPr>
          <w:ilvl w:val="0"/>
          <w:numId w:val="2"/>
        </w:numPr>
        <w:spacing w:after="100" w:line="280"/>
        <w:jc w:val="both"/>
      </w:pPr>
      <w:r>
        <w:t xml:space="preserve">Buchman, E., "Tendermint: Byzantine Fault Tolerance in the Age of Blockchains," M.A.Sc. Thesis, University of Guelph, 2016.</w:t>
      </w:r>
    </w:p>
    <w:p>
      <w:pPr>
        <w:pStyle w:val="ListParagraph"/>
        <w:numPr>
          <w:ilvl w:val="0"/>
          <w:numId w:val="2"/>
        </w:numPr>
        <w:spacing w:after="100" w:line="280"/>
        <w:jc w:val="both"/>
      </w:pPr>
      <w:r>
        <w:t xml:space="preserve">Gueta, G. et al., "SBFT: A Scalable and Decentralized Trust Infrastructure," DSN, 2019.</w:t>
      </w:r>
    </w:p>
    <w:p>
      <w:pPr>
        <w:pStyle w:val="ListParagraph"/>
        <w:numPr>
          <w:ilvl w:val="0"/>
          <w:numId w:val="2"/>
        </w:numPr>
        <w:spacing w:after="100" w:line="280"/>
        <w:jc w:val="both"/>
      </w:pPr>
      <w:r>
        <w:t xml:space="preserve">Esgin, M. et al., "Short Lattice-Based One-out-of-Many Proofs and Applications to Ring Signatures," ACNS, 2019.</w:t>
      </w:r>
    </w:p>
    <w:p>
      <w:pPr>
        <w:pStyle w:val="ListParagraph"/>
        <w:numPr>
          <w:ilvl w:val="0"/>
          <w:numId w:val="2"/>
        </w:numPr>
        <w:spacing w:after="100" w:line="280"/>
        <w:jc w:val="both"/>
      </w:pPr>
      <w:r>
        <w:t xml:space="preserve">Dwork, C., Lynch, N. and Stockmeyer, L., "Consensus in the Presence of Partial Synchrony," Journal of the ACM, 1988.</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QH-BFT / QuantumShield Concept Paper — M. F. Kabir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QH-BFT: A Quantum-Adaptive Hierarchical BFT Consensus Framework</dc:title>
  <dc:creator>Md Farhad Kabir</dc:creator>
  <cp:lastModifiedBy>Un-named</cp:lastModifiedBy>
  <cp:revision>1</cp:revision>
  <dcterms:created xsi:type="dcterms:W3CDTF">2026-04-27T20:24:17.575Z</dcterms:created>
  <dcterms:modified xsi:type="dcterms:W3CDTF">2026-04-27T20:24:17.576Z</dcterms:modified>
</cp:coreProperties>
</file>

<file path=docProps/custom.xml><?xml version="1.0" encoding="utf-8"?>
<Properties xmlns="http://schemas.openxmlformats.org/officeDocument/2006/custom-properties" xmlns:vt="http://schemas.openxmlformats.org/officeDocument/2006/docPropsVTypes"/>
</file>