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3942" w14:textId="77777777" w:rsidR="00CA530C" w:rsidRDefault="0041370B">
      <w:pPr>
        <w:spacing w:after="120"/>
        <w:jc w:val="center"/>
      </w:pPr>
      <w:r>
        <w:rPr>
          <w:b/>
          <w:bCs/>
          <w:sz w:val="28"/>
          <w:szCs w:val="28"/>
        </w:rPr>
        <w:t xml:space="preserve">A Graph-Based Explainable AI Framework with Stability-Centric Evaluation for </w:t>
      </w:r>
      <w:proofErr w:type="spellStart"/>
      <w:r>
        <w:rPr>
          <w:b/>
          <w:bCs/>
          <w:sz w:val="28"/>
          <w:szCs w:val="28"/>
        </w:rPr>
        <w:t>Adversarially</w:t>
      </w:r>
      <w:proofErr w:type="spellEnd"/>
      <w:r>
        <w:rPr>
          <w:b/>
          <w:bCs/>
          <w:sz w:val="28"/>
          <w:szCs w:val="28"/>
        </w:rPr>
        <w:t xml:space="preserve"> Robust Cybersecurity Decision Systems Protecting U.S. Critical Infrastructure</w:t>
      </w:r>
    </w:p>
    <w:p w14:paraId="5B6F7690" w14:textId="77777777" w:rsidR="00CA530C" w:rsidRDefault="0041370B">
      <w:pPr>
        <w:spacing w:after="60"/>
        <w:jc w:val="center"/>
      </w:pPr>
      <w:r>
        <w:rPr>
          <w:i/>
          <w:iCs/>
        </w:rPr>
        <w:t>A Research Concept Paper</w:t>
      </w:r>
    </w:p>
    <w:p w14:paraId="5E244721" w14:textId="661560D6" w:rsidR="00CA530C" w:rsidRDefault="0041370B" w:rsidP="006063B9">
      <w:pPr>
        <w:spacing w:after="480"/>
        <w:jc w:val="center"/>
      </w:pPr>
      <w:r>
        <w:rPr>
          <w:sz w:val="22"/>
          <w:szCs w:val="22"/>
        </w:rPr>
        <w:t xml:space="preserve">Md Farhad Kabir   </w:t>
      </w:r>
    </w:p>
    <w:p w14:paraId="30C9AE82" w14:textId="77777777" w:rsidR="00CA530C" w:rsidRDefault="0041370B">
      <w:pPr>
        <w:pStyle w:val="Heading1"/>
      </w:pPr>
      <w:r>
        <w:t>Abstract</w:t>
      </w:r>
    </w:p>
    <w:p w14:paraId="44386BD2" w14:textId="77777777" w:rsidR="00CA530C" w:rsidRDefault="0041370B">
      <w:pPr>
        <w:spacing w:after="160" w:line="300" w:lineRule="auto"/>
        <w:jc w:val="both"/>
      </w:pPr>
      <w:r>
        <w:t>Artificial Intelligence is becoming central to how organizations defend their networks. AI-enabled systems now identify threats, classify anomalies, automate response, and support resilience across the sectors that matter most—energy, finance, healthcare, telecommunications, transportation, and government services. The capability has grown faster than the trust around it. Many of these systems behave as black boxes, producing consequential decisions without giving the analysts, regulators, and operators responsible for them a clear sense of why. In critical infrastructure environments, where a single security decision can affect millions of people, that opacity is not just an inconvenience. It is a structural risk.</w:t>
      </w:r>
    </w:p>
    <w:p w14:paraId="438D32C7" w14:textId="77777777" w:rsidR="00CA530C" w:rsidRDefault="0041370B">
      <w:pPr>
        <w:spacing w:after="160" w:line="300" w:lineRule="auto"/>
        <w:jc w:val="both"/>
      </w:pPr>
      <w:r>
        <w:t xml:space="preserve">This paper proposes the Trustworthy Explainable Cybersecurity Decision Framework (TECDF), a graph-based, </w:t>
      </w:r>
      <w:proofErr w:type="spellStart"/>
      <w:r>
        <w:t>adversarially</w:t>
      </w:r>
      <w:proofErr w:type="spellEnd"/>
      <w:r>
        <w:t xml:space="preserve"> trained, multi-layer architecture for AI cybersecurity systems. TECDF uses Graph Attention Networks for detection on cybersecurity entity graphs, applies adversarial training to the detection model, generates explanations from the robust detector, and explicitly defends against two threat surfaces unique to graph-based explainable systems: graph-structure attacks that manipulate the relational topology, and explanation-targeted attacks that corrupt interpretability without changing the classification. Evaluation is multi-dimensional, with explanation stability as the primary technical metric given the threat model. The framework is aligned with the NIST AI Risk Management Framework (AI RMF 1.0, 2023), specifically supporting the GOVERN, MAP, and MEASURE functions, as well as the broader U.S. priority of operationalizing trustworthy AI in high-stakes domains.</w:t>
      </w:r>
    </w:p>
    <w:p w14:paraId="1AE1CDD1" w14:textId="77777777" w:rsidR="00CA530C" w:rsidRDefault="0041370B">
      <w:pPr>
        <w:spacing w:after="320" w:line="300" w:lineRule="auto"/>
        <w:jc w:val="both"/>
      </w:pPr>
      <w:r>
        <w:rPr>
          <w:b/>
          <w:bCs/>
        </w:rPr>
        <w:t xml:space="preserve">Keywords: </w:t>
      </w:r>
      <w:r>
        <w:t>Explainable AI, Graph Neural Networks, Adversarial Robustness, Cybersecurity, Critical Infrastructure, Trustworthy AI, NIST AI RMF.</w:t>
      </w:r>
    </w:p>
    <w:p w14:paraId="63A19660" w14:textId="77777777" w:rsidR="00CA530C" w:rsidRDefault="0041370B">
      <w:pPr>
        <w:pStyle w:val="Heading1"/>
      </w:pPr>
      <w:r>
        <w:t>1. Introduction</w:t>
      </w:r>
    </w:p>
    <w:p w14:paraId="4912DDB5" w14:textId="77777777" w:rsidR="00CA530C" w:rsidRDefault="0041370B">
      <w:pPr>
        <w:spacing w:after="160" w:line="300" w:lineRule="auto"/>
        <w:jc w:val="both"/>
      </w:pPr>
      <w:r>
        <w:t>Cyber threats targeting national infrastructure have grown in sophistication, scale, and persistence. Operators of power grids, hospitals, financial networks, transportation systems, and government platforms increasingly rely on AI-enabled cybersecurity systems to keep pace. Machine learning models can identify suspicious traffic, prioritize incidents, detect fraud, classify malware, and trigger containment measures faster than traditional rule-based approaches. The capability is real.</w:t>
      </w:r>
    </w:p>
    <w:p w14:paraId="73D033C1" w14:textId="77777777" w:rsidR="00CA530C" w:rsidRDefault="0041370B">
      <w:pPr>
        <w:spacing w:after="160" w:line="300" w:lineRule="auto"/>
        <w:jc w:val="both"/>
      </w:pPr>
      <w:r>
        <w:lastRenderedPageBreak/>
        <w:t>There is a tension at the center of this, however. The systems being deployed to make environments safer are themselves often opaque to the people responsible for them. When an AI system blocks a financial transaction, isolates a workstation, or marks a stretch of network activity as malicious, the humans in the loop—analysts, responders, auditors, executives—need to understand why. Without that:</w:t>
      </w:r>
    </w:p>
    <w:p w14:paraId="155E6C80" w14:textId="77777777" w:rsidR="00CA530C" w:rsidRDefault="0041370B">
      <w:pPr>
        <w:pStyle w:val="ListParagraph"/>
        <w:numPr>
          <w:ilvl w:val="0"/>
          <w:numId w:val="2"/>
        </w:numPr>
        <w:spacing w:after="80" w:line="300" w:lineRule="auto"/>
      </w:pPr>
      <w:r>
        <w:t>Analysts cannot confidently distinguish a real threat from a model artifact, and end up either over-trusting or under-trusting the system.</w:t>
      </w:r>
    </w:p>
    <w:p w14:paraId="627527DD" w14:textId="77777777" w:rsidR="00CA530C" w:rsidRDefault="0041370B">
      <w:pPr>
        <w:pStyle w:val="ListParagraph"/>
        <w:numPr>
          <w:ilvl w:val="0"/>
          <w:numId w:val="2"/>
        </w:numPr>
        <w:spacing w:after="80" w:line="300" w:lineRule="auto"/>
      </w:pPr>
      <w:r>
        <w:t>Incident responders waste cycles triaging events whose underlying logic they cannot see.</w:t>
      </w:r>
    </w:p>
    <w:p w14:paraId="4387406C" w14:textId="77777777" w:rsidR="00CA530C" w:rsidRDefault="0041370B">
      <w:pPr>
        <w:pStyle w:val="ListParagraph"/>
        <w:numPr>
          <w:ilvl w:val="0"/>
          <w:numId w:val="2"/>
        </w:numPr>
        <w:spacing w:after="80" w:line="300" w:lineRule="auto"/>
      </w:pPr>
      <w:r>
        <w:t>Auditors and regulators have no clear basis on which to assess compliance with federal accountability standards.</w:t>
      </w:r>
    </w:p>
    <w:p w14:paraId="36BF41BB" w14:textId="77777777" w:rsidR="00CA530C" w:rsidRDefault="0041370B">
      <w:pPr>
        <w:pStyle w:val="ListParagraph"/>
        <w:numPr>
          <w:ilvl w:val="0"/>
          <w:numId w:val="2"/>
        </w:numPr>
        <w:spacing w:after="80" w:line="300" w:lineRule="auto"/>
      </w:pPr>
      <w:r>
        <w:t>Organizations carry unbounded liability when an opaque AI decision touches a regulated activity.</w:t>
      </w:r>
    </w:p>
    <w:p w14:paraId="62497C3F" w14:textId="77777777" w:rsidR="00CA530C" w:rsidRDefault="0041370B">
      <w:pPr>
        <w:pStyle w:val="ListParagraph"/>
        <w:numPr>
          <w:ilvl w:val="0"/>
          <w:numId w:val="2"/>
        </w:numPr>
        <w:spacing w:after="160" w:line="300" w:lineRule="auto"/>
      </w:pPr>
      <w:r>
        <w:t>Adversaries gain an advantage, because blind spots in interpretation are blind spots in defense.</w:t>
      </w:r>
    </w:p>
    <w:p w14:paraId="38306A82" w14:textId="77777777" w:rsidR="00CA530C" w:rsidRDefault="0041370B">
      <w:pPr>
        <w:spacing w:after="320" w:line="300" w:lineRule="auto"/>
        <w:jc w:val="both"/>
      </w:pPr>
      <w:r>
        <w:t>The challenge is amplified in critical infrastructure, where errors can disrupt essential services and cascade through interconnected systems with national-scale consequences. Cybersecurity AI in these environments must be more than accurate. It must be explainable, accountable, and resilient. This paper outlines a research concept built around that proposition.</w:t>
      </w:r>
    </w:p>
    <w:p w14:paraId="3472CD1A" w14:textId="77777777" w:rsidR="00CA530C" w:rsidRDefault="0041370B">
      <w:pPr>
        <w:pStyle w:val="Heading1"/>
      </w:pPr>
      <w:r>
        <w:t>2. Background and Research Gap</w:t>
      </w:r>
    </w:p>
    <w:p w14:paraId="33332A0D" w14:textId="77777777" w:rsidR="00CA530C" w:rsidRDefault="0041370B">
      <w:pPr>
        <w:spacing w:after="160" w:line="300" w:lineRule="auto"/>
        <w:jc w:val="both"/>
      </w:pPr>
      <w:r>
        <w:t>Explainable AI has received substantial attention in healthcare, finance, and consumer recommendation contexts. Established methods include feature attribution (SHAP, LIME), surrogate models, attention visualization, and counterfactual reasoning. These methods are useful, but most were not built with cybersecurity in mind. Cybersecurity environments differ in ways that strain the applicability of general-purpose XAI:</w:t>
      </w:r>
    </w:p>
    <w:p w14:paraId="4CE0F2C3" w14:textId="77777777" w:rsidR="00CA530C" w:rsidRDefault="0041370B">
      <w:pPr>
        <w:spacing w:after="160" w:line="300" w:lineRule="auto"/>
        <w:jc w:val="both"/>
      </w:pPr>
      <w:r>
        <w:rPr>
          <w:b/>
          <w:bCs/>
        </w:rPr>
        <w:t xml:space="preserve">Speed matters. </w:t>
      </w:r>
      <w:r>
        <w:t>Detection and response decisions often need to happen in seconds or milliseconds. An explanation method that adds noticeable latency may be unusable in a real Security Operations Center, even if it works well in a research notebook.</w:t>
      </w:r>
    </w:p>
    <w:p w14:paraId="6CCE0BF6" w14:textId="77777777" w:rsidR="00CA530C" w:rsidRDefault="0041370B">
      <w:pPr>
        <w:spacing w:after="160" w:line="300" w:lineRule="auto"/>
        <w:jc w:val="both"/>
      </w:pPr>
      <w:r>
        <w:rPr>
          <w:b/>
          <w:bCs/>
        </w:rPr>
        <w:t xml:space="preserve">Adversaries are part of the system. </w:t>
      </w:r>
      <w:r>
        <w:t>Attackers actively manipulate inputs, and as explainability mechanisms become more visible, they will be targeted directly. Explanations that can be tricked are explanations that can be weaponized.</w:t>
      </w:r>
    </w:p>
    <w:p w14:paraId="37ADD680" w14:textId="77777777" w:rsidR="00CA530C" w:rsidRDefault="0041370B">
      <w:pPr>
        <w:spacing w:after="160" w:line="300" w:lineRule="auto"/>
        <w:jc w:val="both"/>
      </w:pPr>
      <w:r>
        <w:rPr>
          <w:b/>
          <w:bCs/>
        </w:rPr>
        <w:t xml:space="preserve">The data is relational. </w:t>
      </w:r>
      <w:r>
        <w:t>Cybersecurity decisions are not made about isolated events but about events embedded in a network of entities—users, devices, IPs, applications, and transactions. Tabular representations lose the relational structure that often makes the difference between a benign and malicious classification.</w:t>
      </w:r>
    </w:p>
    <w:p w14:paraId="230AC957" w14:textId="77777777" w:rsidR="00CA530C" w:rsidRDefault="0041370B">
      <w:pPr>
        <w:spacing w:after="160" w:line="300" w:lineRule="auto"/>
        <w:jc w:val="both"/>
      </w:pPr>
      <w:r>
        <w:rPr>
          <w:b/>
          <w:bCs/>
        </w:rPr>
        <w:t xml:space="preserve">The human side is real. </w:t>
      </w:r>
      <w:r>
        <w:t>Analysts work under operational pressure. An explanation that is technically correct but cognitively expensive to interpret will not be used.</w:t>
      </w:r>
    </w:p>
    <w:p w14:paraId="6FDAC41A" w14:textId="77777777" w:rsidR="00CA530C" w:rsidRDefault="0041370B">
      <w:pPr>
        <w:spacing w:after="160" w:line="300" w:lineRule="auto"/>
        <w:jc w:val="both"/>
      </w:pPr>
      <w:r>
        <w:rPr>
          <w:b/>
          <w:bCs/>
        </w:rPr>
        <w:t xml:space="preserve">The decisions are consequential. </w:t>
      </w:r>
      <w:r>
        <w:t>Blocking access, isolating systems, denying transactions—these are not low-stakes outputs. They have legal and operational implications that demand accountability.</w:t>
      </w:r>
    </w:p>
    <w:p w14:paraId="36A20DCF" w14:textId="77777777" w:rsidR="00CA530C" w:rsidRDefault="0041370B">
      <w:pPr>
        <w:spacing w:after="160" w:line="300" w:lineRule="auto"/>
        <w:jc w:val="both"/>
      </w:pPr>
      <w:r>
        <w:t>Most existing studies focus narrowly on applying SHAP or LIME to a single intrusion detection dataset using tabular features. Two important gaps remain. First, cybersecurity decision data is fundamentally relational, but most XAI work in this space treats events as independent feature vectors. Graph-based detection captures the relational structure, but explainability for graph models is genuinely under-explored. Second, the research community has documented that explanations themselves can be attacked—inputs can be perturbed to corrupt explanation outputs without changing the underlying classification (Ghorbani et al., 2019). For cybersecurity systems where explanations support human oversight, this attack surface is especially important and especially under-defended.</w:t>
      </w:r>
    </w:p>
    <w:p w14:paraId="01F89B7D" w14:textId="77777777" w:rsidR="00CA530C" w:rsidRDefault="0041370B">
      <w:pPr>
        <w:spacing w:after="320" w:line="300" w:lineRule="auto"/>
        <w:jc w:val="both"/>
      </w:pPr>
      <w:r>
        <w:t>TECDF addresses both gaps by combining graph-based detection with adversarial training, and by explicitly defending against the two threat surfaces that emerge when graph-based detection meets explainability: graph-structure attacks and explanation-targeted attacks. The technical components draw on established literature; the contribution lies in their integration into a federally aligned architecture for cybersecurity decision systems where the stakes are national.</w:t>
      </w:r>
    </w:p>
    <w:p w14:paraId="3971C35B" w14:textId="77777777" w:rsidR="00CA530C" w:rsidRDefault="0041370B">
      <w:pPr>
        <w:pStyle w:val="Heading1"/>
      </w:pPr>
      <w:r>
        <w:t>3. Alignment with Federal Frameworks and National Priorities</w:t>
      </w:r>
    </w:p>
    <w:p w14:paraId="5C6055B2" w14:textId="77777777" w:rsidR="00CA530C" w:rsidRDefault="0041370B">
      <w:pPr>
        <w:pStyle w:val="Heading2"/>
      </w:pPr>
      <w:r>
        <w:t>3.1 The NIST AI Risk Management Framework</w:t>
      </w:r>
    </w:p>
    <w:p w14:paraId="76C4841F" w14:textId="77777777" w:rsidR="00CA530C" w:rsidRDefault="0041370B">
      <w:pPr>
        <w:spacing w:after="160" w:line="300" w:lineRule="auto"/>
        <w:jc w:val="both"/>
      </w:pPr>
      <w:r>
        <w:t>The research is anchored in the NIST AI Risk Management Framework (AI RMF 1.0, 2023), which is the federal guidance for trustworthy AI in high-stakes deployments. TECDF supports three of its four core functions:</w:t>
      </w:r>
    </w:p>
    <w:p w14:paraId="6C0DA021" w14:textId="77777777" w:rsidR="00CA530C" w:rsidRDefault="0041370B">
      <w:pPr>
        <w:spacing w:after="160" w:line="300" w:lineRule="auto"/>
        <w:jc w:val="both"/>
      </w:pPr>
      <w:r>
        <w:rPr>
          <w:b/>
          <w:bCs/>
        </w:rPr>
        <w:t xml:space="preserve">GOVERN </w:t>
      </w:r>
      <w:r>
        <w:t>calls for accountability, transparency, and oversight structures around AI systems. The Governance and Audit Layer of TECDF is the practical mechanism through which those structures become enforceable.</w:t>
      </w:r>
    </w:p>
    <w:p w14:paraId="61C51064" w14:textId="77777777" w:rsidR="00CA530C" w:rsidRDefault="0041370B">
      <w:pPr>
        <w:spacing w:after="160" w:line="300" w:lineRule="auto"/>
        <w:jc w:val="both"/>
      </w:pPr>
      <w:r>
        <w:rPr>
          <w:b/>
          <w:bCs/>
        </w:rPr>
        <w:t xml:space="preserve">MAP </w:t>
      </w:r>
      <w:r>
        <w:t>calls for identifying and characterizing the risks introduced by AI deployment. TECDF explicitly maps the risks of opaque AI security systems—undetected model bias, adversarial vulnerability, regulatory exposure, operational misalignment—so they can be managed rather than ignored.</w:t>
      </w:r>
    </w:p>
    <w:p w14:paraId="6012B6A6" w14:textId="77777777" w:rsidR="00CA530C" w:rsidRDefault="0041370B">
      <w:pPr>
        <w:spacing w:after="200" w:line="300" w:lineRule="auto"/>
        <w:jc w:val="both"/>
      </w:pPr>
      <w:r>
        <w:rPr>
          <w:b/>
          <w:bCs/>
        </w:rPr>
        <w:t xml:space="preserve">MEASURE </w:t>
      </w:r>
      <w:r>
        <w:t>calls for metrics that can actually be applied to AI systems in deployment. The framework contributes evaluation metrics for explanation fidelity, stability, human utility, sparsity, and adversarial robustness.</w:t>
      </w:r>
    </w:p>
    <w:p w14:paraId="48F5F4D7" w14:textId="77777777" w:rsidR="00CA530C" w:rsidRDefault="0041370B">
      <w:pPr>
        <w:pStyle w:val="Heading2"/>
      </w:pPr>
      <w:r>
        <w:t>3.2 National Cybersecurity Strategy</w:t>
      </w:r>
    </w:p>
    <w:p w14:paraId="1EBEC395" w14:textId="77777777" w:rsidR="00CA530C" w:rsidRDefault="0041370B">
      <w:pPr>
        <w:spacing w:after="160" w:line="300" w:lineRule="auto"/>
        <w:jc w:val="both"/>
      </w:pPr>
      <w:r>
        <w:t>The U.S. National Cybersecurity Strategy emphasizes resilient digital infrastructure, secure-by-design systems, and public-private cooperation. Explainable cybersecurity AI supports those goals directly: auditable systems are systems that can be improved over time, defended publicly, and deployed in regulated sectors with confidence.</w:t>
      </w:r>
    </w:p>
    <w:p w14:paraId="1761FF0D" w14:textId="77777777" w:rsidR="00CA530C" w:rsidRDefault="0041370B">
      <w:pPr>
        <w:pStyle w:val="Heading2"/>
      </w:pPr>
      <w:r>
        <w:t>3.3 Critical Infrastructure Protection</w:t>
      </w:r>
    </w:p>
    <w:p w14:paraId="258259FC" w14:textId="77777777" w:rsidR="00CA530C" w:rsidRDefault="0041370B">
      <w:pPr>
        <w:spacing w:after="320" w:line="300" w:lineRule="auto"/>
        <w:jc w:val="both"/>
      </w:pPr>
      <w:r>
        <w:t>Energy, transportation, healthcare, telecommunications, finance, and government services all increasingly depend on AI-enabled security tools. Explainability strengthens trust, continuity, and oversight in environments where security decisions affect millions of people. The work also aligns with Cybersecurity and Infrastructure Security Agency (CISA) guidance emphasizing transparency and human oversight in AI systems deployed within critical infrastructure.</w:t>
      </w:r>
    </w:p>
    <w:p w14:paraId="14C2DE3C" w14:textId="77777777" w:rsidR="00CA530C" w:rsidRDefault="0041370B">
      <w:pPr>
        <w:pStyle w:val="Heading1"/>
      </w:pPr>
      <w:r>
        <w:t>4. The Proposed Framework: TECDF</w:t>
      </w:r>
    </w:p>
    <w:p w14:paraId="12D4546E" w14:textId="77777777" w:rsidR="00CA530C" w:rsidRDefault="0041370B">
      <w:pPr>
        <w:spacing w:after="160" w:line="300" w:lineRule="auto"/>
        <w:jc w:val="both"/>
      </w:pPr>
      <w:r>
        <w:t>TECDF—the Trustworthy Explainable Cybersecurity Decision Framework—is organized as five interconnected layers. The point of separating them is not to suggest they are independent. They are not. The separation is to make clear that explainable cybersecurity AI is more than a single technique and needs to be designed as a coherent system.</w:t>
      </w:r>
    </w:p>
    <w:p w14:paraId="76B7AF03" w14:textId="77777777" w:rsidR="00CA530C" w:rsidRDefault="0041370B">
      <w:pPr>
        <w:pStyle w:val="Heading2"/>
      </w:pPr>
      <w:r>
        <w:t>4.1 Detection Intelligence Layer</w:t>
      </w:r>
    </w:p>
    <w:p w14:paraId="7FC208FC" w14:textId="77777777" w:rsidR="00CA530C" w:rsidRDefault="0041370B">
      <w:pPr>
        <w:spacing w:after="160" w:line="300" w:lineRule="auto"/>
        <w:jc w:val="both"/>
      </w:pPr>
      <w:r>
        <w:t xml:space="preserve">Cybersecurity decision data is modeled as a graph. Each cybersecurity context is represented as </w:t>
      </w:r>
      <w:r>
        <w:rPr>
          <w:i/>
          <w:iCs/>
        </w:rPr>
        <w:t>G = (V, E, X)</w:t>
      </w:r>
      <w:r>
        <w:t xml:space="preserve">, where </w:t>
      </w:r>
      <w:r>
        <w:rPr>
          <w:i/>
          <w:iCs/>
        </w:rPr>
        <w:t>V</w:t>
      </w:r>
      <w:r>
        <w:t xml:space="preserve"> is the set of nodes (users, devices, IP addresses, applications, accounts, transactions), </w:t>
      </w:r>
      <w:r>
        <w:rPr>
          <w:i/>
          <w:iCs/>
        </w:rPr>
        <w:t>E</w:t>
      </w:r>
      <w:r>
        <w:t xml:space="preserve"> is the set of edges (communication, authentication, access, payment flows), and </w:t>
      </w:r>
      <w:r>
        <w:rPr>
          <w:i/>
          <w:iCs/>
        </w:rPr>
        <w:t>X</w:t>
      </w:r>
      <w:r>
        <w:t xml:space="preserve"> represents the node and edge feature matrices encoding behavioral and contextual attributes.</w:t>
      </w:r>
    </w:p>
    <w:p w14:paraId="51DFB856" w14:textId="77777777" w:rsidR="00CA530C" w:rsidRDefault="0041370B">
      <w:pPr>
        <w:spacing w:after="160" w:line="300" w:lineRule="auto"/>
        <w:jc w:val="both"/>
      </w:pPr>
      <w:r>
        <w:t>Detection is performed by a Graph Attention Network (GAT). Each layer of the GAT updates node representations by aggregating information from neighbors, weighted by learned attention coefficients:</w:t>
      </w:r>
    </w:p>
    <w:p w14:paraId="0EAFA0C6" w14:textId="77777777" w:rsidR="00CA530C" w:rsidRDefault="0041370B">
      <w:pPr>
        <w:spacing w:before="120" w:after="200" w:line="300" w:lineRule="auto"/>
        <w:ind w:left="720" w:right="720"/>
        <w:jc w:val="center"/>
      </w:pPr>
      <w:r>
        <w:rPr>
          <w:rFonts w:ascii="Cambria Math" w:eastAsia="Cambria Math" w:hAnsi="Cambria Math" w:cs="Cambria Math"/>
          <w:i/>
          <w:iCs/>
        </w:rPr>
        <w:t>h</w:t>
      </w:r>
      <w:r>
        <w:rPr>
          <w:rFonts w:ascii="Cambria Math" w:eastAsia="Cambria Math" w:hAnsi="Cambria Math" w:cs="Cambria Math"/>
        </w:rPr>
        <w:t>ᵥ⁽</w:t>
      </w:r>
      <w:r>
        <w:rPr>
          <w:rFonts w:ascii="Cambria Math" w:eastAsia="Cambria Math" w:hAnsi="Cambria Math" w:cs="Cambria Math"/>
          <w:i/>
          <w:iCs/>
        </w:rPr>
        <w:t>k</w:t>
      </w:r>
      <w:r>
        <w:rPr>
          <w:rFonts w:ascii="Cambria Math" w:eastAsia="Cambria Math" w:hAnsi="Cambria Math" w:cs="Cambria Math"/>
        </w:rPr>
        <w:t xml:space="preserve">⁺¹⁾ = σ ( </w:t>
      </w:r>
      <w:r>
        <w:rPr>
          <w:rFonts w:ascii="Cambria Math" w:eastAsia="Cambria Math" w:hAnsi="Cambria Math" w:cs="Cambria Math"/>
          <w:i/>
          <w:iCs/>
        </w:rPr>
        <w:t>W</w:t>
      </w:r>
      <w:r>
        <w:rPr>
          <w:rFonts w:ascii="Cambria Math" w:eastAsia="Cambria Math" w:hAnsi="Cambria Math" w:cs="Cambria Math"/>
        </w:rPr>
        <w:t xml:space="preserve">ₖ </w:t>
      </w:r>
      <w:r>
        <w:rPr>
          <w:rFonts w:ascii="Cambria Math" w:eastAsia="Cambria Math" w:hAnsi="Cambria Math" w:cs="Cambria Math"/>
          <w:i/>
          <w:iCs/>
        </w:rPr>
        <w:t>h</w:t>
      </w:r>
      <w:r>
        <w:rPr>
          <w:rFonts w:ascii="Cambria Math" w:eastAsia="Cambria Math" w:hAnsi="Cambria Math" w:cs="Cambria Math"/>
        </w:rPr>
        <w:t>ᵥ⁽</w:t>
      </w:r>
      <w:r>
        <w:rPr>
          <w:rFonts w:ascii="Cambria Math" w:eastAsia="Cambria Math" w:hAnsi="Cambria Math" w:cs="Cambria Math"/>
          <w:i/>
          <w:iCs/>
        </w:rPr>
        <w:t>k</w:t>
      </w:r>
      <w:r>
        <w:rPr>
          <w:rFonts w:ascii="Cambria Math" w:eastAsia="Cambria Math" w:hAnsi="Cambria Math" w:cs="Cambria Math"/>
        </w:rPr>
        <w:t>⁾ + Σᵤ₊</w:t>
      </w:r>
      <w:proofErr w:type="spellStart"/>
      <w:r>
        <w:rPr>
          <w:rFonts w:ascii="Cambria Math" w:eastAsia="Cambria Math" w:hAnsi="Cambria Math" w:cs="Cambria Math"/>
        </w:rPr>
        <w:t>ℕ₍</w:t>
      </w:r>
      <w:r>
        <w:rPr>
          <w:rFonts w:ascii="Cambria Math" w:eastAsia="Cambria Math" w:hAnsi="Cambria Math" w:cs="Cambria Math"/>
          <w:i/>
          <w:iCs/>
        </w:rPr>
        <w:t>v</w:t>
      </w:r>
      <w:proofErr w:type="spellEnd"/>
      <w:r>
        <w:rPr>
          <w:rFonts w:ascii="Cambria Math" w:eastAsia="Cambria Math" w:hAnsi="Cambria Math" w:cs="Cambria Math"/>
        </w:rPr>
        <w:t>₎ αᵤᵥ⁽</w:t>
      </w:r>
      <w:r>
        <w:rPr>
          <w:rFonts w:ascii="Cambria Math" w:eastAsia="Cambria Math" w:hAnsi="Cambria Math" w:cs="Cambria Math"/>
          <w:i/>
          <w:iCs/>
        </w:rPr>
        <w:t>k</w:t>
      </w:r>
      <w:r>
        <w:rPr>
          <w:rFonts w:ascii="Cambria Math" w:eastAsia="Cambria Math" w:hAnsi="Cambria Math" w:cs="Cambria Math"/>
        </w:rPr>
        <w:t xml:space="preserve">⁾ </w:t>
      </w:r>
      <w:r>
        <w:rPr>
          <w:rFonts w:ascii="Cambria Math" w:eastAsia="Cambria Math" w:hAnsi="Cambria Math" w:cs="Cambria Math"/>
          <w:i/>
          <w:iCs/>
        </w:rPr>
        <w:t>W</w:t>
      </w:r>
      <w:r>
        <w:rPr>
          <w:rFonts w:ascii="Cambria Math" w:eastAsia="Cambria Math" w:hAnsi="Cambria Math" w:cs="Cambria Math"/>
        </w:rPr>
        <w:t xml:space="preserve">ₖ </w:t>
      </w:r>
      <w:r>
        <w:rPr>
          <w:rFonts w:ascii="Cambria Math" w:eastAsia="Cambria Math" w:hAnsi="Cambria Math" w:cs="Cambria Math"/>
          <w:i/>
          <w:iCs/>
        </w:rPr>
        <w:t>h</w:t>
      </w:r>
      <w:r>
        <w:rPr>
          <w:rFonts w:ascii="Cambria Math" w:eastAsia="Cambria Math" w:hAnsi="Cambria Math" w:cs="Cambria Math"/>
        </w:rPr>
        <w:t>ᵤ⁽</w:t>
      </w:r>
      <w:r>
        <w:rPr>
          <w:rFonts w:ascii="Cambria Math" w:eastAsia="Cambria Math" w:hAnsi="Cambria Math" w:cs="Cambria Math"/>
          <w:i/>
          <w:iCs/>
        </w:rPr>
        <w:t>k</w:t>
      </w:r>
      <w:r>
        <w:rPr>
          <w:rFonts w:ascii="Cambria Math" w:eastAsia="Cambria Math" w:hAnsi="Cambria Math" w:cs="Cambria Math"/>
        </w:rPr>
        <w:t xml:space="preserve">⁾ ) </w:t>
      </w:r>
    </w:p>
    <w:p w14:paraId="02B78421" w14:textId="77777777" w:rsidR="00CA530C" w:rsidRDefault="0041370B">
      <w:pPr>
        <w:spacing w:after="160" w:line="300" w:lineRule="auto"/>
        <w:jc w:val="both"/>
      </w:pPr>
      <w:r>
        <w:t xml:space="preserve">where </w:t>
      </w:r>
      <w:proofErr w:type="spellStart"/>
      <w:r>
        <w:rPr>
          <w:i/>
          <w:iCs/>
        </w:rPr>
        <w:t>h_v</w:t>
      </w:r>
      <w:proofErr w:type="spellEnd"/>
      <w:r>
        <w:rPr>
          <w:i/>
          <w:iCs/>
        </w:rPr>
        <w:t>^(k)</w:t>
      </w:r>
      <w:r>
        <w:t xml:space="preserve"> is the representation of node </w:t>
      </w:r>
      <w:r>
        <w:rPr>
          <w:i/>
          <w:iCs/>
        </w:rPr>
        <w:t>v</w:t>
      </w:r>
      <w:r>
        <w:t xml:space="preserve"> at layer </w:t>
      </w:r>
      <w:r>
        <w:rPr>
          <w:i/>
          <w:iCs/>
        </w:rPr>
        <w:t>k</w:t>
      </w:r>
      <w:r>
        <w:t xml:space="preserve">, </w:t>
      </w:r>
      <w:r>
        <w:rPr>
          <w:i/>
          <w:iCs/>
        </w:rPr>
        <w:t>N(v)</w:t>
      </w:r>
      <w:r>
        <w:t xml:space="preserve"> is the neighborhood of </w:t>
      </w:r>
      <w:r>
        <w:rPr>
          <w:i/>
          <w:iCs/>
        </w:rPr>
        <w:t>v</w:t>
      </w:r>
      <w:r>
        <w:t xml:space="preserve">, </w:t>
      </w:r>
      <w:r>
        <w:rPr>
          <w:i/>
          <w:iCs/>
        </w:rPr>
        <w:t>α_</w:t>
      </w:r>
      <w:proofErr w:type="spellStart"/>
      <w:r>
        <w:rPr>
          <w:i/>
          <w:iCs/>
        </w:rPr>
        <w:t>uv</w:t>
      </w:r>
      <w:proofErr w:type="spellEnd"/>
      <w:r>
        <w:rPr>
          <w:i/>
          <w:iCs/>
        </w:rPr>
        <w:t>^(k)</w:t>
      </w:r>
      <w:r>
        <w:t xml:space="preserve"> are learned attention weights, </w:t>
      </w:r>
      <w:proofErr w:type="spellStart"/>
      <w:r>
        <w:rPr>
          <w:i/>
          <w:iCs/>
        </w:rPr>
        <w:t>W_k</w:t>
      </w:r>
      <w:proofErr w:type="spellEnd"/>
      <w:r>
        <w:t xml:space="preserve"> is the layer-</w:t>
      </w:r>
      <w:r>
        <w:rPr>
          <w:i/>
          <w:iCs/>
        </w:rPr>
        <w:t>k</w:t>
      </w:r>
      <w:r>
        <w:t xml:space="preserve"> weight matrix, and σ is a nonlinearity. The detection decision uses the final-layer representation: </w:t>
      </w:r>
      <w:proofErr w:type="spellStart"/>
      <w:r>
        <w:rPr>
          <w:i/>
          <w:iCs/>
        </w:rPr>
        <w:t>ŷ_v</w:t>
      </w:r>
      <w:proofErr w:type="spellEnd"/>
      <w:r>
        <w:rPr>
          <w:i/>
          <w:iCs/>
        </w:rPr>
        <w:t xml:space="preserve"> = </w:t>
      </w:r>
      <w:proofErr w:type="spellStart"/>
      <w:r>
        <w:rPr>
          <w:i/>
          <w:iCs/>
        </w:rPr>
        <w:t>f_θ</w:t>
      </w:r>
      <w:proofErr w:type="spellEnd"/>
      <w:r>
        <w:rPr>
          <w:i/>
          <w:iCs/>
        </w:rPr>
        <w:t>(</w:t>
      </w:r>
      <w:proofErr w:type="spellStart"/>
      <w:r>
        <w:rPr>
          <w:i/>
          <w:iCs/>
        </w:rPr>
        <w:t>h_v</w:t>
      </w:r>
      <w:proofErr w:type="spellEnd"/>
      <w:r>
        <w:rPr>
          <w:i/>
          <w:iCs/>
        </w:rPr>
        <w:t>^(K))</w:t>
      </w:r>
      <w:r>
        <w:t>.</w:t>
      </w:r>
    </w:p>
    <w:p w14:paraId="5554A24E" w14:textId="77777777" w:rsidR="00CA530C" w:rsidRDefault="0041370B">
      <w:pPr>
        <w:spacing w:after="200" w:line="300" w:lineRule="auto"/>
        <w:jc w:val="both"/>
      </w:pPr>
      <w:r>
        <w:t>The choice of GAT is deliberate. Attention coefficients carry interpretive value—they identify which neighbors contributed most to a node's classification—providing a partial explanation as a structural feature of the model. The Explainability Layer (Section 4.2) extends this with richer explanation forms.</w:t>
      </w:r>
    </w:p>
    <w:p w14:paraId="2AE36CA5" w14:textId="77777777" w:rsidR="00CA530C" w:rsidRDefault="0041370B">
      <w:pPr>
        <w:pStyle w:val="Heading2"/>
      </w:pPr>
      <w:r>
        <w:t>4.2 Explainability Layer</w:t>
      </w:r>
    </w:p>
    <w:p w14:paraId="71CBCC68" w14:textId="77777777" w:rsidR="00CA530C" w:rsidRDefault="0041370B">
      <w:pPr>
        <w:spacing w:after="160" w:line="300" w:lineRule="auto"/>
        <w:jc w:val="both"/>
      </w:pPr>
      <w:r>
        <w:t>The Explainability Layer converts detection outputs into reasoning humans can interpret. The research will examine multiple representational forms appropriate to graph-based detection:</w:t>
      </w:r>
    </w:p>
    <w:p w14:paraId="326DA326" w14:textId="77777777" w:rsidR="00CA530C" w:rsidRDefault="0041370B">
      <w:pPr>
        <w:pStyle w:val="ListParagraph"/>
        <w:numPr>
          <w:ilvl w:val="0"/>
          <w:numId w:val="2"/>
        </w:numPr>
        <w:spacing w:after="80" w:line="300" w:lineRule="auto"/>
      </w:pPr>
      <w:r>
        <w:t>Attention-based attributions, exposing the learned attention weights as a first-order explanation of which neighbors mattered.</w:t>
      </w:r>
    </w:p>
    <w:p w14:paraId="3318BBE7" w14:textId="77777777" w:rsidR="00CA530C" w:rsidRDefault="0041370B">
      <w:pPr>
        <w:pStyle w:val="ListParagraph"/>
        <w:numPr>
          <w:ilvl w:val="0"/>
          <w:numId w:val="2"/>
        </w:numPr>
        <w:spacing w:after="80" w:line="300" w:lineRule="auto"/>
      </w:pPr>
      <w:r>
        <w:t>Subgraph explanations, identifying the minimal subgraph around the decision node that preserves the classification.</w:t>
      </w:r>
    </w:p>
    <w:p w14:paraId="56ED5140" w14:textId="77777777" w:rsidR="00CA530C" w:rsidRDefault="0041370B">
      <w:pPr>
        <w:pStyle w:val="ListParagraph"/>
        <w:numPr>
          <w:ilvl w:val="0"/>
          <w:numId w:val="2"/>
        </w:numPr>
        <w:spacing w:after="80" w:line="300" w:lineRule="auto"/>
      </w:pPr>
      <w:r>
        <w:t>Path-based explanations, identifying influential paths through the graph that contributed to the decision.</w:t>
      </w:r>
    </w:p>
    <w:p w14:paraId="6952F743" w14:textId="77777777" w:rsidR="00CA530C" w:rsidRDefault="0041370B">
      <w:pPr>
        <w:pStyle w:val="ListParagraph"/>
        <w:numPr>
          <w:ilvl w:val="0"/>
          <w:numId w:val="2"/>
        </w:numPr>
        <w:spacing w:after="80" w:line="300" w:lineRule="auto"/>
      </w:pPr>
      <w:r>
        <w:t>Counterfactual graph explanations, describing the smallest graph modification that would have changed the decision.</w:t>
      </w:r>
    </w:p>
    <w:p w14:paraId="2EE4BE93" w14:textId="77777777" w:rsidR="00CA530C" w:rsidRDefault="0041370B">
      <w:pPr>
        <w:pStyle w:val="ListParagraph"/>
        <w:numPr>
          <w:ilvl w:val="0"/>
          <w:numId w:val="2"/>
        </w:numPr>
        <w:spacing w:after="160" w:line="300" w:lineRule="auto"/>
      </w:pPr>
      <w:r>
        <w:t>Confidence scoring that makes the model's uncertainty visible to operators.</w:t>
      </w:r>
    </w:p>
    <w:p w14:paraId="186FE333" w14:textId="77777777" w:rsidR="00CA530C" w:rsidRDefault="0041370B">
      <w:pPr>
        <w:spacing w:after="200" w:line="300" w:lineRule="auto"/>
        <w:jc w:val="both"/>
      </w:pPr>
      <w:r>
        <w:t xml:space="preserve">Formally, the explanation generator </w:t>
      </w:r>
      <w:proofErr w:type="spellStart"/>
      <w:r>
        <w:rPr>
          <w:i/>
          <w:iCs/>
        </w:rPr>
        <w:t>g_φ</w:t>
      </w:r>
      <w:proofErr w:type="spellEnd"/>
      <w:r>
        <w:t xml:space="preserve"> takes the detection model and an input and produces an explanation: </w:t>
      </w:r>
      <w:proofErr w:type="spellStart"/>
      <w:r>
        <w:rPr>
          <w:i/>
          <w:iCs/>
        </w:rPr>
        <w:t>e_v</w:t>
      </w:r>
      <w:proofErr w:type="spellEnd"/>
      <w:r>
        <w:rPr>
          <w:i/>
          <w:iCs/>
        </w:rPr>
        <w:t xml:space="preserve"> = </w:t>
      </w:r>
      <w:proofErr w:type="spellStart"/>
      <w:r>
        <w:rPr>
          <w:i/>
          <w:iCs/>
        </w:rPr>
        <w:t>g_φ</w:t>
      </w:r>
      <w:proofErr w:type="spellEnd"/>
      <w:r>
        <w:rPr>
          <w:i/>
          <w:iCs/>
        </w:rPr>
        <w:t>(</w:t>
      </w:r>
      <w:proofErr w:type="spellStart"/>
      <w:r>
        <w:rPr>
          <w:i/>
          <w:iCs/>
        </w:rPr>
        <w:t>f_θ</w:t>
      </w:r>
      <w:proofErr w:type="spellEnd"/>
      <w:r>
        <w:rPr>
          <w:i/>
          <w:iCs/>
        </w:rPr>
        <w:t>, G, v)</w:t>
      </w:r>
      <w:r>
        <w:t>. The Explainability Layer is trained on the robust detector (see Section 4.6) rather than on a separately trained model, so explanations reflect the same reasoning that produced the decision.</w:t>
      </w:r>
    </w:p>
    <w:p w14:paraId="176BCE2F" w14:textId="77777777" w:rsidR="00CA530C" w:rsidRDefault="0041370B">
      <w:pPr>
        <w:pStyle w:val="Heading2"/>
      </w:pPr>
      <w:r>
        <w:t>4.3 Human Oversight Layer</w:t>
      </w:r>
    </w:p>
    <w:p w14:paraId="1DD18C76" w14:textId="77777777" w:rsidR="00CA530C" w:rsidRDefault="0041370B">
      <w:pPr>
        <w:spacing w:after="160" w:line="300" w:lineRule="auto"/>
        <w:jc w:val="both"/>
      </w:pPr>
      <w:r>
        <w:t>Different stakeholders need different things from an explanation. Analysts require rapid technical detail; incident responders need actionable context; auditors require structured compliance evidence; executives require risk-summarized views. The Human Oversight Layer translates a single underlying explanation into stakeholder-appropriate forms while preserving fidelity. It also defines:</w:t>
      </w:r>
    </w:p>
    <w:p w14:paraId="0B0644DE" w14:textId="77777777" w:rsidR="00CA530C" w:rsidRDefault="0041370B">
      <w:pPr>
        <w:pStyle w:val="ListParagraph"/>
        <w:numPr>
          <w:ilvl w:val="0"/>
          <w:numId w:val="2"/>
        </w:numPr>
        <w:spacing w:after="80" w:line="300" w:lineRule="auto"/>
      </w:pPr>
      <w:r>
        <w:t>Approval thresholds for high-impact automated actions.</w:t>
      </w:r>
    </w:p>
    <w:p w14:paraId="0A8C9C65" w14:textId="77777777" w:rsidR="00CA530C" w:rsidRDefault="0041370B">
      <w:pPr>
        <w:pStyle w:val="ListParagraph"/>
        <w:numPr>
          <w:ilvl w:val="0"/>
          <w:numId w:val="2"/>
        </w:numPr>
        <w:spacing w:after="80" w:line="300" w:lineRule="auto"/>
      </w:pPr>
      <w:r>
        <w:t>Analyst feedback loops that inform model and explanation refinement.</w:t>
      </w:r>
    </w:p>
    <w:p w14:paraId="4F587474" w14:textId="77777777" w:rsidR="00CA530C" w:rsidRDefault="0041370B">
      <w:pPr>
        <w:pStyle w:val="ListParagraph"/>
        <w:numPr>
          <w:ilvl w:val="0"/>
          <w:numId w:val="2"/>
        </w:numPr>
        <w:spacing w:after="80" w:line="300" w:lineRule="auto"/>
      </w:pPr>
      <w:r>
        <w:t>Escalation workflows for ambiguous or high-confidence-but-rare cases.</w:t>
      </w:r>
    </w:p>
    <w:p w14:paraId="0F7874F6" w14:textId="77777777" w:rsidR="00CA530C" w:rsidRDefault="0041370B">
      <w:pPr>
        <w:pStyle w:val="ListParagraph"/>
        <w:numPr>
          <w:ilvl w:val="0"/>
          <w:numId w:val="2"/>
        </w:numPr>
        <w:spacing w:after="160" w:line="300" w:lineRule="auto"/>
      </w:pPr>
      <w:r>
        <w:t>Explanation dashboards calibrated to operational role.</w:t>
      </w:r>
    </w:p>
    <w:p w14:paraId="1B2BCDA6" w14:textId="77777777" w:rsidR="00CA530C" w:rsidRDefault="0041370B">
      <w:pPr>
        <w:pStyle w:val="Heading2"/>
      </w:pPr>
      <w:r>
        <w:t>4.4 Governance and Audit Layer</w:t>
      </w:r>
    </w:p>
    <w:p w14:paraId="7A7D0955" w14:textId="77777777" w:rsidR="00CA530C" w:rsidRDefault="0041370B">
      <w:pPr>
        <w:spacing w:after="200" w:line="300" w:lineRule="auto"/>
        <w:jc w:val="both"/>
      </w:pPr>
      <w:r>
        <w:t>This layer maintains decision logs, explanation history, override actions, confidence metrics, and policy compliance evidence. It is the practical embodiment of the GOVERN function in the AI RMF. It is what allows an organization to demonstrate, after the fact and to an external party, that its AI security decisions were accountable—that humans were in the loop where they should have been, that overrides were tracked, and that the system's behavior is reproducible under audit.</w:t>
      </w:r>
    </w:p>
    <w:p w14:paraId="29DBEC47" w14:textId="77777777" w:rsidR="00CA530C" w:rsidRDefault="0041370B">
      <w:pPr>
        <w:pStyle w:val="Heading2"/>
      </w:pPr>
      <w:r>
        <w:t>4.5 Adversarial Resilience Layer</w:t>
      </w:r>
    </w:p>
    <w:p w14:paraId="750436EF" w14:textId="77777777" w:rsidR="00CA530C" w:rsidRDefault="0041370B">
      <w:pPr>
        <w:spacing w:after="160" w:line="300" w:lineRule="auto"/>
        <w:jc w:val="both"/>
      </w:pPr>
      <w:r>
        <w:t>This layer addresses two threat surfaces specific to graph-based explainable cybersecurity systems.</w:t>
      </w:r>
    </w:p>
    <w:p w14:paraId="3DBC522E" w14:textId="77777777" w:rsidR="00CA530C" w:rsidRDefault="0041370B">
      <w:pPr>
        <w:spacing w:after="160" w:line="300" w:lineRule="auto"/>
        <w:jc w:val="both"/>
      </w:pPr>
      <w:r>
        <w:rPr>
          <w:b/>
          <w:bCs/>
        </w:rPr>
        <w:t xml:space="preserve">Graph-structure attacks. </w:t>
      </w:r>
      <w:r>
        <w:t>Adversaries manipulate the graph itself—adding fake edges, fake nodes, or modifying relationships—to make a malicious entity look legitimate. This threat is realistic in cybersecurity: attackers do create sock puppet accounts, fabricate relationships, and inject decoy entities. Formally, a graph-structure attack seeks the minimal graph perturbation (</w:t>
      </w:r>
      <w:r>
        <w:rPr>
          <w:i/>
          <w:iCs/>
        </w:rPr>
        <w:t>ΔE, ΔV</w:t>
      </w:r>
      <w:r>
        <w:t>) that flips the classification:</w:t>
      </w:r>
    </w:p>
    <w:p w14:paraId="7CA98327" w14:textId="77777777" w:rsidR="00CA530C" w:rsidRDefault="0041370B">
      <w:pPr>
        <w:spacing w:before="120" w:after="200" w:line="300" w:lineRule="auto"/>
        <w:ind w:left="720" w:right="720"/>
        <w:jc w:val="center"/>
      </w:pPr>
      <w:r>
        <w:rPr>
          <w:rFonts w:ascii="Cambria Math" w:eastAsia="Cambria Math" w:hAnsi="Cambria Math" w:cs="Cambria Math"/>
        </w:rPr>
        <w:t>min(Δ</w:t>
      </w:r>
      <w:r>
        <w:rPr>
          <w:rFonts w:ascii="Cambria Math" w:eastAsia="Cambria Math" w:hAnsi="Cambria Math" w:cs="Cambria Math"/>
          <w:i/>
          <w:iCs/>
        </w:rPr>
        <w:t>E</w:t>
      </w:r>
      <w:r>
        <w:rPr>
          <w:rFonts w:ascii="Cambria Math" w:eastAsia="Cambria Math" w:hAnsi="Cambria Math" w:cs="Cambria Math"/>
        </w:rPr>
        <w:t>, Δ</w:t>
      </w:r>
      <w:r>
        <w:rPr>
          <w:rFonts w:ascii="Cambria Math" w:eastAsia="Cambria Math" w:hAnsi="Cambria Math" w:cs="Cambria Math"/>
          <w:i/>
          <w:iCs/>
        </w:rPr>
        <w:t>V</w:t>
      </w:r>
      <w:r>
        <w:rPr>
          <w:rFonts w:ascii="Cambria Math" w:eastAsia="Cambria Math" w:hAnsi="Cambria Math" w:cs="Cambria Math"/>
        </w:rPr>
        <w:t>)  ( ‖Δ</w:t>
      </w:r>
      <w:r>
        <w:rPr>
          <w:rFonts w:ascii="Cambria Math" w:eastAsia="Cambria Math" w:hAnsi="Cambria Math" w:cs="Cambria Math"/>
          <w:i/>
          <w:iCs/>
        </w:rPr>
        <w:t>E</w:t>
      </w:r>
      <w:r>
        <w:rPr>
          <w:rFonts w:ascii="Cambria Math" w:eastAsia="Cambria Math" w:hAnsi="Cambria Math" w:cs="Cambria Math"/>
        </w:rPr>
        <w:t>‖ + ‖Δ</w:t>
      </w:r>
      <w:r>
        <w:rPr>
          <w:rFonts w:ascii="Cambria Math" w:eastAsia="Cambria Math" w:hAnsi="Cambria Math" w:cs="Cambria Math"/>
          <w:i/>
          <w:iCs/>
        </w:rPr>
        <w:t>V</w:t>
      </w:r>
      <w:r>
        <w:rPr>
          <w:rFonts w:ascii="Cambria Math" w:eastAsia="Cambria Math" w:hAnsi="Cambria Math" w:cs="Cambria Math"/>
        </w:rPr>
        <w:t xml:space="preserve">‖ )   subject to   </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w:t>
      </w:r>
      <w:r>
        <w:rPr>
          <w:rFonts w:ascii="Cambria Math" w:eastAsia="Cambria Math" w:hAnsi="Cambria Math" w:cs="Cambria Math"/>
          <w:i/>
          <w:iCs/>
        </w:rPr>
        <w:t>G</w:t>
      </w:r>
      <w:r>
        <w:rPr>
          <w:rFonts w:ascii="Cambria Math" w:eastAsia="Cambria Math" w:hAnsi="Cambria Math" w:cs="Cambria Math"/>
        </w:rPr>
        <w:t xml:space="preserve"> + (Δ</w:t>
      </w:r>
      <w:r>
        <w:rPr>
          <w:rFonts w:ascii="Cambria Math" w:eastAsia="Cambria Math" w:hAnsi="Cambria Math" w:cs="Cambria Math"/>
          <w:i/>
          <w:iCs/>
        </w:rPr>
        <w:t>E</w:t>
      </w:r>
      <w:r>
        <w:rPr>
          <w:rFonts w:ascii="Cambria Math" w:eastAsia="Cambria Math" w:hAnsi="Cambria Math" w:cs="Cambria Math"/>
        </w:rPr>
        <w:t>, Δ</w:t>
      </w:r>
      <w:r>
        <w:rPr>
          <w:rFonts w:ascii="Cambria Math" w:eastAsia="Cambria Math" w:hAnsi="Cambria Math" w:cs="Cambria Math"/>
          <w:i/>
          <w:iCs/>
        </w:rPr>
        <w:t>V</w:t>
      </w:r>
      <w:r>
        <w:rPr>
          <w:rFonts w:ascii="Cambria Math" w:eastAsia="Cambria Math" w:hAnsi="Cambria Math" w:cs="Cambria Math"/>
        </w:rPr>
        <w:t xml:space="preserve">)) = </w:t>
      </w:r>
      <w:proofErr w:type="spellStart"/>
      <w:r>
        <w:rPr>
          <w:rFonts w:ascii="Cambria Math" w:eastAsia="Cambria Math" w:hAnsi="Cambria Math" w:cs="Cambria Math"/>
          <w:i/>
          <w:iCs/>
        </w:rPr>
        <w:t>ŷ</w:t>
      </w:r>
      <w:r>
        <w:rPr>
          <w:rFonts w:ascii="Cambria Math" w:eastAsia="Cambria Math" w:hAnsi="Cambria Math" w:cs="Cambria Math"/>
        </w:rPr>
        <w:t>target</w:t>
      </w:r>
      <w:proofErr w:type="spellEnd"/>
      <w:r>
        <w:rPr>
          <w:rFonts w:ascii="Cambria Math" w:eastAsia="Cambria Math" w:hAnsi="Cambria Math" w:cs="Cambria Math"/>
        </w:rPr>
        <w:t>,   ‖Δ</w:t>
      </w:r>
      <w:r>
        <w:rPr>
          <w:rFonts w:ascii="Cambria Math" w:eastAsia="Cambria Math" w:hAnsi="Cambria Math" w:cs="Cambria Math"/>
          <w:i/>
          <w:iCs/>
        </w:rPr>
        <w:t>E</w:t>
      </w:r>
      <w:r>
        <w:rPr>
          <w:rFonts w:ascii="Cambria Math" w:eastAsia="Cambria Math" w:hAnsi="Cambria Math" w:cs="Cambria Math"/>
        </w:rPr>
        <w:t>‖ + ‖Δ</w:t>
      </w:r>
      <w:r>
        <w:rPr>
          <w:rFonts w:ascii="Cambria Math" w:eastAsia="Cambria Math" w:hAnsi="Cambria Math" w:cs="Cambria Math"/>
          <w:i/>
          <w:iCs/>
        </w:rPr>
        <w:t>V</w:t>
      </w:r>
      <w:r>
        <w:rPr>
          <w:rFonts w:ascii="Cambria Math" w:eastAsia="Cambria Math" w:hAnsi="Cambria Math" w:cs="Cambria Math"/>
        </w:rPr>
        <w:t xml:space="preserve">‖ ≤ </w:t>
      </w:r>
      <w:proofErr w:type="spellStart"/>
      <w:r>
        <w:rPr>
          <w:rFonts w:ascii="Cambria Math" w:eastAsia="Cambria Math" w:hAnsi="Cambria Math" w:cs="Cambria Math"/>
        </w:rPr>
        <w:t>εG</w:t>
      </w:r>
      <w:proofErr w:type="spellEnd"/>
    </w:p>
    <w:p w14:paraId="0E196436" w14:textId="77777777" w:rsidR="00CA530C" w:rsidRDefault="0041370B">
      <w:pPr>
        <w:spacing w:after="160" w:line="300" w:lineRule="auto"/>
        <w:jc w:val="both"/>
      </w:pPr>
      <w:r>
        <w:t xml:space="preserve">where </w:t>
      </w:r>
      <w:proofErr w:type="spellStart"/>
      <w:r>
        <w:t>ε</w:t>
      </w:r>
      <w:r>
        <w:rPr>
          <w:i/>
          <w:iCs/>
        </w:rPr>
        <w:t>G</w:t>
      </w:r>
      <w:proofErr w:type="spellEnd"/>
      <w:r>
        <w:t xml:space="preserve"> is the attack budget on graph modifications. The Adversarial Resilience Layer trains and evaluates the detector to maintain correct classification under such perturbations.</w:t>
      </w:r>
    </w:p>
    <w:p w14:paraId="7F261499" w14:textId="77777777" w:rsidR="00CA530C" w:rsidRDefault="0041370B">
      <w:pPr>
        <w:spacing w:after="160" w:line="300" w:lineRule="auto"/>
        <w:jc w:val="both"/>
      </w:pPr>
      <w:r>
        <w:rPr>
          <w:b/>
          <w:bCs/>
        </w:rPr>
        <w:t xml:space="preserve">Explanation-targeted attacks. </w:t>
      </w:r>
      <w:r>
        <w:t>Adversaries craft input perturbations that do not change the detector's decision but corrupt the explanation, making it useless or misleading to human operators. The attack objective is:</w:t>
      </w:r>
    </w:p>
    <w:p w14:paraId="72F13F7E" w14:textId="77777777" w:rsidR="00CA530C" w:rsidRDefault="0041370B">
      <w:pPr>
        <w:spacing w:before="120" w:after="200" w:line="300" w:lineRule="auto"/>
        <w:ind w:left="720" w:right="720"/>
        <w:jc w:val="center"/>
      </w:pPr>
      <w:proofErr w:type="spellStart"/>
      <w:r>
        <w:rPr>
          <w:rFonts w:ascii="Cambria Math" w:eastAsia="Cambria Math" w:hAnsi="Cambria Math" w:cs="Cambria Math"/>
        </w:rPr>
        <w:t>maxδ</w:t>
      </w:r>
      <w:proofErr w:type="spellEnd"/>
      <w:r>
        <w:rPr>
          <w:rFonts w:ascii="Cambria Math" w:eastAsia="Cambria Math" w:hAnsi="Cambria Math" w:cs="Cambria Math"/>
        </w:rPr>
        <w:t xml:space="preserve">  </w:t>
      </w:r>
      <w:r>
        <w:rPr>
          <w:rFonts w:ascii="Cambria Math" w:eastAsia="Cambria Math" w:hAnsi="Cambria Math" w:cs="Cambria Math"/>
          <w:i/>
          <w:iCs/>
        </w:rPr>
        <w:t>D</w:t>
      </w:r>
      <w:r>
        <w:rPr>
          <w:rFonts w:ascii="Cambria Math" w:eastAsia="Cambria Math" w:hAnsi="Cambria Math" w:cs="Cambria Math"/>
        </w:rPr>
        <w:t xml:space="preserve">( </w:t>
      </w:r>
      <w:proofErr w:type="spellStart"/>
      <w:r>
        <w:rPr>
          <w:rFonts w:ascii="Cambria Math" w:eastAsia="Cambria Math" w:hAnsi="Cambria Math" w:cs="Cambria Math"/>
          <w:i/>
          <w:iCs/>
        </w:rPr>
        <w:t>g</w:t>
      </w:r>
      <w:r>
        <w:rPr>
          <w:rFonts w:ascii="Cambria Math" w:eastAsia="Cambria Math" w:hAnsi="Cambria Math" w:cs="Cambria Math"/>
        </w:rPr>
        <w:t>φ</w:t>
      </w:r>
      <w:proofErr w:type="spellEnd"/>
      <w:r>
        <w:rPr>
          <w:rFonts w:ascii="Cambria Math" w:eastAsia="Cambria Math" w:hAnsi="Cambria Math" w:cs="Cambria Math"/>
        </w:rPr>
        <w:t>(</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 xml:space="preserve">, </w:t>
      </w:r>
      <w:r>
        <w:rPr>
          <w:rFonts w:ascii="Cambria Math" w:eastAsia="Cambria Math" w:hAnsi="Cambria Math" w:cs="Cambria Math"/>
          <w:i/>
          <w:iCs/>
        </w:rPr>
        <w:t>x</w:t>
      </w:r>
      <w:r>
        <w:rPr>
          <w:rFonts w:ascii="Cambria Math" w:eastAsia="Cambria Math" w:hAnsi="Cambria Math" w:cs="Cambria Math"/>
        </w:rPr>
        <w:t xml:space="preserve">),  </w:t>
      </w:r>
      <w:proofErr w:type="spellStart"/>
      <w:r>
        <w:rPr>
          <w:rFonts w:ascii="Cambria Math" w:eastAsia="Cambria Math" w:hAnsi="Cambria Math" w:cs="Cambria Math"/>
          <w:i/>
          <w:iCs/>
        </w:rPr>
        <w:t>g</w:t>
      </w:r>
      <w:r>
        <w:rPr>
          <w:rFonts w:ascii="Cambria Math" w:eastAsia="Cambria Math" w:hAnsi="Cambria Math" w:cs="Cambria Math"/>
        </w:rPr>
        <w:t>φ</w:t>
      </w:r>
      <w:proofErr w:type="spellEnd"/>
      <w:r>
        <w:rPr>
          <w:rFonts w:ascii="Cambria Math" w:eastAsia="Cambria Math" w:hAnsi="Cambria Math" w:cs="Cambria Math"/>
        </w:rPr>
        <w:t>(</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 xml:space="preserve">, </w:t>
      </w:r>
      <w:r>
        <w:rPr>
          <w:rFonts w:ascii="Cambria Math" w:eastAsia="Cambria Math" w:hAnsi="Cambria Math" w:cs="Cambria Math"/>
          <w:i/>
          <w:iCs/>
        </w:rPr>
        <w:t>x</w:t>
      </w:r>
      <w:r>
        <w:rPr>
          <w:rFonts w:ascii="Cambria Math" w:eastAsia="Cambria Math" w:hAnsi="Cambria Math" w:cs="Cambria Math"/>
        </w:rPr>
        <w:t xml:space="preserve"> + δ) )   subject to   </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w:t>
      </w:r>
      <w:r>
        <w:rPr>
          <w:rFonts w:ascii="Cambria Math" w:eastAsia="Cambria Math" w:hAnsi="Cambria Math" w:cs="Cambria Math"/>
          <w:i/>
          <w:iCs/>
        </w:rPr>
        <w:t>x</w:t>
      </w:r>
      <w:r>
        <w:rPr>
          <w:rFonts w:ascii="Cambria Math" w:eastAsia="Cambria Math" w:hAnsi="Cambria Math" w:cs="Cambria Math"/>
        </w:rPr>
        <w:t xml:space="preserve"> + δ) = </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w:t>
      </w:r>
      <w:r>
        <w:rPr>
          <w:rFonts w:ascii="Cambria Math" w:eastAsia="Cambria Math" w:hAnsi="Cambria Math" w:cs="Cambria Math"/>
          <w:i/>
          <w:iCs/>
        </w:rPr>
        <w:t>x</w:t>
      </w:r>
      <w:r>
        <w:rPr>
          <w:rFonts w:ascii="Cambria Math" w:eastAsia="Cambria Math" w:hAnsi="Cambria Math" w:cs="Cambria Math"/>
        </w:rPr>
        <w:t>),   ‖δ‖ ≤ ε</w:t>
      </w:r>
    </w:p>
    <w:p w14:paraId="2C1DC62D" w14:textId="77777777" w:rsidR="00CA530C" w:rsidRDefault="0041370B">
      <w:pPr>
        <w:spacing w:after="160" w:line="300" w:lineRule="auto"/>
        <w:jc w:val="both"/>
      </w:pPr>
      <w:r>
        <w:t xml:space="preserve">where </w:t>
      </w:r>
      <w:r>
        <w:rPr>
          <w:i/>
          <w:iCs/>
        </w:rPr>
        <w:t>D</w:t>
      </w:r>
      <w:r>
        <w:t xml:space="preserve"> is a divergence measure between explanations (such as L₂ distance between attribution vectors or KL divergence between attention distributions). This threat surface is documented in the broader XAI literature (Ghorbani et al., 2019) but under-addressed in cybersecurity contexts where explanations support critical human oversight decisions.</w:t>
      </w:r>
    </w:p>
    <w:p w14:paraId="0D487A80" w14:textId="77777777" w:rsidR="00CA530C" w:rsidRDefault="0041370B">
      <w:pPr>
        <w:spacing w:after="160" w:line="300" w:lineRule="auto"/>
        <w:jc w:val="both"/>
      </w:pPr>
      <w:r>
        <w:rPr>
          <w:b/>
          <w:bCs/>
        </w:rPr>
        <w:t xml:space="preserve">Defense via explanation stability. </w:t>
      </w:r>
      <w:r>
        <w:t>The framework defends against explanation-targeted attacks by training and evaluating for explanation stability. We define stability as:</w:t>
      </w:r>
    </w:p>
    <w:p w14:paraId="30904549" w14:textId="77777777" w:rsidR="00CA530C" w:rsidRDefault="0041370B">
      <w:pPr>
        <w:spacing w:before="120" w:after="200" w:line="300" w:lineRule="auto"/>
        <w:ind w:left="720" w:right="720"/>
        <w:jc w:val="center"/>
      </w:pPr>
      <w:r>
        <w:rPr>
          <w:rFonts w:ascii="Cambria Math" w:eastAsia="Cambria Math" w:hAnsi="Cambria Math" w:cs="Cambria Math"/>
          <w:i/>
          <w:iCs/>
        </w:rPr>
        <w:t>R</w:t>
      </w:r>
      <w:r>
        <w:rPr>
          <w:rFonts w:ascii="Cambria Math" w:eastAsia="Cambria Math" w:hAnsi="Cambria Math" w:cs="Cambria Math"/>
        </w:rPr>
        <w:t>e(</w:t>
      </w:r>
      <w:r>
        <w:rPr>
          <w:rFonts w:ascii="Cambria Math" w:eastAsia="Cambria Math" w:hAnsi="Cambria Math" w:cs="Cambria Math"/>
          <w:i/>
          <w:iCs/>
        </w:rPr>
        <w:t>x</w:t>
      </w:r>
      <w:r>
        <w:rPr>
          <w:rFonts w:ascii="Cambria Math" w:eastAsia="Cambria Math" w:hAnsi="Cambria Math" w:cs="Cambria Math"/>
        </w:rPr>
        <w:t xml:space="preserve">) = 1 −  </w:t>
      </w:r>
      <w:r>
        <w:rPr>
          <w:rFonts w:ascii="Cambria Math" w:eastAsia="Cambria Math" w:hAnsi="Cambria Math" w:cs="Cambria Math"/>
          <w:i/>
          <w:iCs/>
        </w:rPr>
        <w:t>D</w:t>
      </w:r>
      <w:r>
        <w:rPr>
          <w:rFonts w:ascii="Cambria Math" w:eastAsia="Cambria Math" w:hAnsi="Cambria Math" w:cs="Cambria Math"/>
        </w:rPr>
        <w:t xml:space="preserve">( </w:t>
      </w:r>
      <w:proofErr w:type="spellStart"/>
      <w:r>
        <w:rPr>
          <w:rFonts w:ascii="Cambria Math" w:eastAsia="Cambria Math" w:hAnsi="Cambria Math" w:cs="Cambria Math"/>
          <w:i/>
          <w:iCs/>
        </w:rPr>
        <w:t>g</w:t>
      </w:r>
      <w:r>
        <w:rPr>
          <w:rFonts w:ascii="Cambria Math" w:eastAsia="Cambria Math" w:hAnsi="Cambria Math" w:cs="Cambria Math"/>
        </w:rPr>
        <w:t>φ</w:t>
      </w:r>
      <w:proofErr w:type="spellEnd"/>
      <w:r>
        <w:rPr>
          <w:rFonts w:ascii="Cambria Math" w:eastAsia="Cambria Math" w:hAnsi="Cambria Math" w:cs="Cambria Math"/>
        </w:rPr>
        <w:t>(</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 xml:space="preserve">, </w:t>
      </w:r>
      <w:r>
        <w:rPr>
          <w:rFonts w:ascii="Cambria Math" w:eastAsia="Cambria Math" w:hAnsi="Cambria Math" w:cs="Cambria Math"/>
          <w:i/>
          <w:iCs/>
        </w:rPr>
        <w:t>x</w:t>
      </w:r>
      <w:r>
        <w:rPr>
          <w:rFonts w:ascii="Cambria Math" w:eastAsia="Cambria Math" w:hAnsi="Cambria Math" w:cs="Cambria Math"/>
        </w:rPr>
        <w:t xml:space="preserve">),  </w:t>
      </w:r>
      <w:proofErr w:type="spellStart"/>
      <w:r>
        <w:rPr>
          <w:rFonts w:ascii="Cambria Math" w:eastAsia="Cambria Math" w:hAnsi="Cambria Math" w:cs="Cambria Math"/>
          <w:i/>
          <w:iCs/>
        </w:rPr>
        <w:t>g</w:t>
      </w:r>
      <w:r>
        <w:rPr>
          <w:rFonts w:ascii="Cambria Math" w:eastAsia="Cambria Math" w:hAnsi="Cambria Math" w:cs="Cambria Math"/>
        </w:rPr>
        <w:t>φ</w:t>
      </w:r>
      <w:proofErr w:type="spellEnd"/>
      <w:r>
        <w:rPr>
          <w:rFonts w:ascii="Cambria Math" w:eastAsia="Cambria Math" w:hAnsi="Cambria Math" w:cs="Cambria Math"/>
        </w:rPr>
        <w:t>(</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 xml:space="preserve">, </w:t>
      </w:r>
      <w:r>
        <w:rPr>
          <w:rFonts w:ascii="Cambria Math" w:eastAsia="Cambria Math" w:hAnsi="Cambria Math" w:cs="Cambria Math"/>
          <w:i/>
          <w:iCs/>
        </w:rPr>
        <w:t>x</w:t>
      </w:r>
      <w:r>
        <w:rPr>
          <w:rFonts w:ascii="Cambria Math" w:eastAsia="Cambria Math" w:hAnsi="Cambria Math" w:cs="Cambria Math"/>
        </w:rPr>
        <w:t xml:space="preserve"> + δ) )  /  ( ‖δ‖ + ε₀ )</w:t>
      </w:r>
    </w:p>
    <w:p w14:paraId="29BED19F" w14:textId="77777777" w:rsidR="00CA530C" w:rsidRDefault="0041370B">
      <w:pPr>
        <w:spacing w:after="200" w:line="300" w:lineRule="auto"/>
        <w:jc w:val="both"/>
      </w:pPr>
      <w:r>
        <w:t>where ε</w:t>
      </w:r>
      <w:r>
        <w:rPr>
          <w:i/>
          <w:iCs/>
        </w:rPr>
        <w:t>0</w:t>
      </w:r>
      <w:r>
        <w:t xml:space="preserve"> is a small regularization constant. Stability is high (close to 1) when small input perturbations produce small explanation changes. The framework's evaluation methodology (Section 5.3) treats stability as the primary technical metric given the threat model.</w:t>
      </w:r>
    </w:p>
    <w:p w14:paraId="187C7AE9" w14:textId="77777777" w:rsidR="00CA530C" w:rsidRDefault="0041370B">
      <w:pPr>
        <w:pStyle w:val="Heading2"/>
      </w:pPr>
      <w:r>
        <w:t>4.6 Two-Stage Training Strategy</w:t>
      </w:r>
    </w:p>
    <w:p w14:paraId="7A83EE52" w14:textId="77777777" w:rsidR="00CA530C" w:rsidRDefault="0041370B">
      <w:pPr>
        <w:spacing w:after="160" w:line="300" w:lineRule="auto"/>
        <w:jc w:val="both"/>
      </w:pPr>
      <w:r>
        <w:t>TECDF uses a two-stage training strategy rather than joint multi-objective optimization. The reasoning is empirical: joint optimization of detection accuracy, explainability, robustness, and other objectives is theoretically appealing but often empirically brittle, with conflicting gradients and unstable convergence. Two-stage training preserves the established robustness guarantees of adversarial training while keeping explanation generation a clean, separately validated component.</w:t>
      </w:r>
    </w:p>
    <w:p w14:paraId="325AAA0A" w14:textId="77777777" w:rsidR="00CA530C" w:rsidRDefault="0041370B">
      <w:pPr>
        <w:spacing w:after="160" w:line="300" w:lineRule="auto"/>
        <w:jc w:val="both"/>
      </w:pPr>
      <w:r>
        <w:rPr>
          <w:b/>
          <w:bCs/>
        </w:rPr>
        <w:t xml:space="preserve">Stage 1: </w:t>
      </w:r>
      <w:proofErr w:type="spellStart"/>
      <w:r>
        <w:rPr>
          <w:b/>
          <w:bCs/>
        </w:rPr>
        <w:t>Adversarially</w:t>
      </w:r>
      <w:proofErr w:type="spellEnd"/>
      <w:r>
        <w:rPr>
          <w:b/>
          <w:bCs/>
        </w:rPr>
        <w:t xml:space="preserve"> robust detection. </w:t>
      </w:r>
      <w:r>
        <w:t xml:space="preserve">The detection model </w:t>
      </w:r>
      <w:proofErr w:type="spellStart"/>
      <w:r>
        <w:rPr>
          <w:i/>
          <w:iCs/>
        </w:rPr>
        <w:t>f_θ</w:t>
      </w:r>
      <w:proofErr w:type="spellEnd"/>
      <w:r>
        <w:t xml:space="preserve"> is trained using adversarial training in the formulation of Madry et al. (2018), extended to graph perturbations:</w:t>
      </w:r>
    </w:p>
    <w:p w14:paraId="5B3A0AFC" w14:textId="77777777" w:rsidR="00CA530C" w:rsidRDefault="0041370B">
      <w:pPr>
        <w:spacing w:before="120" w:after="200" w:line="300" w:lineRule="auto"/>
        <w:ind w:left="720" w:right="720"/>
        <w:jc w:val="center"/>
      </w:pPr>
      <w:proofErr w:type="spellStart"/>
      <w:r>
        <w:rPr>
          <w:rFonts w:ascii="Cambria Math" w:eastAsia="Cambria Math" w:hAnsi="Cambria Math" w:cs="Cambria Math"/>
        </w:rPr>
        <w:t>minθ</w:t>
      </w:r>
      <w:proofErr w:type="spellEnd"/>
      <w:r>
        <w:rPr>
          <w:rFonts w:ascii="Cambria Math" w:eastAsia="Cambria Math" w:hAnsi="Cambria Math" w:cs="Cambria Math"/>
        </w:rPr>
        <w:t xml:space="preserve">  E(</w:t>
      </w:r>
      <w:r>
        <w:rPr>
          <w:rFonts w:ascii="Cambria Math" w:eastAsia="Cambria Math" w:hAnsi="Cambria Math" w:cs="Cambria Math"/>
          <w:i/>
          <w:iCs/>
        </w:rPr>
        <w:t>G</w:t>
      </w:r>
      <w:r>
        <w:rPr>
          <w:rFonts w:ascii="Cambria Math" w:eastAsia="Cambria Math" w:hAnsi="Cambria Math" w:cs="Cambria Math"/>
        </w:rPr>
        <w:t xml:space="preserve">, </w:t>
      </w:r>
      <w:r>
        <w:rPr>
          <w:rFonts w:ascii="Cambria Math" w:eastAsia="Cambria Math" w:hAnsi="Cambria Math" w:cs="Cambria Math"/>
          <w:i/>
          <w:iCs/>
        </w:rPr>
        <w:t>y</w:t>
      </w:r>
      <w:r>
        <w:rPr>
          <w:rFonts w:ascii="Cambria Math" w:eastAsia="Cambria Math" w:hAnsi="Cambria Math" w:cs="Cambria Math"/>
        </w:rPr>
        <w:t xml:space="preserve">) [ </w:t>
      </w:r>
      <w:proofErr w:type="spellStart"/>
      <w:r>
        <w:rPr>
          <w:rFonts w:ascii="Cambria Math" w:eastAsia="Cambria Math" w:hAnsi="Cambria Math" w:cs="Cambria Math"/>
        </w:rPr>
        <w:t>maxΔ</w:t>
      </w:r>
      <w:proofErr w:type="spellEnd"/>
      <w:r>
        <w:rPr>
          <w:rFonts w:ascii="Cambria Math" w:eastAsia="Cambria Math" w:hAnsi="Cambria Math" w:cs="Cambria Math"/>
        </w:rPr>
        <w:t xml:space="preserve"> ∈ ΔG(</w:t>
      </w:r>
      <w:proofErr w:type="spellStart"/>
      <w:r>
        <w:rPr>
          <w:rFonts w:ascii="Cambria Math" w:eastAsia="Cambria Math" w:hAnsi="Cambria Math" w:cs="Cambria Math"/>
        </w:rPr>
        <w:t>εG</w:t>
      </w:r>
      <w:proofErr w:type="spellEnd"/>
      <w:r>
        <w:rPr>
          <w:rFonts w:ascii="Cambria Math" w:eastAsia="Cambria Math" w:hAnsi="Cambria Math" w:cs="Cambria Math"/>
        </w:rPr>
        <w:t xml:space="preserve">)  </w:t>
      </w:r>
      <w:proofErr w:type="spellStart"/>
      <w:r>
        <w:rPr>
          <w:rFonts w:ascii="Cambria Math" w:eastAsia="Cambria Math" w:hAnsi="Cambria Math" w:cs="Cambria Math"/>
        </w:rPr>
        <w:t>Ldet</w:t>
      </w:r>
      <w:proofErr w:type="spellEnd"/>
      <w:r>
        <w:rPr>
          <w:rFonts w:ascii="Cambria Math" w:eastAsia="Cambria Math" w:hAnsi="Cambria Math" w:cs="Cambria Math"/>
        </w:rPr>
        <w:t xml:space="preserve">( </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w:t>
      </w:r>
      <w:r>
        <w:rPr>
          <w:rFonts w:ascii="Cambria Math" w:eastAsia="Cambria Math" w:hAnsi="Cambria Math" w:cs="Cambria Math"/>
          <w:i/>
          <w:iCs/>
        </w:rPr>
        <w:t>G</w:t>
      </w:r>
      <w:r>
        <w:rPr>
          <w:rFonts w:ascii="Cambria Math" w:eastAsia="Cambria Math" w:hAnsi="Cambria Math" w:cs="Cambria Math"/>
        </w:rPr>
        <w:t xml:space="preserve"> + Δ), </w:t>
      </w:r>
      <w:r>
        <w:rPr>
          <w:rFonts w:ascii="Cambria Math" w:eastAsia="Cambria Math" w:hAnsi="Cambria Math" w:cs="Cambria Math"/>
          <w:i/>
          <w:iCs/>
        </w:rPr>
        <w:t>y</w:t>
      </w:r>
      <w:r>
        <w:rPr>
          <w:rFonts w:ascii="Cambria Math" w:eastAsia="Cambria Math" w:hAnsi="Cambria Math" w:cs="Cambria Math"/>
        </w:rPr>
        <w:t xml:space="preserve"> ) ]</w:t>
      </w:r>
    </w:p>
    <w:p w14:paraId="5CC45F14" w14:textId="77777777" w:rsidR="00CA530C" w:rsidRDefault="0041370B">
      <w:pPr>
        <w:spacing w:after="160" w:line="300" w:lineRule="auto"/>
        <w:jc w:val="both"/>
      </w:pPr>
      <w:r>
        <w:t>where Δ</w:t>
      </w:r>
      <w:r>
        <w:rPr>
          <w:i/>
          <w:iCs/>
        </w:rPr>
        <w:t>G</w:t>
      </w:r>
      <w:r>
        <w:t>(</w:t>
      </w:r>
      <w:proofErr w:type="spellStart"/>
      <w:r>
        <w:t>ε</w:t>
      </w:r>
      <w:r>
        <w:rPr>
          <w:i/>
          <w:iCs/>
        </w:rPr>
        <w:t>G</w:t>
      </w:r>
      <w:proofErr w:type="spellEnd"/>
      <w:r>
        <w:t xml:space="preserve">) is the set of allowed graph perturbations within budget </w:t>
      </w:r>
      <w:proofErr w:type="spellStart"/>
      <w:r>
        <w:t>ε</w:t>
      </w:r>
      <w:r>
        <w:rPr>
          <w:i/>
          <w:iCs/>
        </w:rPr>
        <w:t>G</w:t>
      </w:r>
      <w:proofErr w:type="spellEnd"/>
      <w:r>
        <w:t xml:space="preserve">, and </w:t>
      </w:r>
      <w:proofErr w:type="spellStart"/>
      <w:r>
        <w:t>L</w:t>
      </w:r>
      <w:r>
        <w:rPr>
          <w:i/>
          <w:iCs/>
        </w:rPr>
        <w:t>det</w:t>
      </w:r>
      <w:proofErr w:type="spellEnd"/>
      <w:r>
        <w:t xml:space="preserve"> is the detection loss. This is the inner-maximization, outer-minimization formulation: train the parameters θ to minimize loss under the worst-case adversary that can perturb the graph within the attack budget.</w:t>
      </w:r>
    </w:p>
    <w:p w14:paraId="748073EE" w14:textId="77777777" w:rsidR="00CA530C" w:rsidRDefault="0041370B">
      <w:pPr>
        <w:spacing w:after="160" w:line="300" w:lineRule="auto"/>
        <w:jc w:val="both"/>
      </w:pPr>
      <w:r>
        <w:rPr>
          <w:b/>
          <w:bCs/>
        </w:rPr>
        <w:t xml:space="preserve">Stage 2: Explanation generator on robust detector. </w:t>
      </w:r>
      <w:r>
        <w:t xml:space="preserve">Once the detector </w:t>
      </w:r>
      <w:proofErr w:type="spellStart"/>
      <w:r>
        <w:rPr>
          <w:i/>
          <w:iCs/>
        </w:rPr>
        <w:t>f_θ</w:t>
      </w:r>
      <w:proofErr w:type="spellEnd"/>
      <w:r>
        <w:t xml:space="preserve"> is trained, the explanation generator </w:t>
      </w:r>
      <w:proofErr w:type="spellStart"/>
      <w:r>
        <w:rPr>
          <w:i/>
          <w:iCs/>
        </w:rPr>
        <w:t>g_φ</w:t>
      </w:r>
      <w:proofErr w:type="spellEnd"/>
      <w:r>
        <w:t xml:space="preserve"> is trained to faithfully represent the detector's reasoning while maintaining stability:</w:t>
      </w:r>
    </w:p>
    <w:p w14:paraId="7EEC605A" w14:textId="77777777" w:rsidR="00CA530C" w:rsidRDefault="0041370B">
      <w:pPr>
        <w:spacing w:before="120" w:after="200" w:line="300" w:lineRule="auto"/>
        <w:ind w:left="720" w:right="720"/>
        <w:jc w:val="center"/>
      </w:pPr>
      <w:proofErr w:type="spellStart"/>
      <w:r>
        <w:rPr>
          <w:rFonts w:ascii="Cambria Math" w:eastAsia="Cambria Math" w:hAnsi="Cambria Math" w:cs="Cambria Math"/>
        </w:rPr>
        <w:t>minφ</w:t>
      </w:r>
      <w:proofErr w:type="spellEnd"/>
      <w:r>
        <w:rPr>
          <w:rFonts w:ascii="Cambria Math" w:eastAsia="Cambria Math" w:hAnsi="Cambria Math" w:cs="Cambria Math"/>
        </w:rPr>
        <w:t xml:space="preserve">  </w:t>
      </w:r>
      <w:proofErr w:type="spellStart"/>
      <w:r>
        <w:rPr>
          <w:rFonts w:ascii="Cambria Math" w:eastAsia="Cambria Math" w:hAnsi="Cambria Math" w:cs="Cambria Math"/>
        </w:rPr>
        <w:t>Lfid</w:t>
      </w:r>
      <w:proofErr w:type="spellEnd"/>
      <w:r>
        <w:rPr>
          <w:rFonts w:ascii="Cambria Math" w:eastAsia="Cambria Math" w:hAnsi="Cambria Math" w:cs="Cambria Math"/>
        </w:rPr>
        <w:t xml:space="preserve">( </w:t>
      </w:r>
      <w:proofErr w:type="spellStart"/>
      <w:r>
        <w:rPr>
          <w:rFonts w:ascii="Cambria Math" w:eastAsia="Cambria Math" w:hAnsi="Cambria Math" w:cs="Cambria Math"/>
          <w:i/>
          <w:iCs/>
        </w:rPr>
        <w:t>g</w:t>
      </w:r>
      <w:r>
        <w:rPr>
          <w:rFonts w:ascii="Cambria Math" w:eastAsia="Cambria Math" w:hAnsi="Cambria Math" w:cs="Cambria Math"/>
        </w:rPr>
        <w:t>φ</w:t>
      </w:r>
      <w:proofErr w:type="spellEnd"/>
      <w:r>
        <w:rPr>
          <w:rFonts w:ascii="Cambria Math" w:eastAsia="Cambria Math" w:hAnsi="Cambria Math" w:cs="Cambria Math"/>
        </w:rPr>
        <w:t>(</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 xml:space="preserve">, </w:t>
      </w:r>
      <w:r>
        <w:rPr>
          <w:rFonts w:ascii="Cambria Math" w:eastAsia="Cambria Math" w:hAnsi="Cambria Math" w:cs="Cambria Math"/>
          <w:i/>
          <w:iCs/>
        </w:rPr>
        <w:t>G</w:t>
      </w:r>
      <w:r>
        <w:rPr>
          <w:rFonts w:ascii="Cambria Math" w:eastAsia="Cambria Math" w:hAnsi="Cambria Math" w:cs="Cambria Math"/>
        </w:rPr>
        <w:t xml:space="preserve">),  </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w:t>
      </w:r>
      <w:r>
        <w:rPr>
          <w:rFonts w:ascii="Cambria Math" w:eastAsia="Cambria Math" w:hAnsi="Cambria Math" w:cs="Cambria Math"/>
          <w:i/>
          <w:iCs/>
        </w:rPr>
        <w:t>G</w:t>
      </w:r>
      <w:r>
        <w:rPr>
          <w:rFonts w:ascii="Cambria Math" w:eastAsia="Cambria Math" w:hAnsi="Cambria Math" w:cs="Cambria Math"/>
        </w:rPr>
        <w:t xml:space="preserve">) )  +  </w:t>
      </w:r>
      <w:proofErr w:type="spellStart"/>
      <w:r>
        <w:rPr>
          <w:rFonts w:ascii="Cambria Math" w:eastAsia="Cambria Math" w:hAnsi="Cambria Math" w:cs="Cambria Math"/>
        </w:rPr>
        <w:t>λs</w:t>
      </w:r>
      <w:proofErr w:type="spellEnd"/>
      <w:r>
        <w:rPr>
          <w:rFonts w:ascii="Cambria Math" w:eastAsia="Cambria Math" w:hAnsi="Cambria Math" w:cs="Cambria Math"/>
        </w:rPr>
        <w:t xml:space="preserve"> </w:t>
      </w:r>
      <w:proofErr w:type="spellStart"/>
      <w:r>
        <w:rPr>
          <w:rFonts w:ascii="Cambria Math" w:eastAsia="Cambria Math" w:hAnsi="Cambria Math" w:cs="Cambria Math"/>
        </w:rPr>
        <w:t>Lstab</w:t>
      </w:r>
      <w:proofErr w:type="spellEnd"/>
      <w:r>
        <w:rPr>
          <w:rFonts w:ascii="Cambria Math" w:eastAsia="Cambria Math" w:hAnsi="Cambria Math" w:cs="Cambria Math"/>
        </w:rPr>
        <w:t>(</w:t>
      </w:r>
      <w:proofErr w:type="spellStart"/>
      <w:r>
        <w:rPr>
          <w:rFonts w:ascii="Cambria Math" w:eastAsia="Cambria Math" w:hAnsi="Cambria Math" w:cs="Cambria Math"/>
          <w:i/>
          <w:iCs/>
        </w:rPr>
        <w:t>g</w:t>
      </w:r>
      <w:r>
        <w:rPr>
          <w:rFonts w:ascii="Cambria Math" w:eastAsia="Cambria Math" w:hAnsi="Cambria Math" w:cs="Cambria Math"/>
        </w:rPr>
        <w:t>φ</w:t>
      </w:r>
      <w:proofErr w:type="spellEnd"/>
      <w:r>
        <w:rPr>
          <w:rFonts w:ascii="Cambria Math" w:eastAsia="Cambria Math" w:hAnsi="Cambria Math" w:cs="Cambria Math"/>
        </w:rPr>
        <w:t xml:space="preserve">, </w:t>
      </w:r>
      <w:proofErr w:type="spellStart"/>
      <w:r>
        <w:rPr>
          <w:rFonts w:ascii="Cambria Math" w:eastAsia="Cambria Math" w:hAnsi="Cambria Math" w:cs="Cambria Math"/>
          <w:i/>
          <w:iCs/>
        </w:rPr>
        <w:t>f</w:t>
      </w:r>
      <w:r>
        <w:rPr>
          <w:rFonts w:ascii="Cambria Math" w:eastAsia="Cambria Math" w:hAnsi="Cambria Math" w:cs="Cambria Math"/>
        </w:rPr>
        <w:t>θ</w:t>
      </w:r>
      <w:proofErr w:type="spellEnd"/>
      <w:r>
        <w:rPr>
          <w:rFonts w:ascii="Cambria Math" w:eastAsia="Cambria Math" w:hAnsi="Cambria Math" w:cs="Cambria Math"/>
        </w:rPr>
        <w:t xml:space="preserve">)  +  </w:t>
      </w:r>
      <w:proofErr w:type="spellStart"/>
      <w:r>
        <w:rPr>
          <w:rFonts w:ascii="Cambria Math" w:eastAsia="Cambria Math" w:hAnsi="Cambria Math" w:cs="Cambria Math"/>
        </w:rPr>
        <w:t>λp</w:t>
      </w:r>
      <w:proofErr w:type="spellEnd"/>
      <w:r>
        <w:rPr>
          <w:rFonts w:ascii="Cambria Math" w:eastAsia="Cambria Math" w:hAnsi="Cambria Math" w:cs="Cambria Math"/>
        </w:rPr>
        <w:t xml:space="preserve"> </w:t>
      </w:r>
      <w:proofErr w:type="spellStart"/>
      <w:r>
        <w:rPr>
          <w:rFonts w:ascii="Cambria Math" w:eastAsia="Cambria Math" w:hAnsi="Cambria Math" w:cs="Cambria Math"/>
        </w:rPr>
        <w:t>Lsparse</w:t>
      </w:r>
      <w:proofErr w:type="spellEnd"/>
      <w:r>
        <w:rPr>
          <w:rFonts w:ascii="Cambria Math" w:eastAsia="Cambria Math" w:hAnsi="Cambria Math" w:cs="Cambria Math"/>
        </w:rPr>
        <w:t>(</w:t>
      </w:r>
      <w:proofErr w:type="spellStart"/>
      <w:r>
        <w:rPr>
          <w:rFonts w:ascii="Cambria Math" w:eastAsia="Cambria Math" w:hAnsi="Cambria Math" w:cs="Cambria Math"/>
          <w:i/>
          <w:iCs/>
        </w:rPr>
        <w:t>g</w:t>
      </w:r>
      <w:r>
        <w:rPr>
          <w:rFonts w:ascii="Cambria Math" w:eastAsia="Cambria Math" w:hAnsi="Cambria Math" w:cs="Cambria Math"/>
        </w:rPr>
        <w:t>φ</w:t>
      </w:r>
      <w:proofErr w:type="spellEnd"/>
      <w:r>
        <w:rPr>
          <w:rFonts w:ascii="Cambria Math" w:eastAsia="Cambria Math" w:hAnsi="Cambria Math" w:cs="Cambria Math"/>
        </w:rPr>
        <w:t>)</w:t>
      </w:r>
    </w:p>
    <w:p w14:paraId="4D39564E" w14:textId="77777777" w:rsidR="00CA530C" w:rsidRDefault="0041370B">
      <w:pPr>
        <w:spacing w:after="320" w:line="300" w:lineRule="auto"/>
        <w:jc w:val="both"/>
      </w:pPr>
      <w:r>
        <w:t xml:space="preserve">where </w:t>
      </w:r>
      <w:proofErr w:type="spellStart"/>
      <w:r>
        <w:t>L</w:t>
      </w:r>
      <w:r>
        <w:rPr>
          <w:i/>
          <w:iCs/>
        </w:rPr>
        <w:t>fid</w:t>
      </w:r>
      <w:proofErr w:type="spellEnd"/>
      <w:r>
        <w:t xml:space="preserve"> measures explanation fidelity, </w:t>
      </w:r>
      <w:proofErr w:type="spellStart"/>
      <w:r>
        <w:t>L</w:t>
      </w:r>
      <w:r>
        <w:rPr>
          <w:i/>
          <w:iCs/>
        </w:rPr>
        <w:t>stab</w:t>
      </w:r>
      <w:proofErr w:type="spellEnd"/>
      <w:r>
        <w:t xml:space="preserve"> penalizes explanation instability under bounded perturbation, and </w:t>
      </w:r>
      <w:proofErr w:type="spellStart"/>
      <w:r>
        <w:t>L</w:t>
      </w:r>
      <w:r>
        <w:rPr>
          <w:i/>
          <w:iCs/>
        </w:rPr>
        <w:t>sparse</w:t>
      </w:r>
      <w:proofErr w:type="spellEnd"/>
      <w:r>
        <w:t xml:space="preserve"> penalizes explanation complexity. The detector parameters θ are frozen during Stage 2. This decoupling means the framework's robustness properties come from Stage 1 (well-understood adversarial training) and the framework's explanation properties come from Stage 2, where the optimization landscape is simpler because the detector is fixed.</w:t>
      </w:r>
    </w:p>
    <w:p w14:paraId="2BB0C0AF" w14:textId="77777777" w:rsidR="00CA530C" w:rsidRDefault="0041370B">
      <w:pPr>
        <w:pStyle w:val="Heading1"/>
      </w:pPr>
      <w:r>
        <w:t>5. Methodology for Validation</w:t>
      </w:r>
    </w:p>
    <w:p w14:paraId="36DCC4F4" w14:textId="77777777" w:rsidR="00CA530C" w:rsidRDefault="0041370B">
      <w:pPr>
        <w:spacing w:after="160" w:line="300" w:lineRule="auto"/>
        <w:jc w:val="both"/>
      </w:pPr>
      <w:r>
        <w:t>The research combines conceptual development, empirical evaluation, and human factors studies.</w:t>
      </w:r>
    </w:p>
    <w:p w14:paraId="4E7C9424" w14:textId="77777777" w:rsidR="00CA530C" w:rsidRDefault="0041370B">
      <w:pPr>
        <w:pStyle w:val="Heading2"/>
      </w:pPr>
      <w:r>
        <w:t>5.1 Datasets</w:t>
      </w:r>
    </w:p>
    <w:p w14:paraId="1C4BF834" w14:textId="77777777" w:rsidR="00CA530C" w:rsidRDefault="0041370B">
      <w:pPr>
        <w:spacing w:after="160" w:line="300" w:lineRule="auto"/>
        <w:jc w:val="both"/>
      </w:pPr>
      <w:r>
        <w:t>Empirical evaluation will draw on public benchmarks across multiple security domains:</w:t>
      </w:r>
    </w:p>
    <w:p w14:paraId="297DB58A" w14:textId="77777777" w:rsidR="00CA530C" w:rsidRDefault="0041370B">
      <w:pPr>
        <w:pStyle w:val="ListParagraph"/>
        <w:numPr>
          <w:ilvl w:val="0"/>
          <w:numId w:val="2"/>
        </w:numPr>
        <w:spacing w:after="80" w:line="300" w:lineRule="auto"/>
      </w:pPr>
      <w:r>
        <w:t>CICIDS2017 — modern intrusion detection benchmark with diverse attack types.</w:t>
      </w:r>
    </w:p>
    <w:p w14:paraId="56AA3005" w14:textId="77777777" w:rsidR="00CA530C" w:rsidRDefault="0041370B">
      <w:pPr>
        <w:pStyle w:val="ListParagraph"/>
        <w:numPr>
          <w:ilvl w:val="0"/>
          <w:numId w:val="2"/>
        </w:numPr>
        <w:spacing w:after="80" w:line="300" w:lineRule="auto"/>
      </w:pPr>
      <w:r>
        <w:t>UNSW-NB15 — comprehensive network intrusion dataset covering nine attack families.</w:t>
      </w:r>
    </w:p>
    <w:p w14:paraId="5A011531" w14:textId="77777777" w:rsidR="00CA530C" w:rsidRDefault="0041370B">
      <w:pPr>
        <w:pStyle w:val="ListParagraph"/>
        <w:numPr>
          <w:ilvl w:val="0"/>
          <w:numId w:val="2"/>
        </w:numPr>
        <w:spacing w:after="80" w:line="300" w:lineRule="auto"/>
      </w:pPr>
      <w:r>
        <w:t>Bot-IoT — IoT-focused botnet traffic dataset.</w:t>
      </w:r>
    </w:p>
    <w:p w14:paraId="7696EFC9" w14:textId="77777777" w:rsidR="00CA530C" w:rsidRDefault="0041370B">
      <w:pPr>
        <w:pStyle w:val="ListParagraph"/>
        <w:numPr>
          <w:ilvl w:val="0"/>
          <w:numId w:val="2"/>
        </w:numPr>
        <w:spacing w:after="80" w:line="300" w:lineRule="auto"/>
      </w:pPr>
      <w:r>
        <w:t>Public phishing email datasets for textual threat classification.</w:t>
      </w:r>
    </w:p>
    <w:p w14:paraId="1779DCF2" w14:textId="77777777" w:rsidR="00CA530C" w:rsidRDefault="0041370B">
      <w:pPr>
        <w:pStyle w:val="ListParagraph"/>
        <w:numPr>
          <w:ilvl w:val="0"/>
          <w:numId w:val="2"/>
        </w:numPr>
        <w:spacing w:after="80" w:line="300" w:lineRule="auto"/>
      </w:pPr>
      <w:r>
        <w:t>Financial anomaly transaction datasets for fraud detection contexts.</w:t>
      </w:r>
    </w:p>
    <w:p w14:paraId="391DEB2F" w14:textId="77777777" w:rsidR="00CA530C" w:rsidRDefault="0041370B">
      <w:pPr>
        <w:spacing w:after="200" w:line="300" w:lineRule="auto"/>
        <w:jc w:val="both"/>
      </w:pPr>
      <w:r>
        <w:t>Each dataset is converted into a graph representation appropriate to the domain (e.g., flow-level graphs of source/destination IPs and ports for network traffic, account-transaction graphs for fraud).</w:t>
      </w:r>
    </w:p>
    <w:p w14:paraId="4BD4378D" w14:textId="77777777" w:rsidR="00CA530C" w:rsidRDefault="0041370B">
      <w:pPr>
        <w:pStyle w:val="Heading2"/>
      </w:pPr>
      <w:r>
        <w:t>5.2 Baseline Comparisons</w:t>
      </w:r>
    </w:p>
    <w:p w14:paraId="2763EF05" w14:textId="77777777" w:rsidR="00CA530C" w:rsidRDefault="0041370B">
      <w:pPr>
        <w:spacing w:after="160" w:line="300" w:lineRule="auto"/>
        <w:jc w:val="both"/>
      </w:pPr>
      <w:r>
        <w:t>Evaluation will compare TECDF against representative baselines spanning detection backbones and explanation methods:</w:t>
      </w:r>
    </w:p>
    <w:p w14:paraId="3FD561A4" w14:textId="77777777" w:rsidR="00CA530C" w:rsidRDefault="0041370B">
      <w:pPr>
        <w:pStyle w:val="ListParagraph"/>
        <w:numPr>
          <w:ilvl w:val="0"/>
          <w:numId w:val="2"/>
        </w:numPr>
        <w:spacing w:after="80" w:line="300" w:lineRule="auto"/>
      </w:pPr>
      <w:r>
        <w:rPr>
          <w:b/>
          <w:bCs/>
        </w:rPr>
        <w:t xml:space="preserve">Detection backbones: </w:t>
      </w:r>
      <w:r>
        <w:t xml:space="preserve">Random Forest, </w:t>
      </w:r>
      <w:proofErr w:type="spellStart"/>
      <w:r>
        <w:t>XGBoost</w:t>
      </w:r>
      <w:proofErr w:type="spellEnd"/>
      <w:r>
        <w:t>, CNN/LSTM (sequence-based), and standard Graph Convolutional Networks without adversarial training.</w:t>
      </w:r>
    </w:p>
    <w:p w14:paraId="780FADB6" w14:textId="77777777" w:rsidR="00CA530C" w:rsidRDefault="0041370B">
      <w:pPr>
        <w:pStyle w:val="ListParagraph"/>
        <w:numPr>
          <w:ilvl w:val="0"/>
          <w:numId w:val="2"/>
        </w:numPr>
        <w:spacing w:after="80" w:line="300" w:lineRule="auto"/>
      </w:pPr>
      <w:r>
        <w:rPr>
          <w:b/>
          <w:bCs/>
        </w:rPr>
        <w:t xml:space="preserve">Explanation methods: </w:t>
      </w:r>
      <w:r>
        <w:t>SHAP, LIME, and attention-based explanation without explicit stability training.</w:t>
      </w:r>
    </w:p>
    <w:p w14:paraId="0C8816DB" w14:textId="77777777" w:rsidR="00CA530C" w:rsidRDefault="0041370B">
      <w:pPr>
        <w:pStyle w:val="ListParagraph"/>
        <w:numPr>
          <w:ilvl w:val="0"/>
          <w:numId w:val="2"/>
        </w:numPr>
        <w:spacing w:after="200" w:line="300" w:lineRule="auto"/>
      </w:pPr>
      <w:r>
        <w:rPr>
          <w:b/>
          <w:bCs/>
        </w:rPr>
        <w:t xml:space="preserve">TECDF configuration: </w:t>
      </w:r>
      <w:r>
        <w:t>the full pipeline—</w:t>
      </w:r>
      <w:proofErr w:type="spellStart"/>
      <w:r>
        <w:t>adversarially</w:t>
      </w:r>
      <w:proofErr w:type="spellEnd"/>
      <w:r>
        <w:t xml:space="preserve"> trained GAT detector with stability-trained explanation generator.</w:t>
      </w:r>
    </w:p>
    <w:p w14:paraId="5BE18D39" w14:textId="77777777" w:rsidR="00CA530C" w:rsidRDefault="0041370B">
      <w:pPr>
        <w:pStyle w:val="Heading2"/>
      </w:pPr>
      <w:r>
        <w:t>5.3 Evaluation Metrics</w:t>
      </w:r>
    </w:p>
    <w:p w14:paraId="76F3B05A" w14:textId="77777777" w:rsidR="00CA530C" w:rsidRDefault="0041370B">
      <w:pPr>
        <w:spacing w:after="160" w:line="300" w:lineRule="auto"/>
        <w:jc w:val="both"/>
      </w:pPr>
      <w:r>
        <w:t>Evaluation is multi-dimensional. Given the threat model (graph-structure and explanation-targeted attacks), explanation stability is the primary technical metric. Other dimensions provide necessary baselines and operational validation.</w:t>
      </w:r>
    </w:p>
    <w:p w14:paraId="7DC15511" w14:textId="77777777" w:rsidR="00CA530C" w:rsidRDefault="0041370B">
      <w:pPr>
        <w:spacing w:after="80" w:line="300" w:lineRule="auto"/>
        <w:jc w:val="both"/>
      </w:pPr>
      <w:r>
        <w:rPr>
          <w:b/>
          <w:bCs/>
        </w:rPr>
        <w:t xml:space="preserve">Detection performance. </w:t>
      </w:r>
      <w:r>
        <w:t>Accuracy, precision, recall, F1, AUC. These establish that explainability does not come at unacceptable cost to security performance.</w:t>
      </w:r>
    </w:p>
    <w:p w14:paraId="7CE96E6C" w14:textId="77777777" w:rsidR="00CA530C" w:rsidRDefault="0041370B">
      <w:pPr>
        <w:spacing w:after="80" w:line="300" w:lineRule="auto"/>
        <w:jc w:val="both"/>
      </w:pPr>
      <w:r>
        <w:rPr>
          <w:b/>
          <w:bCs/>
        </w:rPr>
        <w:t xml:space="preserve">Explanation stability (primary). </w:t>
      </w:r>
      <w:r>
        <w:t>R</w:t>
      </w:r>
      <w:r>
        <w:rPr>
          <w:i/>
          <w:iCs/>
        </w:rPr>
        <w:t>e</w:t>
      </w:r>
      <w:r>
        <w:t xml:space="preserve"> as defined in Section 4.5, evaluated under both natural perturbations and explanation-targeted attacks. Higher stability indicates greater resistance to manipulation.</w:t>
      </w:r>
    </w:p>
    <w:p w14:paraId="223E322D" w14:textId="77777777" w:rsidR="00CA530C" w:rsidRDefault="0041370B">
      <w:pPr>
        <w:spacing w:after="80" w:line="300" w:lineRule="auto"/>
        <w:jc w:val="both"/>
      </w:pPr>
      <w:r>
        <w:rPr>
          <w:b/>
          <w:bCs/>
        </w:rPr>
        <w:t xml:space="preserve">Explanation fidelity. </w:t>
      </w:r>
      <w:r>
        <w:t>Faithfulness of the explanation to the underlying model, measured by feature ablation correlation and prediction-change-on-removal metrics. Stability without fidelity is meaningless—a constant explanation is perfectly stable but useless.</w:t>
      </w:r>
    </w:p>
    <w:p w14:paraId="4717B573" w14:textId="77777777" w:rsidR="00CA530C" w:rsidRDefault="0041370B">
      <w:pPr>
        <w:spacing w:after="80" w:line="300" w:lineRule="auto"/>
        <w:jc w:val="both"/>
      </w:pPr>
      <w:r>
        <w:rPr>
          <w:b/>
          <w:bCs/>
        </w:rPr>
        <w:t xml:space="preserve">Adversarial robustness. </w:t>
      </w:r>
      <w:r>
        <w:t xml:space="preserve">Detection accuracy under graph-structure attacks (varying </w:t>
      </w:r>
      <w:proofErr w:type="spellStart"/>
      <w:r>
        <w:t>ε</w:t>
      </w:r>
      <w:r>
        <w:rPr>
          <w:i/>
          <w:iCs/>
        </w:rPr>
        <w:t>G</w:t>
      </w:r>
      <w:proofErr w:type="spellEnd"/>
      <w:r>
        <w:t>) and stability under explanation-targeted attacks (varying ε).</w:t>
      </w:r>
    </w:p>
    <w:p w14:paraId="7398D318" w14:textId="77777777" w:rsidR="00CA530C" w:rsidRDefault="0041370B">
      <w:pPr>
        <w:spacing w:after="80" w:line="300" w:lineRule="auto"/>
        <w:jc w:val="both"/>
      </w:pPr>
      <w:r>
        <w:rPr>
          <w:b/>
          <w:bCs/>
        </w:rPr>
        <w:t xml:space="preserve">Sparsity (constraint). </w:t>
      </w:r>
      <w:r>
        <w:t>Top-k coverage of the explanation, ensuring explanations remain cognitively tractable. Sparsity is enforced as a constraint rather than maximized as a goal.</w:t>
      </w:r>
    </w:p>
    <w:p w14:paraId="48E72326" w14:textId="77777777" w:rsidR="00CA530C" w:rsidRDefault="0041370B">
      <w:pPr>
        <w:spacing w:after="80" w:line="300" w:lineRule="auto"/>
        <w:jc w:val="both"/>
      </w:pPr>
      <w:r>
        <w:rPr>
          <w:b/>
          <w:bCs/>
        </w:rPr>
        <w:t xml:space="preserve">Latency. </w:t>
      </w:r>
      <w:r>
        <w:t>Computational overhead of explanation generation, ensuring viability for SOC deployment.</w:t>
      </w:r>
    </w:p>
    <w:p w14:paraId="663C4424" w14:textId="77777777" w:rsidR="00CA530C" w:rsidRDefault="0041370B">
      <w:pPr>
        <w:spacing w:after="200" w:line="300" w:lineRule="auto"/>
        <w:jc w:val="both"/>
      </w:pPr>
      <w:r>
        <w:rPr>
          <w:b/>
          <w:bCs/>
        </w:rPr>
        <w:t xml:space="preserve">Human utility. </w:t>
      </w:r>
      <w:r>
        <w:t>Time-to-triage improvement, decision accuracy, and trust calibration measured through analyst studies (Section 5.4).</w:t>
      </w:r>
    </w:p>
    <w:p w14:paraId="310F0307" w14:textId="77777777" w:rsidR="00CA530C" w:rsidRDefault="0041370B">
      <w:pPr>
        <w:pStyle w:val="Heading2"/>
      </w:pPr>
      <w:r>
        <w:t>5.4 Human Factors Studies</w:t>
      </w:r>
    </w:p>
    <w:p w14:paraId="27F3F73D" w14:textId="77777777" w:rsidR="00CA530C" w:rsidRDefault="0041370B">
      <w:pPr>
        <w:spacing w:after="320" w:line="300" w:lineRule="auto"/>
        <w:jc w:val="both"/>
      </w:pPr>
      <w:r>
        <w:t>Controlled studies with security analysts will test whether explanations actually change behavior in operational settings. Participants will be assigned simulated alert triage tasks under three configurations: black-box detection only, detection with conventional XAI tools (SHAP, LIME), and the full TECDF framework. Within-subject comparisons will examine triage speed, decision accuracy, false-positive identification, and analyst confidence calibration. The studies are designed to inform the Human Oversight Layer rather than to validate the framework abstractly.</w:t>
      </w:r>
    </w:p>
    <w:p w14:paraId="5560B4E1" w14:textId="77777777" w:rsidR="00CA530C" w:rsidRDefault="0041370B">
      <w:pPr>
        <w:pStyle w:val="Heading1"/>
      </w:pPr>
      <w:r>
        <w:t>6. Critical Infrastructure Use Cases</w:t>
      </w:r>
    </w:p>
    <w:p w14:paraId="7A07EDC8" w14:textId="77777777" w:rsidR="00CA530C" w:rsidRDefault="0041370B">
      <w:pPr>
        <w:spacing w:after="160" w:line="300" w:lineRule="auto"/>
        <w:jc w:val="both"/>
      </w:pPr>
      <w:r>
        <w:t>The framework is designed for cross-sector applicability. The following use cases illustrate how TECDF would operate in distinct critical infrastructure contexts.</w:t>
      </w:r>
    </w:p>
    <w:p w14:paraId="1D3A0DE4" w14:textId="77777777" w:rsidR="00CA530C" w:rsidRDefault="0041370B">
      <w:pPr>
        <w:pStyle w:val="Heading2"/>
      </w:pPr>
      <w:r>
        <w:t>6.1 Energy Grid Protection</w:t>
      </w:r>
    </w:p>
    <w:p w14:paraId="57339D99" w14:textId="77777777" w:rsidR="00CA530C" w:rsidRDefault="0041370B">
      <w:pPr>
        <w:spacing w:after="160" w:line="300" w:lineRule="auto"/>
        <w:jc w:val="both"/>
      </w:pPr>
      <w:r>
        <w:t>AI detects anomalous control traffic across SCADA and operational technology networks. The graph representation captures relationships between control devices, operators, and supervisory systems. Subgraph and path-based explanations identify whether observed behavior resembles reconnaissance scanning, credential misuse, or abnormal device commands. The Human Oversight Layer ensures that high-impact actions—such as isolating a substation or blocking a control command—receive operator confirmation. The Governance and Audit Layer captures the decision trail for regulator review.</w:t>
      </w:r>
    </w:p>
    <w:p w14:paraId="7231D224" w14:textId="77777777" w:rsidR="00CA530C" w:rsidRDefault="0041370B">
      <w:pPr>
        <w:pStyle w:val="Heading2"/>
      </w:pPr>
      <w:r>
        <w:t>6.2 Healthcare Systems</w:t>
      </w:r>
    </w:p>
    <w:p w14:paraId="7C57ADEE" w14:textId="77777777" w:rsidR="00CA530C" w:rsidRDefault="0041370B">
      <w:pPr>
        <w:spacing w:after="160" w:line="300" w:lineRule="auto"/>
        <w:jc w:val="both"/>
      </w:pPr>
      <w:r>
        <w:t>AI flags ransomware indicators across clinical networks and connected medical devices. Graph structure captures device-to-system communication patterns. Operators receive interpretable rationale before isolating clinical systems—isolation is itself a high-stakes action with potential patient-safety implications. Explanations support both rapid response and the auditability required under healthcare data protection regulations.</w:t>
      </w:r>
    </w:p>
    <w:p w14:paraId="4AB8713B" w14:textId="77777777" w:rsidR="00CA530C" w:rsidRDefault="0041370B">
      <w:pPr>
        <w:pStyle w:val="Heading2"/>
      </w:pPr>
      <w:r>
        <w:t>6.3 Financial Networks</w:t>
      </w:r>
    </w:p>
    <w:p w14:paraId="20DCC252" w14:textId="77777777" w:rsidR="00CA530C" w:rsidRDefault="0041370B">
      <w:pPr>
        <w:spacing w:after="160" w:line="300" w:lineRule="auto"/>
        <w:jc w:val="both"/>
      </w:pPr>
      <w:r>
        <w:t>AI detects suspicious payment behavior, account compromise indicators, and fraud patterns. The graph naturally represents account-to-account relationships and transaction flows—precisely the structure that distinguishes fraud rings from isolated incidents. Path-based explanations support fraud analysts and compliance officers in distinguishing legitimate edge cases from genuine threats, and provide the audit basis required for regulator reporting.</w:t>
      </w:r>
    </w:p>
    <w:p w14:paraId="50178E1E" w14:textId="77777777" w:rsidR="00CA530C" w:rsidRDefault="0041370B">
      <w:pPr>
        <w:pStyle w:val="Heading2"/>
      </w:pPr>
      <w:r>
        <w:t>6.4 Transportation</w:t>
      </w:r>
    </w:p>
    <w:p w14:paraId="32B3F5EF" w14:textId="77777777" w:rsidR="00CA530C" w:rsidRDefault="0041370B">
      <w:pPr>
        <w:spacing w:after="160" w:line="300" w:lineRule="auto"/>
        <w:jc w:val="both"/>
      </w:pPr>
      <w:r>
        <w:t>AI identifies malicious signaling anomalies, unauthorized access attempts, and behavioral deviations across connected transportation systems—including rail, aviation, and maritime networks. The graph representation captures signaling and control relationships. Explanations help operators distinguish genuine attacks from sensor noise or operational variance.</w:t>
      </w:r>
    </w:p>
    <w:p w14:paraId="3CEE8DEB" w14:textId="77777777" w:rsidR="00CA530C" w:rsidRDefault="0041370B">
      <w:pPr>
        <w:pStyle w:val="Heading2"/>
      </w:pPr>
      <w:r>
        <w:t>6.5 Government Platforms</w:t>
      </w:r>
    </w:p>
    <w:p w14:paraId="26C73DC6" w14:textId="77777777" w:rsidR="00CA530C" w:rsidRDefault="0041370B">
      <w:pPr>
        <w:spacing w:after="320" w:line="300" w:lineRule="auto"/>
        <w:jc w:val="both"/>
      </w:pPr>
      <w:r>
        <w:t>AI prioritizes threats against citizen-facing service systems while maintaining the auditability and lawful oversight required for public-sector deployment. The Governance and Audit Layer is particularly important here: government systems carry both operational and democratic accountability obligations.</w:t>
      </w:r>
    </w:p>
    <w:p w14:paraId="4499A0C2" w14:textId="77777777" w:rsidR="00CA530C" w:rsidRDefault="0041370B">
      <w:pPr>
        <w:pStyle w:val="Heading1"/>
      </w:pPr>
      <w:r>
        <w:t>7. Relationship to Prior and Ongoing Research</w:t>
      </w:r>
    </w:p>
    <w:p w14:paraId="54B9056C" w14:textId="77777777" w:rsidR="00CA530C" w:rsidRDefault="0041370B">
      <w:pPr>
        <w:spacing w:after="160" w:line="300" w:lineRule="auto"/>
        <w:jc w:val="both"/>
      </w:pPr>
      <w:r>
        <w:t>TECDF builds on a sustained body of prior work in AI-enabled cybersecurity, including peer-reviewed contributions on AI-driven cyber incident detection, machine-learning-based adaptive authentication, AI applications in cloud security, and graph-based detection of financial fraud. The graph-based modeling approach in TECDF directly extends this prior work in graph-based fraud detection to the broader cybersecurity decision space. Two manuscripts directly relevant to this work are currently under peer review:</w:t>
      </w:r>
    </w:p>
    <w:p w14:paraId="5911DCFF" w14:textId="77777777" w:rsidR="00CA530C" w:rsidRDefault="0041370B">
      <w:pPr>
        <w:spacing w:after="160" w:line="300" w:lineRule="auto"/>
        <w:jc w:val="both"/>
      </w:pPr>
      <w:proofErr w:type="spellStart"/>
      <w:r>
        <w:rPr>
          <w:b/>
          <w:bCs/>
        </w:rPr>
        <w:t>QuantumShield</w:t>
      </w:r>
      <w:proofErr w:type="spellEnd"/>
      <w:r>
        <w:rPr>
          <w:b/>
          <w:bCs/>
        </w:rPr>
        <w:t xml:space="preserve"> </w:t>
      </w:r>
      <w:r>
        <w:t>(under review at PLOS ONE) is a quantum-resilient distributed consensus framework. As it moves toward deployment in critical infrastructure, the framework will need explainability mechanisms to satisfy federal accountability requirements—precisely the kind of mechanisms TECDF is designed to provide.</w:t>
      </w:r>
    </w:p>
    <w:p w14:paraId="1D57F788" w14:textId="77777777" w:rsidR="00CA530C" w:rsidRDefault="0041370B">
      <w:pPr>
        <w:spacing w:after="160" w:line="300" w:lineRule="auto"/>
        <w:jc w:val="both"/>
      </w:pPr>
      <w:proofErr w:type="spellStart"/>
      <w:r>
        <w:rPr>
          <w:b/>
          <w:bCs/>
        </w:rPr>
        <w:t>DynSciGraph</w:t>
      </w:r>
      <w:proofErr w:type="spellEnd"/>
      <w:r>
        <w:rPr>
          <w:b/>
          <w:bCs/>
        </w:rPr>
        <w:t xml:space="preserve"> </w:t>
      </w:r>
      <w:r>
        <w:t xml:space="preserve">(under review at Machine Learning, Springer Nature) is an AI-driven predictive threat forecasting framework using temporal graph neural networks. TECDF extends the graph-based modeling foundation of </w:t>
      </w:r>
      <w:proofErr w:type="spellStart"/>
      <w:r>
        <w:t>DynSciGraph</w:t>
      </w:r>
      <w:proofErr w:type="spellEnd"/>
      <w:r>
        <w:t xml:space="preserve"> with explainability and adversarial resilience layers, and shares the temporal graph perspective on cybersecurity events.</w:t>
      </w:r>
    </w:p>
    <w:p w14:paraId="52BFEE87" w14:textId="77777777" w:rsidR="00CA530C" w:rsidRDefault="0041370B">
      <w:pPr>
        <w:spacing w:after="320" w:line="300" w:lineRule="auto"/>
        <w:jc w:val="both"/>
      </w:pPr>
      <w:r>
        <w:t>Where these prior systems improve security capability, the proposed XAI work improves the trust, accountability, and human usability layer that makes those capabilities responsibly deployable in federal and critical infrastructure environments. Together, the three lines of work form a coherent research agenda: cryptographic resilience (</w:t>
      </w:r>
      <w:proofErr w:type="spellStart"/>
      <w:r>
        <w:t>QuantumShield</w:t>
      </w:r>
      <w:proofErr w:type="spellEnd"/>
      <w:r>
        <w:t>), predictive threat intelligence (</w:t>
      </w:r>
      <w:proofErr w:type="spellStart"/>
      <w:r>
        <w:t>DynSciGraph</w:t>
      </w:r>
      <w:proofErr w:type="spellEnd"/>
      <w:r>
        <w:t>), and explainable, accountable decision systems (TECDF).</w:t>
      </w:r>
    </w:p>
    <w:p w14:paraId="282E8DE2" w14:textId="77777777" w:rsidR="00CA530C" w:rsidRDefault="0041370B">
      <w:pPr>
        <w:pStyle w:val="Heading1"/>
      </w:pPr>
      <w:r>
        <w:t>8. Expected Contributions</w:t>
      </w:r>
    </w:p>
    <w:p w14:paraId="1D05CC9A" w14:textId="77777777" w:rsidR="00CA530C" w:rsidRDefault="0041370B">
      <w:pPr>
        <w:spacing w:after="160" w:line="300" w:lineRule="auto"/>
        <w:jc w:val="both"/>
      </w:pPr>
      <w:r>
        <w:t>The research is expected to produce contributions across four areas.</w:t>
      </w:r>
    </w:p>
    <w:p w14:paraId="0286FDF3" w14:textId="77777777" w:rsidR="00CA530C" w:rsidRDefault="0041370B">
      <w:pPr>
        <w:pStyle w:val="Heading2"/>
      </w:pPr>
      <w:r>
        <w:t>8.1 Technical</w:t>
      </w:r>
    </w:p>
    <w:p w14:paraId="0FC90A21" w14:textId="77777777" w:rsidR="00CA530C" w:rsidRDefault="0041370B">
      <w:pPr>
        <w:pStyle w:val="ListParagraph"/>
        <w:numPr>
          <w:ilvl w:val="0"/>
          <w:numId w:val="2"/>
        </w:numPr>
        <w:spacing w:after="80" w:line="300" w:lineRule="auto"/>
      </w:pPr>
      <w:r>
        <w:t xml:space="preserve">A graph-based explainable AI framework for cybersecurity decision systems with </w:t>
      </w:r>
      <w:proofErr w:type="spellStart"/>
      <w:r>
        <w:t>adversarially</w:t>
      </w:r>
      <w:proofErr w:type="spellEnd"/>
      <w:r>
        <w:t xml:space="preserve"> trained detection and stability-trained explanation generation.</w:t>
      </w:r>
    </w:p>
    <w:p w14:paraId="2E9645F8" w14:textId="77777777" w:rsidR="00CA530C" w:rsidRDefault="0041370B">
      <w:pPr>
        <w:pStyle w:val="ListParagraph"/>
        <w:numPr>
          <w:ilvl w:val="0"/>
          <w:numId w:val="2"/>
        </w:numPr>
        <w:spacing w:after="80" w:line="300" w:lineRule="auto"/>
      </w:pPr>
      <w:r>
        <w:t>An explanation stability formulation that captures resistance to explanation-targeted attacks, suitable for both training and evaluation.</w:t>
      </w:r>
    </w:p>
    <w:p w14:paraId="56070B7E" w14:textId="77777777" w:rsidR="00CA530C" w:rsidRDefault="0041370B">
      <w:pPr>
        <w:pStyle w:val="ListParagraph"/>
        <w:numPr>
          <w:ilvl w:val="0"/>
          <w:numId w:val="2"/>
        </w:numPr>
        <w:spacing w:after="80" w:line="300" w:lineRule="auto"/>
      </w:pPr>
      <w:r>
        <w:t>A two-stage training strategy that decouples robustness from explanation quality, avoiding the convergence brittleness of joint multi-objective optimization.</w:t>
      </w:r>
    </w:p>
    <w:p w14:paraId="6750B6CA" w14:textId="77777777" w:rsidR="00CA530C" w:rsidRDefault="0041370B">
      <w:pPr>
        <w:pStyle w:val="ListParagraph"/>
        <w:numPr>
          <w:ilvl w:val="0"/>
          <w:numId w:val="2"/>
        </w:numPr>
        <w:spacing w:after="160" w:line="300" w:lineRule="auto"/>
      </w:pPr>
      <w:r>
        <w:t>Defenses against two threat surfaces specific to graph-based explainable systems: graph-structure attacks and explanation-targeted attacks.</w:t>
      </w:r>
    </w:p>
    <w:p w14:paraId="1E81514E" w14:textId="77777777" w:rsidR="00CA530C" w:rsidRDefault="0041370B">
      <w:pPr>
        <w:pStyle w:val="Heading2"/>
      </w:pPr>
      <w:r>
        <w:t>8.2 Operational</w:t>
      </w:r>
    </w:p>
    <w:p w14:paraId="6218E2B8" w14:textId="77777777" w:rsidR="00CA530C" w:rsidRDefault="0041370B">
      <w:pPr>
        <w:pStyle w:val="ListParagraph"/>
        <w:numPr>
          <w:ilvl w:val="0"/>
          <w:numId w:val="2"/>
        </w:numPr>
        <w:spacing w:after="80" w:line="300" w:lineRule="auto"/>
      </w:pPr>
      <w:r>
        <w:t>Reduced alert fatigue through explanation-supported triage.</w:t>
      </w:r>
    </w:p>
    <w:p w14:paraId="6FBE8E53" w14:textId="77777777" w:rsidR="00CA530C" w:rsidRDefault="0041370B">
      <w:pPr>
        <w:pStyle w:val="ListParagraph"/>
        <w:numPr>
          <w:ilvl w:val="0"/>
          <w:numId w:val="2"/>
        </w:numPr>
        <w:spacing w:after="80" w:line="300" w:lineRule="auto"/>
      </w:pPr>
      <w:r>
        <w:t>Faster incident response through actionable, graph-aware explanations rather than opaque AI outputs.</w:t>
      </w:r>
    </w:p>
    <w:p w14:paraId="7C66EC0D" w14:textId="77777777" w:rsidR="00CA530C" w:rsidRDefault="0041370B">
      <w:pPr>
        <w:pStyle w:val="ListParagraph"/>
        <w:numPr>
          <w:ilvl w:val="0"/>
          <w:numId w:val="2"/>
        </w:numPr>
        <w:spacing w:after="160" w:line="300" w:lineRule="auto"/>
      </w:pPr>
      <w:r>
        <w:t>Improved human-machine teaming and analyst trust calibration validated through controlled studies.</w:t>
      </w:r>
    </w:p>
    <w:p w14:paraId="137AB020" w14:textId="77777777" w:rsidR="00CA530C" w:rsidRDefault="0041370B">
      <w:pPr>
        <w:pStyle w:val="Heading2"/>
      </w:pPr>
      <w:r>
        <w:t>8.3 Translational and Governance</w:t>
      </w:r>
    </w:p>
    <w:p w14:paraId="64C389C6" w14:textId="77777777" w:rsidR="00CA530C" w:rsidRDefault="0041370B">
      <w:pPr>
        <w:pStyle w:val="ListParagraph"/>
        <w:numPr>
          <w:ilvl w:val="0"/>
          <w:numId w:val="2"/>
        </w:numPr>
        <w:spacing w:after="80" w:line="300" w:lineRule="auto"/>
      </w:pPr>
      <w:r>
        <w:t>Audit trail templates for AI-driven security decisions aligned with the NIST AI RMF.</w:t>
      </w:r>
    </w:p>
    <w:p w14:paraId="3C895C14" w14:textId="77777777" w:rsidR="00CA530C" w:rsidRDefault="0041370B">
      <w:pPr>
        <w:pStyle w:val="ListParagraph"/>
        <w:numPr>
          <w:ilvl w:val="0"/>
          <w:numId w:val="2"/>
        </w:numPr>
        <w:spacing w:after="80" w:line="300" w:lineRule="auto"/>
      </w:pPr>
      <w:r>
        <w:t>Implementation guidance for federally aligned deployment in regulated sectors.</w:t>
      </w:r>
    </w:p>
    <w:p w14:paraId="7C9E3B5C" w14:textId="77777777" w:rsidR="00CA530C" w:rsidRDefault="0041370B">
      <w:pPr>
        <w:pStyle w:val="ListParagraph"/>
        <w:numPr>
          <w:ilvl w:val="0"/>
          <w:numId w:val="2"/>
        </w:numPr>
        <w:spacing w:after="160" w:line="300" w:lineRule="auto"/>
      </w:pPr>
      <w:r>
        <w:t>Policy recommendations for AI accountability in critical infrastructure cybersecurity.</w:t>
      </w:r>
    </w:p>
    <w:p w14:paraId="5D583F4B" w14:textId="77777777" w:rsidR="00CA530C" w:rsidRDefault="0041370B">
      <w:pPr>
        <w:pStyle w:val="Heading2"/>
      </w:pPr>
      <w:r>
        <w:t>8.4 Strategic</w:t>
      </w:r>
    </w:p>
    <w:p w14:paraId="1D80F84A" w14:textId="77777777" w:rsidR="00CA530C" w:rsidRDefault="0041370B">
      <w:pPr>
        <w:pStyle w:val="ListParagraph"/>
        <w:numPr>
          <w:ilvl w:val="0"/>
          <w:numId w:val="2"/>
        </w:numPr>
        <w:spacing w:after="80" w:line="300" w:lineRule="auto"/>
      </w:pPr>
      <w:r>
        <w:t>Practical operationalization of trustworthy AI principles in domains of national importance.</w:t>
      </w:r>
    </w:p>
    <w:p w14:paraId="77C1F2C4" w14:textId="77777777" w:rsidR="00CA530C" w:rsidRDefault="0041370B">
      <w:pPr>
        <w:pStyle w:val="ListParagraph"/>
        <w:numPr>
          <w:ilvl w:val="0"/>
          <w:numId w:val="2"/>
        </w:numPr>
        <w:spacing w:after="80" w:line="300" w:lineRule="auto"/>
      </w:pPr>
      <w:r>
        <w:t>Reduced systemic risk from opaque AI deployment in critical sectors.</w:t>
      </w:r>
    </w:p>
    <w:p w14:paraId="668B38C5" w14:textId="77777777" w:rsidR="00CA530C" w:rsidRDefault="0041370B">
      <w:pPr>
        <w:pStyle w:val="ListParagraph"/>
        <w:numPr>
          <w:ilvl w:val="0"/>
          <w:numId w:val="2"/>
        </w:numPr>
        <w:spacing w:after="320" w:line="300" w:lineRule="auto"/>
      </w:pPr>
      <w:r>
        <w:t>Stronger public and regulatory confidence in AI-driven cybersecurity.</w:t>
      </w:r>
    </w:p>
    <w:p w14:paraId="060DC93E" w14:textId="77777777" w:rsidR="00CA530C" w:rsidRDefault="0041370B">
      <w:pPr>
        <w:pStyle w:val="Heading1"/>
      </w:pPr>
      <w:r>
        <w:t>9. Publication Targets</w:t>
      </w:r>
    </w:p>
    <w:p w14:paraId="59EE03AC" w14:textId="77777777" w:rsidR="00CA530C" w:rsidRDefault="0041370B">
      <w:pPr>
        <w:spacing w:after="160" w:line="300" w:lineRule="auto"/>
        <w:jc w:val="both"/>
      </w:pPr>
      <w:r>
        <w:t>Anticipated submission venues include top-tier security and privacy journals and conferences:</w:t>
      </w:r>
    </w:p>
    <w:p w14:paraId="1B0FC783" w14:textId="77777777" w:rsidR="00CA530C" w:rsidRDefault="0041370B">
      <w:pPr>
        <w:pStyle w:val="ListParagraph"/>
        <w:numPr>
          <w:ilvl w:val="0"/>
          <w:numId w:val="2"/>
        </w:numPr>
        <w:spacing w:after="80" w:line="300" w:lineRule="auto"/>
      </w:pPr>
      <w:r>
        <w:t>IEEE Transactions on Dependable and Secure Computing</w:t>
      </w:r>
    </w:p>
    <w:p w14:paraId="4765A0E4" w14:textId="77777777" w:rsidR="00CA530C" w:rsidRDefault="0041370B">
      <w:pPr>
        <w:pStyle w:val="ListParagraph"/>
        <w:numPr>
          <w:ilvl w:val="0"/>
          <w:numId w:val="2"/>
        </w:numPr>
        <w:spacing w:after="80" w:line="300" w:lineRule="auto"/>
      </w:pPr>
      <w:r>
        <w:t>ACM Transactions on Privacy and Security</w:t>
      </w:r>
    </w:p>
    <w:p w14:paraId="20DA1C6D" w14:textId="77777777" w:rsidR="00CA530C" w:rsidRDefault="0041370B">
      <w:pPr>
        <w:pStyle w:val="ListParagraph"/>
        <w:numPr>
          <w:ilvl w:val="0"/>
          <w:numId w:val="2"/>
        </w:numPr>
        <w:spacing w:after="80" w:line="300" w:lineRule="auto"/>
      </w:pPr>
      <w:r>
        <w:t>Computers &amp; Security (Elsevier)</w:t>
      </w:r>
    </w:p>
    <w:p w14:paraId="6A815404" w14:textId="77777777" w:rsidR="00CA530C" w:rsidRDefault="0041370B">
      <w:pPr>
        <w:pStyle w:val="ListParagraph"/>
        <w:numPr>
          <w:ilvl w:val="0"/>
          <w:numId w:val="2"/>
        </w:numPr>
        <w:spacing w:after="80" w:line="300" w:lineRule="auto"/>
      </w:pPr>
      <w:r>
        <w:t>Journal of Cybersecurity (Oxford)</w:t>
      </w:r>
    </w:p>
    <w:p w14:paraId="7E811629" w14:textId="77777777" w:rsidR="00CA530C" w:rsidRDefault="0041370B">
      <w:pPr>
        <w:pStyle w:val="ListParagraph"/>
        <w:numPr>
          <w:ilvl w:val="0"/>
          <w:numId w:val="2"/>
        </w:numPr>
        <w:spacing w:after="80" w:line="300" w:lineRule="auto"/>
      </w:pPr>
      <w:r>
        <w:t>USENIX Security Symposium</w:t>
      </w:r>
    </w:p>
    <w:p w14:paraId="393C14A3" w14:textId="77777777" w:rsidR="00CA530C" w:rsidRDefault="0041370B">
      <w:pPr>
        <w:pStyle w:val="ListParagraph"/>
        <w:numPr>
          <w:ilvl w:val="0"/>
          <w:numId w:val="2"/>
        </w:numPr>
        <w:spacing w:after="200" w:line="300" w:lineRule="auto"/>
      </w:pPr>
      <w:r>
        <w:t>ACM Conference on Computer and Communications Security (CCS)</w:t>
      </w:r>
    </w:p>
    <w:p w14:paraId="50F080DD" w14:textId="77777777" w:rsidR="00CA530C" w:rsidRDefault="0041370B">
      <w:pPr>
        <w:spacing w:after="320" w:line="300" w:lineRule="auto"/>
        <w:jc w:val="both"/>
      </w:pPr>
      <w:r>
        <w:t>Findings will also be disseminated to federal standards bodies, including NIST and CISA, through technical reports and public comment submissions on draft AI accountability guidance.</w:t>
      </w:r>
    </w:p>
    <w:p w14:paraId="358C7B59" w14:textId="77777777" w:rsidR="00CA530C" w:rsidRDefault="0041370B">
      <w:pPr>
        <w:pStyle w:val="Heading1"/>
      </w:pPr>
      <w:r>
        <w:t>10. National Importance</w:t>
      </w:r>
    </w:p>
    <w:p w14:paraId="6964CFBC" w14:textId="77777777" w:rsidR="00CA530C" w:rsidRDefault="0041370B">
      <w:pPr>
        <w:spacing w:after="160" w:line="300" w:lineRule="auto"/>
        <w:jc w:val="both"/>
      </w:pPr>
      <w:r>
        <w:t>AI is now embedded in the security operations of national defense, finance, transportation, healthcare, and the country's critical utilities. When those systems are unexplainable, the result is not just a usability problem but a structural vulnerability with national-scale implications. Disruptions in critical infrastructure can threaten public safety, commerce, healthcare delivery, and government continuity. As cyberattacks continue to grow in scale and sophistication, AI will play a larger defensive role. Yet insecure or opaque AI introduces new risks of its own.</w:t>
      </w:r>
    </w:p>
    <w:p w14:paraId="5B82474C" w14:textId="77777777" w:rsidR="00CA530C" w:rsidRDefault="0041370B">
      <w:pPr>
        <w:spacing w:after="320" w:line="300" w:lineRule="auto"/>
        <w:jc w:val="both"/>
      </w:pPr>
      <w:r>
        <w:t>TECDF is designed to ensure that the expansion of AI in cybersecurity strengthens rather than weakens national resilience. The work has direct implications for U.S. national resilience, critical infrastructure security, and the operationalization of trustworthy AI principles within federal cybersecurity priorities. It complements other ongoing federal initiatives—the post-quantum cryptographic transition, the operationalization of the NIST AI RMF, and the broader federal commitment to responsible AI in high-stakes domains.</w:t>
      </w:r>
    </w:p>
    <w:p w14:paraId="2FF60CF2" w14:textId="77777777" w:rsidR="00CA530C" w:rsidRDefault="0041370B">
      <w:pPr>
        <w:pStyle w:val="Heading1"/>
      </w:pPr>
      <w:r>
        <w:t>11. Conclusion</w:t>
      </w:r>
    </w:p>
    <w:p w14:paraId="0D5B6DB1" w14:textId="77777777" w:rsidR="00CA530C" w:rsidRDefault="0041370B">
      <w:pPr>
        <w:spacing w:after="160" w:line="300" w:lineRule="auto"/>
        <w:jc w:val="both"/>
      </w:pPr>
      <w:r>
        <w:t>Cybersecurity needs both intelligence and accountability. AI capability without explainability tends to become a hidden vulnerability rather than a resilience asset. TECDF—the Trustworthy Explainable Cybersecurity Decision Framework—addresses that gap by combining graph-based detection with adversarial training, generating explanations on the resulting robust detector, and explicitly defending against the two threat surfaces unique to graph-based explainable systems. The framework integrates detection intelligence, explainability, human oversight, governance and audit, and adversarial resilience into a coherent architecture designed for the realities of critical infrastructure environments. The goal is to make the next generation of AI security systems not only more capable but more trustworthy, and to give federal AI accountability standards a practical foothold in domains where the stakes are national.</w:t>
      </w:r>
    </w:p>
    <w:sectPr w:rsidR="00CA53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491"/>
    <w:multiLevelType w:val="hybridMultilevel"/>
    <w:tmpl w:val="7E7A9F5A"/>
    <w:lvl w:ilvl="0" w:tplc="D82CCF6C">
      <w:start w:val="1"/>
      <w:numFmt w:val="bullet"/>
      <w:lvlText w:val="●"/>
      <w:lvlJc w:val="left"/>
      <w:pPr>
        <w:ind w:left="720" w:hanging="360"/>
      </w:pPr>
    </w:lvl>
    <w:lvl w:ilvl="1" w:tplc="1818AAAE">
      <w:start w:val="1"/>
      <w:numFmt w:val="bullet"/>
      <w:lvlText w:val="○"/>
      <w:lvlJc w:val="left"/>
      <w:pPr>
        <w:ind w:left="1440" w:hanging="360"/>
      </w:pPr>
    </w:lvl>
    <w:lvl w:ilvl="2" w:tplc="6010A340">
      <w:start w:val="1"/>
      <w:numFmt w:val="bullet"/>
      <w:lvlText w:val="■"/>
      <w:lvlJc w:val="left"/>
      <w:pPr>
        <w:ind w:left="2160" w:hanging="360"/>
      </w:pPr>
    </w:lvl>
    <w:lvl w:ilvl="3" w:tplc="6E46E0A8">
      <w:start w:val="1"/>
      <w:numFmt w:val="bullet"/>
      <w:lvlText w:val="●"/>
      <w:lvlJc w:val="left"/>
      <w:pPr>
        <w:ind w:left="2880" w:hanging="360"/>
      </w:pPr>
    </w:lvl>
    <w:lvl w:ilvl="4" w:tplc="290866C2">
      <w:start w:val="1"/>
      <w:numFmt w:val="bullet"/>
      <w:lvlText w:val="○"/>
      <w:lvlJc w:val="left"/>
      <w:pPr>
        <w:ind w:left="3600" w:hanging="360"/>
      </w:pPr>
    </w:lvl>
    <w:lvl w:ilvl="5" w:tplc="886623AE">
      <w:start w:val="1"/>
      <w:numFmt w:val="bullet"/>
      <w:lvlText w:val="■"/>
      <w:lvlJc w:val="left"/>
      <w:pPr>
        <w:ind w:left="4320" w:hanging="360"/>
      </w:pPr>
    </w:lvl>
    <w:lvl w:ilvl="6" w:tplc="23281550">
      <w:start w:val="1"/>
      <w:numFmt w:val="bullet"/>
      <w:lvlText w:val="●"/>
      <w:lvlJc w:val="left"/>
      <w:pPr>
        <w:ind w:left="5040" w:hanging="360"/>
      </w:pPr>
    </w:lvl>
    <w:lvl w:ilvl="7" w:tplc="EFDC784C">
      <w:start w:val="1"/>
      <w:numFmt w:val="bullet"/>
      <w:lvlText w:val="●"/>
      <w:lvlJc w:val="left"/>
      <w:pPr>
        <w:ind w:left="5760" w:hanging="360"/>
      </w:pPr>
    </w:lvl>
    <w:lvl w:ilvl="8" w:tplc="63AC5114">
      <w:start w:val="1"/>
      <w:numFmt w:val="bullet"/>
      <w:lvlText w:val="●"/>
      <w:lvlJc w:val="left"/>
      <w:pPr>
        <w:ind w:left="6480" w:hanging="360"/>
      </w:pPr>
    </w:lvl>
  </w:abstractNum>
  <w:abstractNum w:abstractNumId="1" w15:restartNumberingAfterBreak="0">
    <w:nsid w:val="159D6015"/>
    <w:multiLevelType w:val="hybridMultilevel"/>
    <w:tmpl w:val="A3D4A214"/>
    <w:lvl w:ilvl="0" w:tplc="545A6C46">
      <w:start w:val="1"/>
      <w:numFmt w:val="bullet"/>
      <w:lvlText w:val="•"/>
      <w:lvlJc w:val="left"/>
      <w:pPr>
        <w:ind w:left="720" w:hanging="360"/>
      </w:pPr>
    </w:lvl>
    <w:lvl w:ilvl="1" w:tplc="325E8CFC">
      <w:numFmt w:val="decimal"/>
      <w:lvlText w:val=""/>
      <w:lvlJc w:val="left"/>
    </w:lvl>
    <w:lvl w:ilvl="2" w:tplc="1F684338">
      <w:numFmt w:val="decimal"/>
      <w:lvlText w:val=""/>
      <w:lvlJc w:val="left"/>
    </w:lvl>
    <w:lvl w:ilvl="3" w:tplc="2FDED218">
      <w:numFmt w:val="decimal"/>
      <w:lvlText w:val=""/>
      <w:lvlJc w:val="left"/>
    </w:lvl>
    <w:lvl w:ilvl="4" w:tplc="9550885A">
      <w:numFmt w:val="decimal"/>
      <w:lvlText w:val=""/>
      <w:lvlJc w:val="left"/>
    </w:lvl>
    <w:lvl w:ilvl="5" w:tplc="50C4C212">
      <w:numFmt w:val="decimal"/>
      <w:lvlText w:val=""/>
      <w:lvlJc w:val="left"/>
    </w:lvl>
    <w:lvl w:ilvl="6" w:tplc="D8C80400">
      <w:numFmt w:val="decimal"/>
      <w:lvlText w:val=""/>
      <w:lvlJc w:val="left"/>
    </w:lvl>
    <w:lvl w:ilvl="7" w:tplc="D18A2566">
      <w:numFmt w:val="decimal"/>
      <w:lvlText w:val=""/>
      <w:lvlJc w:val="left"/>
    </w:lvl>
    <w:lvl w:ilvl="8" w:tplc="34D40FDC">
      <w:numFmt w:val="decimal"/>
      <w:lvlText w:val=""/>
      <w:lvlJc w:val="left"/>
    </w:lvl>
  </w:abstractNum>
  <w:num w:numId="1" w16cid:durableId="108670782">
    <w:abstractNumId w:val="0"/>
    <w:lvlOverride w:ilvl="0">
      <w:startOverride w:val="1"/>
    </w:lvlOverride>
  </w:num>
  <w:num w:numId="2" w16cid:durableId="6170329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30C"/>
    <w:rsid w:val="0010556D"/>
    <w:rsid w:val="0041370B"/>
    <w:rsid w:val="0057538A"/>
    <w:rsid w:val="006063B9"/>
    <w:rsid w:val="00AE7238"/>
    <w:rsid w:val="00CA53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E9DB"/>
  <w15:docId w15:val="{EF547C83-ED8F-429E-959E-AE800F01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00" w:after="100"/>
      <w:outlineLvl w:val="1"/>
    </w:pPr>
    <w:rPr>
      <w:b/>
      <w:bCs/>
      <w:i/>
      <w:i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3646</Words>
  <Characters>24176</Characters>
  <Application>Microsoft Office Word</Application>
  <DocSecurity>0</DocSecurity>
  <Lines>371</Lines>
  <Paragraphs>176</Paragraphs>
  <ScaleCrop>false</ScaleCrop>
  <Company/>
  <LinksUpToDate>false</LinksUpToDate>
  <CharactersWithSpaces>27646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Farhad Kabir</dc:creator>
  <cp:lastModifiedBy>Farhad Kabir</cp:lastModifiedBy>
  <cp:revision>22</cp:revision>
  <dcterms:created xsi:type="dcterms:W3CDTF">2026-04-27T18:11:00Z</dcterms:created>
  <dcterms:modified xsi:type="dcterms:W3CDTF">2026-04-29T15:02:00Z</dcterms:modified>
</cp:coreProperties>
</file>