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300"/>
        <w:jc w:val="center"/>
      </w:pPr>
      <w:r>
        <w:rPr>
          <w:rFonts w:ascii="Tahoma" w:cs="Tahoma" w:eastAsia="Tahoma" w:hAnsi="Tahoma"/>
          <w:color w:val="5A6B75"/>
          <w:sz w:val="22"/>
          <w:szCs w:val="22"/>
        </w:rPr>
        <w:t xml:space="preserve">بسمه تعالی</w:t>
      </w:r>
    </w:p>
    <w:p>
      <w:pPr>
        <w:bidi/>
        <w:spacing w:after="30" w:before="60" w:line="420"/>
        <w:jc w:val="center"/>
      </w:pPr>
      <w:r>
        <w:rPr>
          <w:rFonts w:ascii="Tahoma" w:cs="Tahoma" w:eastAsia="Tahoma" w:hAnsi="Tahoma"/>
          <w:b/>
          <w:bCs/>
          <w:color w:val="0B2E4F"/>
          <w:sz w:val="34"/>
          <w:szCs w:val="34"/>
        </w:rPr>
        <w:t xml:space="preserve">قرارداد اجرای پروژهٔ شفاف‌سازی و یکپارچه‌سازی سیستم اطلاعاتی</w:t>
      </w:r>
    </w:p>
    <w:p>
      <w:pPr>
        <w:bidi/>
        <w:spacing w:after="20"/>
        <w:jc w:val="center"/>
      </w:pPr>
      <w:r>
        <w:rPr>
          <w:rFonts w:ascii="Tahoma" w:cs="Tahoma" w:eastAsia="Tahoma" w:hAnsi="Tahoma"/>
          <w:color w:val="2C6E8F"/>
          <w:sz w:val="22"/>
          <w:szCs w:val="22"/>
        </w:rPr>
        <w:t xml:space="preserve">(رمزگشایی دیتابیس، انبار داده، مایگریشن و متناظرسازی، و پلتفرم هوش تجاری)</w:t>
      </w:r>
    </w:p>
    <w:p>
      <w:pPr>
        <w:pBdr>
          <w:bottom w:val="single" w:color="B8860B" w:sz="10" w:space="8"/>
        </w:pBdr>
        <w:bidi/>
        <w:spacing w:after="200" w:before="30"/>
        <w:jc w:val="center"/>
      </w:pPr>
      <w:r>
        <w:rPr>
          <w:rFonts w:ascii="Tahoma" w:cs="Tahoma" w:eastAsia="Tahoma" w:hAnsi="Tahoma"/>
          <w:color w:val="5A6B75"/>
          <w:sz w:val="20"/>
          <w:szCs w:val="20"/>
        </w:rPr>
        <w:t xml:space="preserve">شمارهٔ قرارداد: ...................        تاریخ: ......../......../۱۴۰۴</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۱ — طرفین قرارداد</w:t>
      </w:r>
    </w:p>
    <w:p>
      <w:pPr>
        <w:bidi/>
        <w:spacing w:after="120" w:before="0" w:line="300"/>
        <w:jc w:val="both"/>
      </w:pPr>
      <w:r>
        <w:rPr>
          <w:rFonts w:ascii="Tahoma" w:cs="Tahoma" w:eastAsia="Tahoma" w:hAnsi="Tahoma"/>
          <w:b w:val="false"/>
          <w:bCs w:val="false"/>
          <w:color w:val="1A1A1A"/>
          <w:sz w:val="22"/>
          <w:szCs w:val="22"/>
        </w:rPr>
        <w:t xml:space="preserve">این قرارداد در تاریخ ......../......../۱۴۰۴ فی‌مابین طرفین زیر منعقد می‌گردد:</w:t>
      </w:r>
    </w:p>
    <w:p>
      <w:pPr>
        <w:bidi/>
        <w:spacing w:after="80" w:line="300"/>
        <w:ind w:right="360" w:hanging="360"/>
        <w:jc w:val="both"/>
      </w:pPr>
      <w:r>
        <w:rPr>
          <w:rFonts w:ascii="Tahoma" w:cs="Tahoma" w:eastAsia="Tahoma" w:hAnsi="Tahoma"/>
          <w:b/>
          <w:bCs/>
          <w:color w:val="0E7C86"/>
          <w:sz w:val="21"/>
          <w:szCs w:val="21"/>
        </w:rPr>
        <w:t xml:space="preserve">۱-۱)‏ </w:t>
      </w:r>
      <w:r>
        <w:rPr>
          <w:rFonts w:ascii="Tahoma" w:cs="Tahoma" w:eastAsia="Tahoma" w:hAnsi="Tahoma"/>
          <w:b w:val="false"/>
          <w:bCs w:val="false"/>
          <w:color w:val="1A1A1A"/>
          <w:sz w:val="21"/>
          <w:szCs w:val="21"/>
        </w:rPr>
        <w:t xml:space="preserve">کارفرما: شرکت صنعتی و خدمات مهندسی ایران، به شمارهٔ ثبت ............ و شناسهٔ ملی ............، به نشانی ............................، به نمایندگی آقای/خانم ............ (سمت: ............)، که از این پس در این قرارداد «کارفرما» نامیده می‌شود.</w:t>
      </w:r>
    </w:p>
    <w:p>
      <w:pPr>
        <w:bidi/>
        <w:spacing w:after="80" w:line="300"/>
        <w:ind w:right="360" w:hanging="360"/>
        <w:jc w:val="both"/>
      </w:pPr>
      <w:r>
        <w:rPr>
          <w:rFonts w:ascii="Tahoma" w:cs="Tahoma" w:eastAsia="Tahoma" w:hAnsi="Tahoma"/>
          <w:b/>
          <w:bCs/>
          <w:color w:val="0E7C86"/>
          <w:sz w:val="21"/>
          <w:szCs w:val="21"/>
        </w:rPr>
        <w:t xml:space="preserve">۱-۲)‏ </w:t>
      </w:r>
      <w:r>
        <w:rPr>
          <w:rFonts w:ascii="Tahoma" w:cs="Tahoma" w:eastAsia="Tahoma" w:hAnsi="Tahoma"/>
          <w:b w:val="false"/>
          <w:bCs w:val="false"/>
          <w:color w:val="1A1A1A"/>
          <w:sz w:val="21"/>
          <w:szCs w:val="21"/>
        </w:rPr>
        <w:t xml:space="preserve">مجری: شرکت فناوران فرایند فردا، به شمارهٔ ثبت ............ و شناسهٔ ملی ............، به نشانی ............................، به نمایندگی آقای/خانم ............ (سمت: ............)، که از این پس در این قرارداد «مجری» نامیده می‌شود.</w:t>
      </w:r>
    </w:p>
    <w:p>
      <w:pPr>
        <w:bidi/>
        <w:spacing w:after="120" w:before="0" w:line="300"/>
        <w:jc w:val="both"/>
      </w:pPr>
      <w:r>
        <w:rPr>
          <w:rFonts w:ascii="Tahoma" w:cs="Tahoma" w:eastAsia="Tahoma" w:hAnsi="Tahoma"/>
          <w:b w:val="false"/>
          <w:bCs w:val="false"/>
          <w:color w:val="1A1A1A"/>
          <w:sz w:val="22"/>
          <w:szCs w:val="22"/>
        </w:rPr>
        <w:t xml:space="preserve">طرفین با علم و آگاهی کامل نسبت به مفاد و آثار حقوقی آن، این قرارداد را امضا و اجرای مفاد آن را تعهد می‌نمایند.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۲ — موضوع قرارداد</w:t>
      </w:r>
    </w:p>
    <w:p>
      <w:pPr>
        <w:bidi/>
        <w:spacing w:after="120" w:before="0" w:line="300"/>
        <w:jc w:val="both"/>
      </w:pPr>
      <w:r>
        <w:rPr>
          <w:rFonts w:ascii="Tahoma" w:cs="Tahoma" w:eastAsia="Tahoma" w:hAnsi="Tahoma"/>
          <w:b w:val="false"/>
          <w:bCs w:val="false"/>
          <w:color w:val="1A1A1A"/>
          <w:sz w:val="22"/>
          <w:szCs w:val="22"/>
        </w:rPr>
        <w:t xml:space="preserve">طراحی و اجرای پروژهٔ شفاف‌سازی و یکپارچه‌سازی سیستم اطلاعاتی کارفرما میان سه سامانهٔ عملیات، انبار و حسابداری، مشتمل بر چهار فاز به شرح مادهٔ ۴، مطابق پروپوزال مورد تأیید کارفرما که به‌عنوان «پیوست شمارهٔ ۱» جزء لاینفک این قرارداد است.</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۳ — مدت قرارداد</w:t>
      </w:r>
    </w:p>
    <w:p>
      <w:pPr>
        <w:bidi/>
        <w:spacing w:after="80" w:line="300"/>
        <w:ind w:right="360" w:hanging="360"/>
        <w:jc w:val="both"/>
      </w:pPr>
      <w:r>
        <w:rPr>
          <w:rFonts w:ascii="Tahoma" w:cs="Tahoma" w:eastAsia="Tahoma" w:hAnsi="Tahoma"/>
          <w:b/>
          <w:bCs/>
          <w:color w:val="0E7C86"/>
          <w:sz w:val="21"/>
          <w:szCs w:val="21"/>
        </w:rPr>
        <w:t xml:space="preserve">۳-۱)‏ </w:t>
      </w:r>
      <w:r>
        <w:rPr>
          <w:rFonts w:ascii="Tahoma" w:cs="Tahoma" w:eastAsia="Tahoma" w:hAnsi="Tahoma"/>
          <w:b w:val="false"/>
          <w:bCs w:val="false"/>
          <w:color w:val="1A1A1A"/>
          <w:sz w:val="21"/>
          <w:szCs w:val="21"/>
        </w:rPr>
        <w:t xml:space="preserve">مدت اجرای پروژه ۵۵ روز کاری از تاریخ امضای قرارداد و دریافت پیش‌پرداخت و فراهم شدن دسترسی‌های موضوع مادهٔ ۷ است.</w:t>
      </w:r>
    </w:p>
    <w:p>
      <w:pPr>
        <w:bidi/>
        <w:spacing w:after="80" w:line="300"/>
        <w:ind w:right="360" w:hanging="360"/>
        <w:jc w:val="both"/>
      </w:pPr>
      <w:r>
        <w:rPr>
          <w:rFonts w:ascii="Tahoma" w:cs="Tahoma" w:eastAsia="Tahoma" w:hAnsi="Tahoma"/>
          <w:b/>
          <w:bCs/>
          <w:color w:val="0E7C86"/>
          <w:sz w:val="21"/>
          <w:szCs w:val="21"/>
        </w:rPr>
        <w:t xml:space="preserve">۳-۲)‏ </w:t>
      </w:r>
      <w:r>
        <w:rPr>
          <w:rFonts w:ascii="Tahoma" w:cs="Tahoma" w:eastAsia="Tahoma" w:hAnsi="Tahoma"/>
          <w:b w:val="false"/>
          <w:bCs w:val="false"/>
          <w:color w:val="1A1A1A"/>
          <w:sz w:val="21"/>
          <w:szCs w:val="21"/>
        </w:rPr>
        <w:t xml:space="preserve">دورهٔ پشتیبانی رایگان موضوع مادهٔ ۹ به مدت یک ماه پس از تحویل و تأیید فاز چهارم، به مدت قرارداد افزوده می‌گردد.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۴ — فازها و زمان‌بندی اجرا</w:t>
      </w:r>
    </w:p>
    <w:p>
      <w:pPr>
        <w:bidi/>
        <w:spacing w:after="120" w:before="0" w:line="300"/>
        <w:jc w:val="both"/>
      </w:pPr>
      <w:r>
        <w:rPr>
          <w:rFonts w:ascii="Tahoma" w:cs="Tahoma" w:eastAsia="Tahoma" w:hAnsi="Tahoma"/>
          <w:b w:val="false"/>
          <w:bCs w:val="false"/>
          <w:color w:val="1A1A1A"/>
          <w:sz w:val="22"/>
          <w:szCs w:val="22"/>
        </w:rPr>
        <w:t xml:space="preserve">پروژه در چهار فاز و بر اساس جدول زیر اجرا می‌شود. زمان‌بندی هر فاز پس از تحویل و تأیید فاز پیشین آغاز می‌گردد:</w:t>
      </w:r>
    </w:p>
    <w:p>
      <w:pPr>
        <w:spacing w:after="40"/>
      </w:pPr>
      <w:r>
        <w:t xml:space="preserve"/>
      </w:r>
    </w:p>
    <w:tbl>
      <w:tblPr>
        <w:bidiVisual/>
        <w:tblW w:type="dxa" w:w="9360"/>
        <w:tblBorders>
          <w:top w:val="single" w:color="CFE0E7" w:sz="4"/>
          <w:left w:val="single" w:color="CFE0E7" w:sz="4"/>
          <w:bottom w:val="single" w:color="CFE0E7" w:sz="4"/>
          <w:right w:val="single" w:color="CFE0E7" w:sz="4"/>
          <w:insideH w:val="single" w:color="CFE0E7" w:sz="4"/>
          <w:insideV w:val="single" w:color="CFE0E7" w:sz="4"/>
        </w:tblBorders>
        <w:tblLayout w:type="fixed"/>
      </w:tblPr>
      <w:tblGrid>
        <w:gridCol w:w="1300"/>
        <w:gridCol w:w="4560"/>
        <w:gridCol w:w="1700"/>
        <w:gridCol w:w="1800"/>
      </w:tblGrid>
      <w:tr>
        <w:trPr>
          <w:tblHeader/>
        </w:trPr>
        <w:tc>
          <w:tcPr>
            <w:tcW w:type="dxa" w:w="1300"/>
            <w:shd w:fill="0B2E4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FFFFFF"/>
                <w:sz w:val="20"/>
                <w:szCs w:val="20"/>
              </w:rPr>
              <w:t xml:space="preserve">فاز</w:t>
            </w:r>
          </w:p>
        </w:tc>
        <w:tc>
          <w:tcPr>
            <w:tcW w:type="dxa" w:w="4560"/>
            <w:shd w:fill="0B2E4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FFFFFF"/>
                <w:sz w:val="20"/>
                <w:szCs w:val="20"/>
              </w:rPr>
              <w:t xml:space="preserve">شرح</w:t>
            </w:r>
          </w:p>
        </w:tc>
        <w:tc>
          <w:tcPr>
            <w:tcW w:type="dxa" w:w="1700"/>
            <w:shd w:fill="0B2E4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FFFFFF"/>
                <w:sz w:val="20"/>
                <w:szCs w:val="20"/>
              </w:rPr>
              <w:t xml:space="preserve">مدت</w:t>
            </w:r>
          </w:p>
        </w:tc>
        <w:tc>
          <w:tcPr>
            <w:tcW w:type="dxa" w:w="1800"/>
            <w:shd w:fill="0B2E4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FFFFFF"/>
                <w:sz w:val="20"/>
                <w:szCs w:val="20"/>
              </w:rPr>
              <w:t xml:space="preserve">بازهٔ تجمعی</w:t>
            </w:r>
          </w:p>
        </w:tc>
      </w:tr>
      <w:tr>
        <w:tc>
          <w:tcPr>
            <w:tcW w:type="dxa" w:w="13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فاز ۱</w:t>
            </w:r>
          </w:p>
        </w:tc>
        <w:tc>
          <w:tcPr>
            <w:tcW w:type="dxa" w:w="4560"/>
            <w:shd w:fill="F5F9FB" w:color="auto" w:val="clear"/>
            <w:tcMar>
              <w:top w:type="dxa" w:w="70"/>
              <w:left w:type="dxa" w:w="90"/>
              <w:bottom w:type="dxa" w:w="70"/>
              <w:right w:type="dxa" w:w="90"/>
            </w:tcMar>
            <w:vAlign w:val="center"/>
          </w:tcPr>
          <w:p>
            <w:pPr>
              <w:bidi/>
              <w:spacing w:after="0" w:line="270"/>
              <w:jc w:val="right"/>
            </w:pPr>
            <w:r>
              <w:rPr>
                <w:rFonts w:ascii="Tahoma" w:cs="Tahoma" w:eastAsia="Tahoma" w:hAnsi="Tahoma"/>
                <w:b w:val="false"/>
                <w:bCs w:val="false"/>
                <w:color w:val="1A1A1A"/>
                <w:sz w:val="20"/>
                <w:szCs w:val="20"/>
              </w:rPr>
              <w:t xml:space="preserve">رمزگشایی دیتابیس سه نرم‌افزار</w:t>
            </w:r>
          </w:p>
        </w:tc>
        <w:tc>
          <w:tcPr>
            <w:tcW w:type="dxa" w:w="17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۱۰ روز</w:t>
            </w:r>
          </w:p>
        </w:tc>
        <w:tc>
          <w:tcPr>
            <w:tcW w:type="dxa" w:w="18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روز ۱ تا ۱۰</w:t>
            </w:r>
          </w:p>
        </w:tc>
      </w:tr>
      <w:tr>
        <w:tc>
          <w:tcPr>
            <w:tcW w:type="dxa" w:w="13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فاز ۲</w:t>
            </w:r>
          </w:p>
        </w:tc>
        <w:tc>
          <w:tcPr>
            <w:tcW w:type="dxa" w:w="4560"/>
            <w:shd w:fill="FFFFFF" w:color="auto" w:val="clear"/>
            <w:tcMar>
              <w:top w:type="dxa" w:w="70"/>
              <w:left w:type="dxa" w:w="90"/>
              <w:bottom w:type="dxa" w:w="70"/>
              <w:right w:type="dxa" w:w="90"/>
            </w:tcMar>
            <w:vAlign w:val="center"/>
          </w:tcPr>
          <w:p>
            <w:pPr>
              <w:bidi/>
              <w:spacing w:after="0" w:line="270"/>
              <w:jc w:val="right"/>
            </w:pPr>
            <w:r>
              <w:rPr>
                <w:rFonts w:ascii="Tahoma" w:cs="Tahoma" w:eastAsia="Tahoma" w:hAnsi="Tahoma"/>
                <w:b w:val="false"/>
                <w:bCs w:val="false"/>
                <w:color w:val="1A1A1A"/>
                <w:sz w:val="20"/>
                <w:szCs w:val="20"/>
              </w:rPr>
              <w:t xml:space="preserve">ساخت انبار داده</w:t>
            </w:r>
          </w:p>
        </w:tc>
        <w:tc>
          <w:tcPr>
            <w:tcW w:type="dxa" w:w="17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۱۰ روز</w:t>
            </w:r>
          </w:p>
        </w:tc>
        <w:tc>
          <w:tcPr>
            <w:tcW w:type="dxa" w:w="18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روز ۱۱ تا ۲۰</w:t>
            </w:r>
          </w:p>
        </w:tc>
      </w:tr>
      <w:tr>
        <w:tc>
          <w:tcPr>
            <w:tcW w:type="dxa" w:w="13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فاز ۳</w:t>
            </w:r>
          </w:p>
        </w:tc>
        <w:tc>
          <w:tcPr>
            <w:tcW w:type="dxa" w:w="4560"/>
            <w:shd w:fill="F5F9FB" w:color="auto" w:val="clear"/>
            <w:tcMar>
              <w:top w:type="dxa" w:w="70"/>
              <w:left w:type="dxa" w:w="90"/>
              <w:bottom w:type="dxa" w:w="70"/>
              <w:right w:type="dxa" w:w="90"/>
            </w:tcMar>
            <w:vAlign w:val="center"/>
          </w:tcPr>
          <w:p>
            <w:pPr>
              <w:bidi/>
              <w:spacing w:after="0" w:line="270"/>
              <w:jc w:val="right"/>
            </w:pPr>
            <w:r>
              <w:rPr>
                <w:rFonts w:ascii="Tahoma" w:cs="Tahoma" w:eastAsia="Tahoma" w:hAnsi="Tahoma"/>
                <w:b w:val="false"/>
                <w:bCs w:val="false"/>
                <w:color w:val="1A1A1A"/>
                <w:sz w:val="20"/>
                <w:szCs w:val="20"/>
              </w:rPr>
              <w:t xml:space="preserve">مایگریشن و متناظرسازی</w:t>
            </w:r>
          </w:p>
        </w:tc>
        <w:tc>
          <w:tcPr>
            <w:tcW w:type="dxa" w:w="17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۲۰ روز</w:t>
            </w:r>
          </w:p>
        </w:tc>
        <w:tc>
          <w:tcPr>
            <w:tcW w:type="dxa" w:w="18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روز ۲۱ تا ۴۰</w:t>
            </w:r>
          </w:p>
        </w:tc>
      </w:tr>
      <w:tr>
        <w:tc>
          <w:tcPr>
            <w:tcW w:type="dxa" w:w="13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فاز ۴</w:t>
            </w:r>
          </w:p>
        </w:tc>
        <w:tc>
          <w:tcPr>
            <w:tcW w:type="dxa" w:w="4560"/>
            <w:shd w:fill="FFFFFF" w:color="auto" w:val="clear"/>
            <w:tcMar>
              <w:top w:type="dxa" w:w="70"/>
              <w:left w:type="dxa" w:w="90"/>
              <w:bottom w:type="dxa" w:w="70"/>
              <w:right w:type="dxa" w:w="90"/>
            </w:tcMar>
            <w:vAlign w:val="center"/>
          </w:tcPr>
          <w:p>
            <w:pPr>
              <w:bidi/>
              <w:spacing w:after="0" w:line="270"/>
              <w:jc w:val="right"/>
            </w:pPr>
            <w:r>
              <w:rPr>
                <w:rFonts w:ascii="Tahoma" w:cs="Tahoma" w:eastAsia="Tahoma" w:hAnsi="Tahoma"/>
                <w:b w:val="false"/>
                <w:bCs w:val="false"/>
                <w:color w:val="1A1A1A"/>
                <w:sz w:val="20"/>
                <w:szCs w:val="20"/>
              </w:rPr>
              <w:t xml:space="preserve">پلتفرم BI و داشبوردها</w:t>
            </w:r>
          </w:p>
        </w:tc>
        <w:tc>
          <w:tcPr>
            <w:tcW w:type="dxa" w:w="17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۱۵ روز</w:t>
            </w:r>
          </w:p>
        </w:tc>
        <w:tc>
          <w:tcPr>
            <w:tcW w:type="dxa" w:w="18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روز ۴۱ تا ۵۵</w:t>
            </w:r>
          </w:p>
        </w:tc>
      </w:tr>
      <w:tr>
        <w:tc>
          <w:tcPr>
            <w:tcW w:type="dxa" w:w="1300"/>
            <w:shd w:fill="F1E3C6"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جمع</w:t>
            </w:r>
          </w:p>
        </w:tc>
        <w:tc>
          <w:tcPr>
            <w:tcW w:type="dxa" w:w="4560"/>
            <w:shd w:fill="F1E3C6" w:color="auto" w:val="clear"/>
            <w:tcMar>
              <w:top w:type="dxa" w:w="70"/>
              <w:left w:type="dxa" w:w="90"/>
              <w:bottom w:type="dxa" w:w="70"/>
              <w:right w:type="dxa" w:w="90"/>
            </w:tcMar>
            <w:vAlign w:val="center"/>
          </w:tcPr>
          <w:p>
            <w:pPr>
              <w:bidi/>
              <w:spacing w:after="0" w:line="270"/>
              <w:jc w:val="right"/>
            </w:pPr>
            <w:r>
              <w:rPr>
                <w:rFonts w:ascii="Tahoma" w:cs="Tahoma" w:eastAsia="Tahoma" w:hAnsi="Tahoma"/>
                <w:b/>
                <w:bCs/>
                <w:color w:val="1A1A1A"/>
                <w:sz w:val="20"/>
                <w:szCs w:val="20"/>
              </w:rPr>
              <w:t xml:space="preserve">کل اجرای پروژه</w:t>
            </w:r>
          </w:p>
        </w:tc>
        <w:tc>
          <w:tcPr>
            <w:tcW w:type="dxa" w:w="1700"/>
            <w:shd w:fill="F1E3C6"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۵۵ روز</w:t>
            </w:r>
          </w:p>
        </w:tc>
        <w:tc>
          <w:tcPr>
            <w:tcW w:type="dxa" w:w="1800"/>
            <w:shd w:fill="F1E3C6"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w:t>
            </w:r>
          </w:p>
        </w:tc>
      </w:tr>
    </w:tbl>
    <w:p>
      <w:pPr>
        <w:spacing w:after="40"/>
      </w:pPr>
      <w:r>
        <w:t xml:space="preserve"/>
      </w:r>
    </w:p>
    <w:p>
      <w:pPr>
        <w:bidi/>
        <w:spacing w:after="120" w:before="0" w:line="300"/>
        <w:jc w:val="both"/>
      </w:pPr>
      <w:r>
        <w:rPr>
          <w:rFonts w:ascii="Tahoma" w:cs="Tahoma" w:eastAsia="Tahoma" w:hAnsi="Tahoma"/>
          <w:b w:val="false"/>
          <w:bCs w:val="false"/>
          <w:color w:val="5A6B75"/>
          <w:sz w:val="20"/>
          <w:szCs w:val="20"/>
        </w:rPr>
        <w:t xml:space="preserve">شرح تفصیلی فعالیت‌ها و خروجی هر فاز مطابق پیوست شمارهٔ ۱ است.</w:t>
      </w:r>
    </w:p>
    <w:p>
      <w:r>
        <w:br w:type="page"/>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۵ — مبلغ قرارداد و نحوهٔ پرداخت</w:t>
      </w:r>
    </w:p>
    <w:p>
      <w:pPr>
        <w:bidi/>
        <w:spacing w:after="80" w:line="300"/>
        <w:ind w:right="360" w:hanging="360"/>
        <w:jc w:val="both"/>
      </w:pPr>
      <w:r>
        <w:rPr>
          <w:rFonts w:ascii="Tahoma" w:cs="Tahoma" w:eastAsia="Tahoma" w:hAnsi="Tahoma"/>
          <w:b/>
          <w:bCs/>
          <w:color w:val="0E7C86"/>
          <w:sz w:val="21"/>
          <w:szCs w:val="21"/>
        </w:rPr>
        <w:t xml:space="preserve">۵-۱)‏ </w:t>
      </w:r>
      <w:r>
        <w:rPr>
          <w:rFonts w:ascii="Tahoma" w:cs="Tahoma" w:eastAsia="Tahoma" w:hAnsi="Tahoma"/>
          <w:b w:val="false"/>
          <w:bCs w:val="false"/>
          <w:color w:val="1A1A1A"/>
          <w:sz w:val="21"/>
          <w:szCs w:val="21"/>
        </w:rPr>
        <w:t xml:space="preserve">مبلغ کل قرارداد ۳۹۹٬۵۰۰٬۰۰۰ تومان (سیصد و نود و نه میلیون و پانصد هزار تومان) است.</w:t>
      </w:r>
    </w:p>
    <w:p>
      <w:pPr>
        <w:bidi/>
        <w:spacing w:after="80" w:line="300"/>
        <w:ind w:right="360" w:hanging="360"/>
        <w:jc w:val="both"/>
      </w:pPr>
      <w:r>
        <w:rPr>
          <w:rFonts w:ascii="Tahoma" w:cs="Tahoma" w:eastAsia="Tahoma" w:hAnsi="Tahoma"/>
          <w:b/>
          <w:bCs/>
          <w:color w:val="0E7C86"/>
          <w:sz w:val="21"/>
          <w:szCs w:val="21"/>
        </w:rPr>
        <w:t xml:space="preserve">۵-۲)‏ </w:t>
      </w:r>
      <w:r>
        <w:rPr>
          <w:rFonts w:ascii="Tahoma" w:cs="Tahoma" w:eastAsia="Tahoma" w:hAnsi="Tahoma"/>
          <w:b w:val="false"/>
          <w:bCs w:val="false"/>
          <w:color w:val="1A1A1A"/>
          <w:sz w:val="21"/>
          <w:szCs w:val="21"/>
        </w:rPr>
        <w:t xml:space="preserve">پرداخت‌ها بر اساس جدول زیر و پس از تحویل و تأیید هر فاز انجام می‌شود:</w:t>
      </w:r>
    </w:p>
    <w:p>
      <w:pPr>
        <w:spacing w:after="40"/>
      </w:pPr>
      <w:r>
        <w:t xml:space="preserve"/>
      </w:r>
    </w:p>
    <w:tbl>
      <w:tblPr>
        <w:bidiVisual/>
        <w:tblW w:type="dxa" w:w="9360"/>
        <w:tblBorders>
          <w:top w:val="single" w:color="CFE0E7" w:sz="4"/>
          <w:left w:val="single" w:color="CFE0E7" w:sz="4"/>
          <w:bottom w:val="single" w:color="CFE0E7" w:sz="4"/>
          <w:right w:val="single" w:color="CFE0E7" w:sz="4"/>
          <w:insideH w:val="single" w:color="CFE0E7" w:sz="4"/>
          <w:insideV w:val="single" w:color="CFE0E7" w:sz="4"/>
        </w:tblBorders>
        <w:tblLayout w:type="fixed"/>
      </w:tblPr>
      <w:tblGrid>
        <w:gridCol w:w="900"/>
        <w:gridCol w:w="4560"/>
        <w:gridCol w:w="2100"/>
        <w:gridCol w:w="1800"/>
      </w:tblGrid>
      <w:tr>
        <w:trPr>
          <w:tblHeader/>
        </w:trPr>
        <w:tc>
          <w:tcPr>
            <w:tcW w:type="dxa" w:w="900"/>
            <w:shd w:fill="0B2E4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FFFFFF"/>
                <w:sz w:val="20"/>
                <w:szCs w:val="20"/>
              </w:rPr>
              <w:t xml:space="preserve">ردیف</w:t>
            </w:r>
          </w:p>
        </w:tc>
        <w:tc>
          <w:tcPr>
            <w:tcW w:type="dxa" w:w="4560"/>
            <w:shd w:fill="0B2E4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FFFFFF"/>
                <w:sz w:val="20"/>
                <w:szCs w:val="20"/>
              </w:rPr>
              <w:t xml:space="preserve">مرحله</w:t>
            </w:r>
          </w:p>
        </w:tc>
        <w:tc>
          <w:tcPr>
            <w:tcW w:type="dxa" w:w="2100"/>
            <w:shd w:fill="0B2E4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FFFFFF"/>
                <w:sz w:val="20"/>
                <w:szCs w:val="20"/>
              </w:rPr>
              <w:t xml:space="preserve">زمان پرداخت</w:t>
            </w:r>
          </w:p>
        </w:tc>
        <w:tc>
          <w:tcPr>
            <w:tcW w:type="dxa" w:w="1800"/>
            <w:shd w:fill="0B2E4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FFFFFF"/>
                <w:sz w:val="20"/>
                <w:szCs w:val="20"/>
              </w:rPr>
              <w:t xml:space="preserve">مبلغ (تومان)</w:t>
            </w:r>
          </w:p>
        </w:tc>
      </w:tr>
      <w:tr>
        <w:tc>
          <w:tcPr>
            <w:tcW w:type="dxa" w:w="9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۱</w:t>
            </w:r>
          </w:p>
        </w:tc>
        <w:tc>
          <w:tcPr>
            <w:tcW w:type="dxa" w:w="4560"/>
            <w:shd w:fill="F5F9FB" w:color="auto" w:val="clear"/>
            <w:tcMar>
              <w:top w:type="dxa" w:w="70"/>
              <w:left w:type="dxa" w:w="90"/>
              <w:bottom w:type="dxa" w:w="70"/>
              <w:right w:type="dxa" w:w="90"/>
            </w:tcMar>
            <w:vAlign w:val="center"/>
          </w:tcPr>
          <w:p>
            <w:pPr>
              <w:bidi/>
              <w:spacing w:after="0" w:line="270"/>
              <w:jc w:val="right"/>
            </w:pPr>
            <w:r>
              <w:rPr>
                <w:rFonts w:ascii="Tahoma" w:cs="Tahoma" w:eastAsia="Tahoma" w:hAnsi="Tahoma"/>
                <w:b w:val="false"/>
                <w:bCs w:val="false"/>
                <w:color w:val="1A1A1A"/>
                <w:sz w:val="20"/>
                <w:szCs w:val="20"/>
              </w:rPr>
              <w:t xml:space="preserve">پیش‌پرداخت</w:t>
            </w:r>
          </w:p>
        </w:tc>
        <w:tc>
          <w:tcPr>
            <w:tcW w:type="dxa" w:w="21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هنگام امضای قرارداد</w:t>
            </w:r>
          </w:p>
        </w:tc>
        <w:tc>
          <w:tcPr>
            <w:tcW w:type="dxa" w:w="18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۸۰٬۰۰۰٬۰۰۰</w:t>
            </w:r>
          </w:p>
        </w:tc>
      </w:tr>
      <w:tr>
        <w:tc>
          <w:tcPr>
            <w:tcW w:type="dxa" w:w="9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۲</w:t>
            </w:r>
          </w:p>
        </w:tc>
        <w:tc>
          <w:tcPr>
            <w:tcW w:type="dxa" w:w="4560"/>
            <w:shd w:fill="FFFFFF" w:color="auto" w:val="clear"/>
            <w:tcMar>
              <w:top w:type="dxa" w:w="70"/>
              <w:left w:type="dxa" w:w="90"/>
              <w:bottom w:type="dxa" w:w="70"/>
              <w:right w:type="dxa" w:w="90"/>
            </w:tcMar>
            <w:vAlign w:val="center"/>
          </w:tcPr>
          <w:p>
            <w:pPr>
              <w:bidi/>
              <w:spacing w:after="0" w:line="270"/>
              <w:jc w:val="right"/>
            </w:pPr>
            <w:r>
              <w:rPr>
                <w:rFonts w:ascii="Tahoma" w:cs="Tahoma" w:eastAsia="Tahoma" w:hAnsi="Tahoma"/>
                <w:b w:val="false"/>
                <w:bCs w:val="false"/>
                <w:color w:val="1A1A1A"/>
                <w:sz w:val="20"/>
                <w:szCs w:val="20"/>
              </w:rPr>
              <w:t xml:space="preserve">فاز اول — رمزگشایی دیتابیس</w:t>
            </w:r>
          </w:p>
        </w:tc>
        <w:tc>
          <w:tcPr>
            <w:tcW w:type="dxa" w:w="21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پس از تحویل و تأیید</w:t>
            </w:r>
          </w:p>
        </w:tc>
        <w:tc>
          <w:tcPr>
            <w:tcW w:type="dxa" w:w="18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۵۵٬۰۰۰٬۰۰۰</w:t>
            </w:r>
          </w:p>
        </w:tc>
      </w:tr>
      <w:tr>
        <w:tc>
          <w:tcPr>
            <w:tcW w:type="dxa" w:w="9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۳</w:t>
            </w:r>
          </w:p>
        </w:tc>
        <w:tc>
          <w:tcPr>
            <w:tcW w:type="dxa" w:w="4560"/>
            <w:shd w:fill="F5F9FB" w:color="auto" w:val="clear"/>
            <w:tcMar>
              <w:top w:type="dxa" w:w="70"/>
              <w:left w:type="dxa" w:w="90"/>
              <w:bottom w:type="dxa" w:w="70"/>
              <w:right w:type="dxa" w:w="90"/>
            </w:tcMar>
            <w:vAlign w:val="center"/>
          </w:tcPr>
          <w:p>
            <w:pPr>
              <w:bidi/>
              <w:spacing w:after="0" w:line="270"/>
              <w:jc w:val="right"/>
            </w:pPr>
            <w:r>
              <w:rPr>
                <w:rFonts w:ascii="Tahoma" w:cs="Tahoma" w:eastAsia="Tahoma" w:hAnsi="Tahoma"/>
                <w:b w:val="false"/>
                <w:bCs w:val="false"/>
                <w:color w:val="1A1A1A"/>
                <w:sz w:val="20"/>
                <w:szCs w:val="20"/>
              </w:rPr>
              <w:t xml:space="preserve">فاز دوم — ساخت انبار داده</w:t>
            </w:r>
          </w:p>
        </w:tc>
        <w:tc>
          <w:tcPr>
            <w:tcW w:type="dxa" w:w="21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پس از تحویل و تأیید</w:t>
            </w:r>
          </w:p>
        </w:tc>
        <w:tc>
          <w:tcPr>
            <w:tcW w:type="dxa" w:w="18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۸۴٬۵۰۰٬۰۰۰</w:t>
            </w:r>
          </w:p>
        </w:tc>
      </w:tr>
      <w:tr>
        <w:tc>
          <w:tcPr>
            <w:tcW w:type="dxa" w:w="9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۴</w:t>
            </w:r>
          </w:p>
        </w:tc>
        <w:tc>
          <w:tcPr>
            <w:tcW w:type="dxa" w:w="4560"/>
            <w:shd w:fill="FFFFFF" w:color="auto" w:val="clear"/>
            <w:tcMar>
              <w:top w:type="dxa" w:w="70"/>
              <w:left w:type="dxa" w:w="90"/>
              <w:bottom w:type="dxa" w:w="70"/>
              <w:right w:type="dxa" w:w="90"/>
            </w:tcMar>
            <w:vAlign w:val="center"/>
          </w:tcPr>
          <w:p>
            <w:pPr>
              <w:bidi/>
              <w:spacing w:after="0" w:line="270"/>
              <w:jc w:val="right"/>
            </w:pPr>
            <w:r>
              <w:rPr>
                <w:rFonts w:ascii="Tahoma" w:cs="Tahoma" w:eastAsia="Tahoma" w:hAnsi="Tahoma"/>
                <w:b w:val="false"/>
                <w:bCs w:val="false"/>
                <w:color w:val="1A1A1A"/>
                <w:sz w:val="20"/>
                <w:szCs w:val="20"/>
              </w:rPr>
              <w:t xml:space="preserve">فاز سوم — مایگریشن و متناظرسازی</w:t>
            </w:r>
          </w:p>
        </w:tc>
        <w:tc>
          <w:tcPr>
            <w:tcW w:type="dxa" w:w="21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پس از تحویل و تأیید</w:t>
            </w:r>
          </w:p>
        </w:tc>
        <w:tc>
          <w:tcPr>
            <w:tcW w:type="dxa" w:w="1800"/>
            <w:shd w:fill="FFFFFF"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۱۴۳٬۰۰۰٬۰۰۰</w:t>
            </w:r>
          </w:p>
        </w:tc>
      </w:tr>
      <w:tr>
        <w:tc>
          <w:tcPr>
            <w:tcW w:type="dxa" w:w="9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۵</w:t>
            </w:r>
          </w:p>
        </w:tc>
        <w:tc>
          <w:tcPr>
            <w:tcW w:type="dxa" w:w="4560"/>
            <w:shd w:fill="F5F9FB" w:color="auto" w:val="clear"/>
            <w:tcMar>
              <w:top w:type="dxa" w:w="70"/>
              <w:left w:type="dxa" w:w="90"/>
              <w:bottom w:type="dxa" w:w="70"/>
              <w:right w:type="dxa" w:w="90"/>
            </w:tcMar>
            <w:vAlign w:val="center"/>
          </w:tcPr>
          <w:p>
            <w:pPr>
              <w:bidi/>
              <w:spacing w:after="0" w:line="270"/>
              <w:jc w:val="right"/>
            </w:pPr>
            <w:r>
              <w:rPr>
                <w:rFonts w:ascii="Tahoma" w:cs="Tahoma" w:eastAsia="Tahoma" w:hAnsi="Tahoma"/>
                <w:b w:val="false"/>
                <w:bCs w:val="false"/>
                <w:color w:val="1A1A1A"/>
                <w:sz w:val="20"/>
                <w:szCs w:val="20"/>
              </w:rPr>
              <w:t xml:space="preserve">فاز چهارم — پلتفرم BI (به‌کسر پیش‌پرداخت)</w:t>
            </w:r>
          </w:p>
        </w:tc>
        <w:tc>
          <w:tcPr>
            <w:tcW w:type="dxa" w:w="21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پس از تحویل و تأیید</w:t>
            </w:r>
          </w:p>
        </w:tc>
        <w:tc>
          <w:tcPr>
            <w:tcW w:type="dxa" w:w="1800"/>
            <w:shd w:fill="F5F9FB" w:color="auto" w:val="clear"/>
            <w:tcMar>
              <w:top w:type="dxa" w:w="70"/>
              <w:left w:type="dxa" w:w="90"/>
              <w:bottom w:type="dxa" w:w="70"/>
              <w:right w:type="dxa" w:w="90"/>
            </w:tcMar>
            <w:vAlign w:val="center"/>
          </w:tcPr>
          <w:p>
            <w:pPr>
              <w:bidi/>
              <w:spacing w:after="0" w:line="270"/>
              <w:jc w:val="center"/>
            </w:pPr>
            <w:r>
              <w:rPr>
                <w:rFonts w:ascii="Tahoma" w:cs="Tahoma" w:eastAsia="Tahoma" w:hAnsi="Tahoma"/>
                <w:b w:val="false"/>
                <w:bCs w:val="false"/>
                <w:color w:val="1A1A1A"/>
                <w:sz w:val="20"/>
                <w:szCs w:val="20"/>
              </w:rPr>
              <w:t xml:space="preserve">۳۷٬۰۰۰٬۰۰۰</w:t>
            </w:r>
          </w:p>
        </w:tc>
      </w:tr>
      <w:tr>
        <w:tc>
          <w:tcPr>
            <w:tcW w:type="dxa" w:w="900"/>
            <w:shd w:fill="F1E3C6"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
            </w:r>
          </w:p>
        </w:tc>
        <w:tc>
          <w:tcPr>
            <w:tcW w:type="dxa" w:w="4560"/>
            <w:shd w:fill="F1E3C6" w:color="auto" w:val="clear"/>
            <w:tcMar>
              <w:top w:type="dxa" w:w="70"/>
              <w:left w:type="dxa" w:w="90"/>
              <w:bottom w:type="dxa" w:w="70"/>
              <w:right w:type="dxa" w:w="90"/>
            </w:tcMar>
            <w:vAlign w:val="center"/>
          </w:tcPr>
          <w:p>
            <w:pPr>
              <w:bidi/>
              <w:spacing w:after="0" w:line="270"/>
              <w:jc w:val="right"/>
            </w:pPr>
            <w:r>
              <w:rPr>
                <w:rFonts w:ascii="Tahoma" w:cs="Tahoma" w:eastAsia="Tahoma" w:hAnsi="Tahoma"/>
                <w:b/>
                <w:bCs/>
                <w:color w:val="1A1A1A"/>
                <w:sz w:val="20"/>
                <w:szCs w:val="20"/>
              </w:rPr>
              <w:t xml:space="preserve">جمع کل</w:t>
            </w:r>
          </w:p>
        </w:tc>
        <w:tc>
          <w:tcPr>
            <w:tcW w:type="dxa" w:w="2100"/>
            <w:shd w:fill="F1E3C6"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
            </w:r>
          </w:p>
        </w:tc>
        <w:tc>
          <w:tcPr>
            <w:tcW w:type="dxa" w:w="1800"/>
            <w:shd w:fill="F1E3C6" w:color="auto" w:val="clear"/>
            <w:tcMar>
              <w:top w:type="dxa" w:w="70"/>
              <w:left w:type="dxa" w:w="90"/>
              <w:bottom w:type="dxa" w:w="70"/>
              <w:right w:type="dxa" w:w="90"/>
            </w:tcMar>
            <w:vAlign w:val="center"/>
          </w:tcPr>
          <w:p>
            <w:pPr>
              <w:bidi/>
              <w:spacing w:after="0" w:line="270"/>
              <w:jc w:val="center"/>
            </w:pPr>
            <w:r>
              <w:rPr>
                <w:rFonts w:ascii="Tahoma" w:cs="Tahoma" w:eastAsia="Tahoma" w:hAnsi="Tahoma"/>
                <w:b/>
                <w:bCs/>
                <w:color w:val="1A1A1A"/>
                <w:sz w:val="20"/>
                <w:szCs w:val="20"/>
              </w:rPr>
              <w:t xml:space="preserve">۳۹۹٬۵۰۰٬۰۰۰</w:t>
            </w:r>
          </w:p>
        </w:tc>
      </w:tr>
    </w:tbl>
    <w:p>
      <w:pPr>
        <w:spacing w:after="60"/>
      </w:pPr>
      <w:r>
        <w:t xml:space="preserve"/>
      </w:r>
    </w:p>
    <w:p>
      <w:pPr>
        <w:bidi/>
        <w:spacing w:after="80" w:line="300"/>
        <w:ind w:right="360" w:hanging="360"/>
        <w:jc w:val="both"/>
      </w:pPr>
      <w:r>
        <w:rPr>
          <w:rFonts w:ascii="Tahoma" w:cs="Tahoma" w:eastAsia="Tahoma" w:hAnsi="Tahoma"/>
          <w:b/>
          <w:bCs/>
          <w:color w:val="0E7C86"/>
          <w:sz w:val="21"/>
          <w:szCs w:val="21"/>
        </w:rPr>
        <w:t xml:space="preserve">۵-۳)‏ </w:t>
      </w:r>
      <w:r>
        <w:rPr>
          <w:rFonts w:ascii="Tahoma" w:cs="Tahoma" w:eastAsia="Tahoma" w:hAnsi="Tahoma"/>
          <w:b w:val="false"/>
          <w:bCs w:val="false"/>
          <w:color w:val="1A1A1A"/>
          <w:sz w:val="21"/>
          <w:szCs w:val="21"/>
        </w:rPr>
        <w:t xml:space="preserve">کارفرما موظف است مبلغ هر مرحله را حداکثر ظرف ۷ روز کاری پس از تحویل و تأیید آن مرحله و در قبال ارائهٔ صورت‌حساب رسمی توسط مجری پرداخت نماید.</w:t>
      </w:r>
    </w:p>
    <w:p>
      <w:pPr>
        <w:bidi/>
        <w:spacing w:after="80" w:line="300"/>
        <w:ind w:right="360" w:hanging="360"/>
        <w:jc w:val="both"/>
      </w:pPr>
      <w:r>
        <w:rPr>
          <w:rFonts w:ascii="Tahoma" w:cs="Tahoma" w:eastAsia="Tahoma" w:hAnsi="Tahoma"/>
          <w:b/>
          <w:bCs/>
          <w:color w:val="0E7C86"/>
          <w:sz w:val="21"/>
          <w:szCs w:val="21"/>
        </w:rPr>
        <w:t xml:space="preserve">۵-۴)‏ </w:t>
      </w:r>
      <w:r>
        <w:rPr>
          <w:rFonts w:ascii="Tahoma" w:cs="Tahoma" w:eastAsia="Tahoma" w:hAnsi="Tahoma"/>
          <w:b w:val="false"/>
          <w:bCs w:val="false"/>
          <w:color w:val="1A1A1A"/>
          <w:sz w:val="21"/>
          <w:szCs w:val="21"/>
        </w:rPr>
        <w:t xml:space="preserve">کلیهٔ مبالغ مشمول کسورات قانونی (از جمله مالیات تکلیفی و در صورت شمول، بیمه) مطابق قوانین جاری است. مالیات بر ارزش افزوده در صورت شمول به مبالغ فوق افزوده و در قبال صورت‌حساب رسمی توسط کارفرما پرداخت می‌شود.</w:t>
      </w:r>
    </w:p>
    <w:p>
      <w:pPr>
        <w:bidi/>
        <w:spacing w:after="80" w:line="300"/>
        <w:ind w:right="360" w:hanging="360"/>
        <w:jc w:val="both"/>
      </w:pPr>
      <w:r>
        <w:rPr>
          <w:rFonts w:ascii="Tahoma" w:cs="Tahoma" w:eastAsia="Tahoma" w:hAnsi="Tahoma"/>
          <w:b/>
          <w:bCs/>
          <w:color w:val="0E7C86"/>
          <w:sz w:val="21"/>
          <w:szCs w:val="21"/>
        </w:rPr>
        <w:t xml:space="preserve">۵-۵)‏ </w:t>
      </w:r>
      <w:r>
        <w:rPr>
          <w:rFonts w:ascii="Tahoma" w:cs="Tahoma" w:eastAsia="Tahoma" w:hAnsi="Tahoma"/>
          <w:b w:val="false"/>
          <w:bCs w:val="false"/>
          <w:color w:val="1A1A1A"/>
          <w:sz w:val="21"/>
          <w:szCs w:val="21"/>
        </w:rPr>
        <w:t xml:space="preserve">کارفرما می‌تواند معادل ۱۰٪ از هر پرداخت را به‌عنوان تضمین حسن انجام کار کسر و پس از پایان دورهٔ پشتیبانی یک‌ماهه آزاد نماید. (این بند اختیاری است و در صورت توافق طرفین حذف می‌گردد.)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۶ — تحویل، بررسی و تأیید</w:t>
      </w:r>
    </w:p>
    <w:p>
      <w:pPr>
        <w:bidi/>
        <w:spacing w:after="80" w:line="300"/>
        <w:ind w:right="360" w:hanging="360"/>
        <w:jc w:val="both"/>
      </w:pPr>
      <w:r>
        <w:rPr>
          <w:rFonts w:ascii="Tahoma" w:cs="Tahoma" w:eastAsia="Tahoma" w:hAnsi="Tahoma"/>
          <w:b/>
          <w:bCs/>
          <w:color w:val="0E7C86"/>
          <w:sz w:val="21"/>
          <w:szCs w:val="21"/>
        </w:rPr>
        <w:t xml:space="preserve">۶-۱)‏ </w:t>
      </w:r>
      <w:r>
        <w:rPr>
          <w:rFonts w:ascii="Tahoma" w:cs="Tahoma" w:eastAsia="Tahoma" w:hAnsi="Tahoma"/>
          <w:b w:val="false"/>
          <w:bCs w:val="false"/>
          <w:color w:val="1A1A1A"/>
          <w:sz w:val="21"/>
          <w:szCs w:val="21"/>
        </w:rPr>
        <w:t xml:space="preserve">مجری هر فاز را به‌همراه مستندات مربوط، طی صورت‌جلسهٔ کتبی به کارفرما تحویل می‌دهد.</w:t>
      </w:r>
    </w:p>
    <w:p>
      <w:pPr>
        <w:bidi/>
        <w:spacing w:after="80" w:line="300"/>
        <w:ind w:right="360" w:hanging="360"/>
        <w:jc w:val="both"/>
      </w:pPr>
      <w:r>
        <w:rPr>
          <w:rFonts w:ascii="Tahoma" w:cs="Tahoma" w:eastAsia="Tahoma" w:hAnsi="Tahoma"/>
          <w:b/>
          <w:bCs/>
          <w:color w:val="0E7C86"/>
          <w:sz w:val="21"/>
          <w:szCs w:val="21"/>
        </w:rPr>
        <w:t xml:space="preserve">۶-۲)‏ </w:t>
      </w:r>
      <w:r>
        <w:rPr>
          <w:rFonts w:ascii="Tahoma" w:cs="Tahoma" w:eastAsia="Tahoma" w:hAnsi="Tahoma"/>
          <w:b w:val="false"/>
          <w:bCs w:val="false"/>
          <w:color w:val="1A1A1A"/>
          <w:sz w:val="21"/>
          <w:szCs w:val="21"/>
        </w:rPr>
        <w:t xml:space="preserve">کارفرما موظف است ظرف ۵ روز کاری، فاز تحویل‌شده را بررسی و به‌صورت کتبی تأیید یا موارد اصلاحی مستند و مرتبط با موضوع قرارداد را اعلام نماید.</w:t>
      </w:r>
    </w:p>
    <w:p>
      <w:pPr>
        <w:bidi/>
        <w:spacing w:after="80" w:line="300"/>
        <w:ind w:right="360" w:hanging="360"/>
        <w:jc w:val="both"/>
      </w:pPr>
      <w:r>
        <w:rPr>
          <w:rFonts w:ascii="Tahoma" w:cs="Tahoma" w:eastAsia="Tahoma" w:hAnsi="Tahoma"/>
          <w:b/>
          <w:bCs/>
          <w:color w:val="0E7C86"/>
          <w:sz w:val="21"/>
          <w:szCs w:val="21"/>
        </w:rPr>
        <w:t xml:space="preserve">۶-۳)‏ </w:t>
      </w:r>
      <w:r>
        <w:rPr>
          <w:rFonts w:ascii="Tahoma" w:cs="Tahoma" w:eastAsia="Tahoma" w:hAnsi="Tahoma"/>
          <w:b w:val="false"/>
          <w:bCs w:val="false"/>
          <w:color w:val="1A1A1A"/>
          <w:sz w:val="21"/>
          <w:szCs w:val="21"/>
        </w:rPr>
        <w:t xml:space="preserve">چنانچه کارفرما ظرف مهلت فوق نظری اعلام نکند، فاز مربوط تحویل‌شده و تأییدشده تلقی می‌گردد و مبنای پرداخت قرار می‌گیرد.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۷ — تعهدات مجری</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اجرای کامل موضوع قرارداد مطابق فازها، خروجی‌ها و کیفیت مندرج در پیوست شمارهٔ ۱.</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رعایت زمان‌بندی مادهٔ ۴ و تحویل خروجی هر فاز در موعد مقرر.</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به‌کارگیری نیروی متخصص و ابزار مناسب برای اجرای پروژه.</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حفظ محرمانگی کامل داده‌ها و اطلاعات کارفرما مطابق مادهٔ ۱۰.</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ارائهٔ مستندات فنی و آموزش کاربران در پایان فاز چهارم.</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ارائهٔ پشتیبانی رایگان یک‌ماهه پس از تحویل مطابق مادهٔ ۹.</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۸ — تعهدات کارفرما</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فراهم‌سازی دسترسی لازم و امن به سه سامانهٔ عملیات، انبار و حسابداری و داده‌های شعب.</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معرفی نمایندهٔ فنی و ادارای مطلع برای هماهنگی و پاسخ‌گویی به‌موقع.</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بررسی و تأیید به‌موقع خروجی هر فاز مطابق مادهٔ ۶.</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پرداخت به‌موقع مبالغ قرارداد مطابق مادهٔ ۵.</w:t>
      </w:r>
    </w:p>
    <w:p>
      <w:pPr>
        <w:pStyle w:val="ListParagraph"/>
        <w:numPr>
          <w:ilvl w:val="0"/>
          <w:numId w:val="2"/>
        </w:numPr>
        <w:bidi/>
        <w:spacing w:after="70" w:line="290"/>
        <w:jc w:val="both"/>
      </w:pPr>
      <w:r>
        <w:rPr>
          <w:rFonts w:ascii="Tahoma" w:cs="Tahoma" w:eastAsia="Tahoma" w:hAnsi="Tahoma"/>
          <w:b w:val="false"/>
          <w:bCs w:val="false"/>
          <w:color w:val="1A1A1A"/>
          <w:sz w:val="21"/>
          <w:szCs w:val="21"/>
        </w:rPr>
        <w:t xml:space="preserve">در صورت نیاز به همکاری اشخاص ثالث (از جمله شرکت‌های ارائه‌دهندهٔ نرم‌افزارها)، هماهنگی و پیگیری لازم را انجام دهد.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۹ — پشتیبانی</w:t>
      </w:r>
    </w:p>
    <w:p>
      <w:pPr>
        <w:bidi/>
        <w:spacing w:after="80" w:line="300"/>
        <w:ind w:right="360" w:hanging="360"/>
        <w:jc w:val="both"/>
      </w:pPr>
      <w:r>
        <w:rPr>
          <w:rFonts w:ascii="Tahoma" w:cs="Tahoma" w:eastAsia="Tahoma" w:hAnsi="Tahoma"/>
          <w:b/>
          <w:bCs/>
          <w:color w:val="0E7C86"/>
          <w:sz w:val="21"/>
          <w:szCs w:val="21"/>
        </w:rPr>
        <w:t xml:space="preserve">۹-۱)‏ </w:t>
      </w:r>
      <w:r>
        <w:rPr>
          <w:rFonts w:ascii="Tahoma" w:cs="Tahoma" w:eastAsia="Tahoma" w:hAnsi="Tahoma"/>
          <w:b w:val="false"/>
          <w:bCs w:val="false"/>
          <w:color w:val="1A1A1A"/>
          <w:sz w:val="21"/>
          <w:szCs w:val="21"/>
        </w:rPr>
        <w:t xml:space="preserve">مجری به مدت یک ماه پس از تحویل و تأیید فاز چهارم، پشتیبانی رایگان شامل رفع اشکال، تنظیم و اصلاح داشبوردها و پاسخ‌گویی فنی را ارائه می‌دهد.</w:t>
      </w:r>
    </w:p>
    <w:p>
      <w:pPr>
        <w:bidi/>
        <w:spacing w:after="80" w:line="300"/>
        <w:ind w:right="360" w:hanging="360"/>
        <w:jc w:val="both"/>
      </w:pPr>
      <w:r>
        <w:rPr>
          <w:rFonts w:ascii="Tahoma" w:cs="Tahoma" w:eastAsia="Tahoma" w:hAnsi="Tahoma"/>
          <w:b/>
          <w:bCs/>
          <w:color w:val="0E7C86"/>
          <w:sz w:val="21"/>
          <w:szCs w:val="21"/>
        </w:rPr>
        <w:t xml:space="preserve">۹-۲)‏ </w:t>
      </w:r>
      <w:r>
        <w:rPr>
          <w:rFonts w:ascii="Tahoma" w:cs="Tahoma" w:eastAsia="Tahoma" w:hAnsi="Tahoma"/>
          <w:b w:val="false"/>
          <w:bCs w:val="false"/>
          <w:color w:val="1A1A1A"/>
          <w:sz w:val="21"/>
          <w:szCs w:val="21"/>
        </w:rPr>
        <w:t xml:space="preserve">توسعه یا افزودن قابلیت‌های جدید خارج از موضوع قرارداد، پس از دورهٔ فوق، تابع توافق و قرارداد جداگانه خواهد بود.</w:t>
      </w:r>
    </w:p>
    <w:p>
      <w:r>
        <w:br w:type="page"/>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۱۰ — جریمهٔ تأخیر و خسارت</w:t>
      </w:r>
    </w:p>
    <w:p>
      <w:pPr>
        <w:bidi/>
        <w:spacing w:after="80" w:line="300"/>
        <w:ind w:right="360" w:hanging="360"/>
        <w:jc w:val="both"/>
      </w:pPr>
      <w:r>
        <w:rPr>
          <w:rFonts w:ascii="Tahoma" w:cs="Tahoma" w:eastAsia="Tahoma" w:hAnsi="Tahoma"/>
          <w:b/>
          <w:bCs/>
          <w:color w:val="0E7C86"/>
          <w:sz w:val="21"/>
          <w:szCs w:val="21"/>
        </w:rPr>
        <w:t xml:space="preserve">۱۰-۱)‏ </w:t>
      </w:r>
      <w:r>
        <w:rPr>
          <w:rFonts w:ascii="Tahoma" w:cs="Tahoma" w:eastAsia="Tahoma" w:hAnsi="Tahoma"/>
          <w:b w:val="false"/>
          <w:bCs w:val="false"/>
          <w:color w:val="1A1A1A"/>
          <w:sz w:val="21"/>
          <w:szCs w:val="21"/>
        </w:rPr>
        <w:t xml:space="preserve">در صورت تأخیر مجری در تحویل هر فاز نسبت به زمان‌بندی مادهٔ ۴، به‌ازای هر روز تقویمی تأخیر معادل نیم درصد (۰٫۵٪) مبلغ همان فاز به‌عنوان جریمه از مطالبات مجری کسر می‌گردد؛ سقف جریمهٔ هر فاز ۱۰٪ مبلغ آن فاز است.</w:t>
      </w:r>
    </w:p>
    <w:p>
      <w:pPr>
        <w:bidi/>
        <w:spacing w:after="80" w:line="300"/>
        <w:ind w:right="360" w:hanging="360"/>
        <w:jc w:val="both"/>
      </w:pPr>
      <w:r>
        <w:rPr>
          <w:rFonts w:ascii="Tahoma" w:cs="Tahoma" w:eastAsia="Tahoma" w:hAnsi="Tahoma"/>
          <w:b/>
          <w:bCs/>
          <w:color w:val="0E7C86"/>
          <w:sz w:val="21"/>
          <w:szCs w:val="21"/>
        </w:rPr>
        <w:t xml:space="preserve">۱۰-۲)‏ </w:t>
      </w:r>
      <w:r>
        <w:rPr>
          <w:rFonts w:ascii="Tahoma" w:cs="Tahoma" w:eastAsia="Tahoma" w:hAnsi="Tahoma"/>
          <w:b w:val="false"/>
          <w:bCs w:val="false"/>
          <w:color w:val="1A1A1A"/>
          <w:sz w:val="21"/>
          <w:szCs w:val="21"/>
        </w:rPr>
        <w:t xml:space="preserve">چنانچه تأخیر مجری در تحویل یک فاز از ۱۵ روز تقویمی تجاوز کند، کارفرما حق فسخ یک‌طرفهٔ قرارداد و مطالبهٔ خسارت وارده را خواهد داشت.</w:t>
      </w:r>
    </w:p>
    <w:p>
      <w:pPr>
        <w:bidi/>
        <w:spacing w:after="80" w:line="300"/>
        <w:ind w:right="360" w:hanging="360"/>
        <w:jc w:val="both"/>
      </w:pPr>
      <w:r>
        <w:rPr>
          <w:rFonts w:ascii="Tahoma" w:cs="Tahoma" w:eastAsia="Tahoma" w:hAnsi="Tahoma"/>
          <w:b/>
          <w:bCs/>
          <w:color w:val="0E7C86"/>
          <w:sz w:val="21"/>
          <w:szCs w:val="21"/>
        </w:rPr>
        <w:t xml:space="preserve">۱۰-۳)‏ </w:t>
      </w:r>
      <w:r>
        <w:rPr>
          <w:rFonts w:ascii="Tahoma" w:cs="Tahoma" w:eastAsia="Tahoma" w:hAnsi="Tahoma"/>
          <w:b w:val="false"/>
          <w:bCs w:val="false"/>
          <w:color w:val="1A1A1A"/>
          <w:sz w:val="21"/>
          <w:szCs w:val="21"/>
        </w:rPr>
        <w:t xml:space="preserve">در صورت تأخیر کارفرما در پرداخت هر مرحله بیش از مهلت بند ۵-۳، به‌ازای هر روز تأخیر معادل نیم درصد (۰٫۵٪) مبلغ آن مرحله به مطالبات مجری افزوده شده و زمان‌بندی پروژه به‌همان میزان تمدید می‌گردد.</w:t>
      </w:r>
    </w:p>
    <w:p>
      <w:pPr>
        <w:bidi/>
        <w:spacing w:after="80" w:line="300"/>
        <w:ind w:right="360" w:hanging="360"/>
        <w:jc w:val="both"/>
      </w:pPr>
      <w:r>
        <w:rPr>
          <w:rFonts w:ascii="Tahoma" w:cs="Tahoma" w:eastAsia="Tahoma" w:hAnsi="Tahoma"/>
          <w:b/>
          <w:bCs/>
          <w:color w:val="0E7C86"/>
          <w:sz w:val="21"/>
          <w:szCs w:val="21"/>
        </w:rPr>
        <w:t xml:space="preserve">۱۰-۴)‏ </w:t>
      </w:r>
      <w:r>
        <w:rPr>
          <w:rFonts w:ascii="Tahoma" w:cs="Tahoma" w:eastAsia="Tahoma" w:hAnsi="Tahoma"/>
          <w:b w:val="false"/>
          <w:bCs w:val="false"/>
          <w:color w:val="1A1A1A"/>
          <w:sz w:val="21"/>
          <w:szCs w:val="21"/>
        </w:rPr>
        <w:t xml:space="preserve">تأخیرات ناشی از قصور کارفرما (از جمله عدم تأمین دسترسی، داده یا تأییدهای به‌موقع) جزو تأخیر مجری محسوب نمی‌شود و زمان‌بندی به‌همان نسبت تمدید می‌گردد.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۱۱ — محرمانگی</w:t>
      </w:r>
    </w:p>
    <w:p>
      <w:pPr>
        <w:bidi/>
        <w:spacing w:after="80" w:line="300"/>
        <w:ind w:right="360" w:hanging="360"/>
        <w:jc w:val="both"/>
      </w:pPr>
      <w:r>
        <w:rPr>
          <w:rFonts w:ascii="Tahoma" w:cs="Tahoma" w:eastAsia="Tahoma" w:hAnsi="Tahoma"/>
          <w:b/>
          <w:bCs/>
          <w:color w:val="0E7C86"/>
          <w:sz w:val="21"/>
          <w:szCs w:val="21"/>
        </w:rPr>
        <w:t xml:space="preserve">۱۱-۱)‏ </w:t>
      </w:r>
      <w:r>
        <w:rPr>
          <w:rFonts w:ascii="Tahoma" w:cs="Tahoma" w:eastAsia="Tahoma" w:hAnsi="Tahoma"/>
          <w:b w:val="false"/>
          <w:bCs w:val="false"/>
          <w:color w:val="1A1A1A"/>
          <w:sz w:val="21"/>
          <w:szCs w:val="21"/>
        </w:rPr>
        <w:t xml:space="preserve">مجری متعهد است کلیهٔ داده‌ها، اطلاعات مالی، عملیاتی و فنی کارفرما را که در جریان این قرارداد در اختیار می‌گیرد، کاملاً محرمانه تلقی نموده و از افشا یا استفادهٔ آن خارج از موضوع قرارداد خودداری کند.</w:t>
      </w:r>
    </w:p>
    <w:p>
      <w:pPr>
        <w:bidi/>
        <w:spacing w:after="80" w:line="300"/>
        <w:ind w:right="360" w:hanging="360"/>
        <w:jc w:val="both"/>
      </w:pPr>
      <w:r>
        <w:rPr>
          <w:rFonts w:ascii="Tahoma" w:cs="Tahoma" w:eastAsia="Tahoma" w:hAnsi="Tahoma"/>
          <w:b/>
          <w:bCs/>
          <w:color w:val="0E7C86"/>
          <w:sz w:val="21"/>
          <w:szCs w:val="21"/>
        </w:rPr>
        <w:t xml:space="preserve">۱۱-۲)‏ </w:t>
      </w:r>
      <w:r>
        <w:rPr>
          <w:rFonts w:ascii="Tahoma" w:cs="Tahoma" w:eastAsia="Tahoma" w:hAnsi="Tahoma"/>
          <w:b w:val="false"/>
          <w:bCs w:val="false"/>
          <w:color w:val="1A1A1A"/>
          <w:sz w:val="21"/>
          <w:szCs w:val="21"/>
        </w:rPr>
        <w:t xml:space="preserve">تعهد محرمانگی پس از خاتمه یا فسخ قرارداد نیز به قوت خود باقی است.</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۱۲ — مالکیت داده و خروجی‌ها</w:t>
      </w:r>
    </w:p>
    <w:p>
      <w:pPr>
        <w:bidi/>
        <w:spacing w:after="80" w:line="300"/>
        <w:ind w:right="360" w:hanging="360"/>
        <w:jc w:val="both"/>
      </w:pPr>
      <w:r>
        <w:rPr>
          <w:rFonts w:ascii="Tahoma" w:cs="Tahoma" w:eastAsia="Tahoma" w:hAnsi="Tahoma"/>
          <w:b/>
          <w:bCs/>
          <w:color w:val="0E7C86"/>
          <w:sz w:val="21"/>
          <w:szCs w:val="21"/>
        </w:rPr>
        <w:t xml:space="preserve">۱۲-۱)‏ </w:t>
      </w:r>
      <w:r>
        <w:rPr>
          <w:rFonts w:ascii="Tahoma" w:cs="Tahoma" w:eastAsia="Tahoma" w:hAnsi="Tahoma"/>
          <w:b w:val="false"/>
          <w:bCs w:val="false"/>
          <w:color w:val="1A1A1A"/>
          <w:sz w:val="21"/>
          <w:szCs w:val="21"/>
        </w:rPr>
        <w:t xml:space="preserve">کلیهٔ داده‌های کارفرما متعلق به کارفرما است و مجری هیچ‌گونه حق مالکیتی نسبت به آن‌ها ندارد.</w:t>
      </w:r>
    </w:p>
    <w:p>
      <w:pPr>
        <w:bidi/>
        <w:spacing w:after="80" w:line="300"/>
        <w:ind w:right="360" w:hanging="360"/>
        <w:jc w:val="both"/>
      </w:pPr>
      <w:r>
        <w:rPr>
          <w:rFonts w:ascii="Tahoma" w:cs="Tahoma" w:eastAsia="Tahoma" w:hAnsi="Tahoma"/>
          <w:b/>
          <w:bCs/>
          <w:color w:val="0E7C86"/>
          <w:sz w:val="21"/>
          <w:szCs w:val="21"/>
        </w:rPr>
        <w:t xml:space="preserve">۱۲-۲)‏ </w:t>
      </w:r>
      <w:r>
        <w:rPr>
          <w:rFonts w:ascii="Tahoma" w:cs="Tahoma" w:eastAsia="Tahoma" w:hAnsi="Tahoma"/>
          <w:b w:val="false"/>
          <w:bCs w:val="false"/>
          <w:color w:val="1A1A1A"/>
          <w:sz w:val="21"/>
          <w:szCs w:val="21"/>
        </w:rPr>
        <w:t xml:space="preserve">خروجی‌ها، مستندات و داشبوردهای تولیدشده در این پروژه، پس از تسویهٔ کامل مالی، به کارفرما تعلق می‌گیرد.</w:t>
      </w:r>
    </w:p>
    <w:p>
      <w:pPr>
        <w:bidi/>
        <w:spacing w:after="80" w:line="300"/>
        <w:ind w:right="360" w:hanging="360"/>
        <w:jc w:val="both"/>
      </w:pPr>
      <w:r>
        <w:rPr>
          <w:rFonts w:ascii="Tahoma" w:cs="Tahoma" w:eastAsia="Tahoma" w:hAnsi="Tahoma"/>
          <w:b/>
          <w:bCs/>
          <w:color w:val="0E7C86"/>
          <w:sz w:val="21"/>
          <w:szCs w:val="21"/>
        </w:rPr>
        <w:t xml:space="preserve">۱۲-۳)‏ </w:t>
      </w:r>
      <w:r>
        <w:rPr>
          <w:rFonts w:ascii="Tahoma" w:cs="Tahoma" w:eastAsia="Tahoma" w:hAnsi="Tahoma"/>
          <w:b w:val="false"/>
          <w:bCs w:val="false"/>
          <w:color w:val="1A1A1A"/>
          <w:sz w:val="21"/>
          <w:szCs w:val="21"/>
        </w:rPr>
        <w:t xml:space="preserve">دانش فنی و ابزارهای عمومیِ مجری که مستقل از داده‌های کارفرما است، در مالکیت مجری باقی می‌ماند.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۱۳ — فسخ قرارداد</w:t>
      </w:r>
    </w:p>
    <w:p>
      <w:pPr>
        <w:bidi/>
        <w:spacing w:after="80" w:line="300"/>
        <w:ind w:right="360" w:hanging="360"/>
        <w:jc w:val="both"/>
      </w:pPr>
      <w:r>
        <w:rPr>
          <w:rFonts w:ascii="Tahoma" w:cs="Tahoma" w:eastAsia="Tahoma" w:hAnsi="Tahoma"/>
          <w:b/>
          <w:bCs/>
          <w:color w:val="0E7C86"/>
          <w:sz w:val="21"/>
          <w:szCs w:val="21"/>
        </w:rPr>
        <w:t xml:space="preserve">۱۳-۱)‏ </w:t>
      </w:r>
      <w:r>
        <w:rPr>
          <w:rFonts w:ascii="Tahoma" w:cs="Tahoma" w:eastAsia="Tahoma" w:hAnsi="Tahoma"/>
          <w:b w:val="false"/>
          <w:bCs w:val="false"/>
          <w:color w:val="1A1A1A"/>
          <w:sz w:val="21"/>
          <w:szCs w:val="21"/>
        </w:rPr>
        <w:t xml:space="preserve">در صورت نقض تعهدات اساسی هر یک از طرفین و عدم رفع آن ظرف ۷ روز کاری پس از اخطار کتبی، طرف مقابل حق فسخ قرارداد را خواهد داشت.</w:t>
      </w:r>
    </w:p>
    <w:p>
      <w:pPr>
        <w:bidi/>
        <w:spacing w:after="80" w:line="300"/>
        <w:ind w:right="360" w:hanging="360"/>
        <w:jc w:val="both"/>
      </w:pPr>
      <w:r>
        <w:rPr>
          <w:rFonts w:ascii="Tahoma" w:cs="Tahoma" w:eastAsia="Tahoma" w:hAnsi="Tahoma"/>
          <w:b/>
          <w:bCs/>
          <w:color w:val="0E7C86"/>
          <w:sz w:val="21"/>
          <w:szCs w:val="21"/>
        </w:rPr>
        <w:t xml:space="preserve">۱۳-۲)‏ </w:t>
      </w:r>
      <w:r>
        <w:rPr>
          <w:rFonts w:ascii="Tahoma" w:cs="Tahoma" w:eastAsia="Tahoma" w:hAnsi="Tahoma"/>
          <w:b w:val="false"/>
          <w:bCs w:val="false"/>
          <w:color w:val="1A1A1A"/>
          <w:sz w:val="21"/>
          <w:szCs w:val="21"/>
        </w:rPr>
        <w:t xml:space="preserve">در صورت فسخ، هزینهٔ فازهای تحویل‌شده و تأییدشده و نیز کار انجام‌شدهٔ فاز جاری به‌نسبت پیشرفت، پس از کسر جرایم احتمالی، تسویه می‌گردد.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۱۴ — فورس ماژور</w:t>
      </w:r>
    </w:p>
    <w:p>
      <w:pPr>
        <w:bidi/>
        <w:spacing w:after="120" w:before="0" w:line="300"/>
        <w:jc w:val="both"/>
      </w:pPr>
      <w:r>
        <w:rPr>
          <w:rFonts w:ascii="Tahoma" w:cs="Tahoma" w:eastAsia="Tahoma" w:hAnsi="Tahoma"/>
          <w:b w:val="false"/>
          <w:bCs w:val="false"/>
          <w:color w:val="1A1A1A"/>
          <w:sz w:val="22"/>
          <w:szCs w:val="22"/>
        </w:rPr>
        <w:t xml:space="preserve">در صورت بروز حوادث قهری و خارج از ارادهٔ طرفین (از جمله بلایای طبیعی، قطع سراسری زیرساخت، یا تصمیمات حاکمیتی) که اجرای قرارداد را ناممکن یا متوقف سازد، تعهدات طرفین در آن بازه معلق و زمان‌بندی به‌همان میزان تمدید می‌گردد. در صورت تداوم بیش از ۳۰ روز، طرفین دربارهٔ ادامه یا خاتمهٔ قرارداد تصمیم‌گیری خواهند کرد.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۱۵ — حل اختلاف</w:t>
      </w:r>
    </w:p>
    <w:p>
      <w:pPr>
        <w:bidi/>
        <w:spacing w:after="120" w:before="0" w:line="300"/>
        <w:jc w:val="both"/>
      </w:pPr>
      <w:r>
        <w:rPr>
          <w:rFonts w:ascii="Tahoma" w:cs="Tahoma" w:eastAsia="Tahoma" w:hAnsi="Tahoma"/>
          <w:b w:val="false"/>
          <w:bCs w:val="false"/>
          <w:color w:val="1A1A1A"/>
          <w:sz w:val="22"/>
          <w:szCs w:val="22"/>
        </w:rPr>
        <w:t xml:space="preserve">چنانچه در تفسیر یا اجرای این قرارداد اختلافی بروز کند، طرفین ابتدا از طریق مذاکره و سازش نسبت به حل آن اقدام می‌نمایند. در صورت عدم حصول نتیجه، موضوع از طریق مراجع قضایی صالح رسیدگی خواهد شد.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۱۶ — اقامتگاه قانونی و ابلاغ</w:t>
      </w:r>
    </w:p>
    <w:p>
      <w:pPr>
        <w:bidi/>
        <w:spacing w:after="120" w:before="0" w:line="300"/>
        <w:jc w:val="both"/>
      </w:pPr>
      <w:r>
        <w:rPr>
          <w:rFonts w:ascii="Tahoma" w:cs="Tahoma" w:eastAsia="Tahoma" w:hAnsi="Tahoma"/>
          <w:b w:val="false"/>
          <w:bCs w:val="false"/>
          <w:color w:val="1A1A1A"/>
          <w:sz w:val="22"/>
          <w:szCs w:val="22"/>
        </w:rPr>
        <w:t xml:space="preserve">نشانی‌های مندرج در مادهٔ ۱ اقامتگاه قانونی طرفین است و کلیهٔ مکاتبات و ابلاغ‌ها به این نشانی‌ها معتبر تلقی می‌شود. هرگونه تغییر نشانی باید ظرف ۷ روز کتباً به طرف مقابل اعلام گردد.</w:t>
      </w:r>
    </w:p>
    <w:p>
      <w:pPr>
        <w:pStyle w:val="Heading1"/>
        <w:pBdr>
          <w:bottom w:val="single" w:color="0E7C86" w:sz="8" w:space="5"/>
        </w:pBdr>
        <w:bidi/>
        <w:spacing w:after="110" w:before="240" w:line="320"/>
        <w:jc w:val="right"/>
      </w:pPr>
      <w:r>
        <w:rPr>
          <w:rFonts w:ascii="Tahoma" w:cs="Tahoma" w:eastAsia="Tahoma" w:hAnsi="Tahoma"/>
          <w:b/>
          <w:bCs/>
          <w:color w:val="0B2E4F"/>
          <w:sz w:val="26"/>
          <w:szCs w:val="26"/>
        </w:rPr>
        <w:t xml:space="preserve">مادهٔ ۱۷ — نسخ و پیوست‌های قرارداد</w:t>
      </w:r>
    </w:p>
    <w:p>
      <w:pPr>
        <w:bidi/>
        <w:spacing w:after="120" w:before="0" w:line="300"/>
        <w:jc w:val="both"/>
      </w:pPr>
      <w:r>
        <w:rPr>
          <w:rFonts w:ascii="Tahoma" w:cs="Tahoma" w:eastAsia="Tahoma" w:hAnsi="Tahoma"/>
          <w:b w:val="false"/>
          <w:bCs w:val="false"/>
          <w:color w:val="1A1A1A"/>
          <w:sz w:val="22"/>
          <w:szCs w:val="22"/>
        </w:rPr>
        <w:t xml:space="preserve">این قرارداد در ۱۷ ماده و ۱ پیوست (پروپوزال مورد تأیید) و در ۲ نسخهٔ متحدالمتن و دارای اعتبار یکسان تنظیم و پس از امضا و مبادله، برای طرفین لازم‌الاجرا است.</w:t>
      </w:r>
    </w:p>
    <w:p>
      <w:pPr>
        <w:spacing w:after="300"/>
      </w:pPr>
      <w:r>
        <w:t xml:space="preserve"/>
      </w:r>
    </w:p>
    <w:tbl>
      <w:tblPr>
        <w:bidiVisual/>
        <w:tblW w:type="dxa" w:w="9360"/>
        <w:tblBorders>
          <w:top w:val="single" w:color="FFFFFF" w:sz="4"/>
          <w:left w:val="single" w:color="FFFFFF" w:sz="4"/>
          <w:bottom w:val="single" w:color="FFFFFF" w:sz="4"/>
          <w:right w:val="single" w:color="FFFFFF" w:sz="4"/>
          <w:insideH w:val="single" w:color="FFFFFF" w:sz="4"/>
          <w:insideV w:val="single" w:color="FFFFFF" w:sz="4"/>
        </w:tblBorders>
        <w:tblLayout w:type="fixed"/>
      </w:tblPr>
      <w:tblGrid>
        <w:gridCol w:w="4680"/>
        <w:gridCol w:w="4680"/>
      </w:tblGrid>
      <w:tr>
        <w:tc>
          <w:tcPr>
            <w:tcW w:type="dxa" w:w="4680"/>
            <w:tcMar>
              <w:top w:type="dxa" w:w="120"/>
              <w:left w:type="dxa" w:w="120"/>
              <w:bottom w:type="dxa" w:w="120"/>
              <w:right w:type="dxa" w:w="120"/>
            </w:tcMar>
          </w:tcPr>
          <w:p>
            <w:pPr>
              <w:bidi/>
              <w:spacing w:after="220" w:line="300"/>
              <w:jc w:val="center"/>
            </w:pPr>
            <w:r>
              <w:rPr>
                <w:rFonts w:ascii="Tahoma" w:cs="Tahoma" w:eastAsia="Tahoma" w:hAnsi="Tahoma"/>
                <w:b/>
                <w:bCs/>
                <w:color w:val="0B2E4F"/>
                <w:sz w:val="22"/>
                <w:szCs w:val="22"/>
              </w:rPr>
              <w:t xml:space="preserve">مجری</w:t>
            </w:r>
          </w:p>
          <w:p>
            <w:pPr>
              <w:bidi/>
              <w:spacing w:after="40"/>
              <w:jc w:val="center"/>
            </w:pPr>
            <w:r>
              <w:rPr>
                <w:rFonts w:ascii="Tahoma" w:cs="Tahoma" w:eastAsia="Tahoma" w:hAnsi="Tahoma"/>
                <w:sz w:val="20"/>
                <w:szCs w:val="20"/>
              </w:rPr>
              <w:t xml:space="preserve">شرکت فناوران فرایند فردا</w:t>
            </w:r>
          </w:p>
          <w:p>
            <w:pPr>
              <w:bidi/>
              <w:jc w:val="center"/>
            </w:pPr>
            <w:r>
              <w:rPr>
                <w:rFonts w:ascii="Tahoma" w:cs="Tahoma" w:eastAsia="Tahoma" w:hAnsi="Tahoma"/>
                <w:color w:val="5A6B75"/>
                <w:sz w:val="19"/>
                <w:szCs w:val="19"/>
              </w:rPr>
              <w:t xml:space="preserve">نام و امضا / مهر</w:t>
            </w:r>
          </w:p>
        </w:tc>
        <w:tc>
          <w:tcPr>
            <w:tcW w:type="dxa" w:w="4680"/>
            <w:tcMar>
              <w:top w:type="dxa" w:w="120"/>
              <w:left w:type="dxa" w:w="120"/>
              <w:bottom w:type="dxa" w:w="120"/>
              <w:right w:type="dxa" w:w="120"/>
            </w:tcMar>
          </w:tcPr>
          <w:p>
            <w:pPr>
              <w:bidi/>
              <w:spacing w:after="220" w:line="300"/>
              <w:jc w:val="center"/>
            </w:pPr>
            <w:r>
              <w:rPr>
                <w:rFonts w:ascii="Tahoma" w:cs="Tahoma" w:eastAsia="Tahoma" w:hAnsi="Tahoma"/>
                <w:b/>
                <w:bCs/>
                <w:color w:val="0B2E4F"/>
                <w:sz w:val="22"/>
                <w:szCs w:val="22"/>
              </w:rPr>
              <w:t xml:space="preserve">کارفرما</w:t>
            </w:r>
          </w:p>
          <w:p>
            <w:pPr>
              <w:bidi/>
              <w:spacing w:after="40"/>
              <w:jc w:val="center"/>
            </w:pPr>
            <w:r>
              <w:rPr>
                <w:rFonts w:ascii="Tahoma" w:cs="Tahoma" w:eastAsia="Tahoma" w:hAnsi="Tahoma"/>
                <w:sz w:val="20"/>
                <w:szCs w:val="20"/>
              </w:rPr>
              <w:t xml:space="preserve">شرکت صنعتی و خدمات مهندسی ایران</w:t>
            </w:r>
          </w:p>
          <w:p>
            <w:pPr>
              <w:bidi/>
              <w:jc w:val="center"/>
            </w:pPr>
            <w:r>
              <w:rPr>
                <w:rFonts w:ascii="Tahoma" w:cs="Tahoma" w:eastAsia="Tahoma" w:hAnsi="Tahoma"/>
                <w:color w:val="5A6B75"/>
                <w:sz w:val="19"/>
                <w:szCs w:val="19"/>
              </w:rPr>
              <w:t xml:space="preserve">نام و امضا / مهر</w:t>
            </w:r>
          </w:p>
        </w:tc>
      </w:tr>
    </w:tbl>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220"/>
      </w:pPr>
      <w:rPr>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قرارداد اجرای پروژهٔ شفاف‌سازی و یکپارچه‌سازی سیستم اطلاعاتی</dc:title>
  <dc:creator>Contract</dc:creator>
  <cp:lastModifiedBy>Un-named</cp:lastModifiedBy>
  <cp:revision>1</cp:revision>
  <dcterms:created xsi:type="dcterms:W3CDTF">2026-07-21T12:31:43.830Z</dcterms:created>
  <dcterms:modified xsi:type="dcterms:W3CDTF">2026-07-21T12:31:43.831Z</dcterms:modified>
</cp:coreProperties>
</file>

<file path=docProps/custom.xml><?xml version="1.0" encoding="utf-8"?>
<Properties xmlns="http://schemas.openxmlformats.org/officeDocument/2006/custom-properties" xmlns:vt="http://schemas.openxmlformats.org/officeDocument/2006/docPropsVTypes"/>
</file>