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D97706"/>
          <w:sz w:val="48"/>
        </w:rPr>
        <w:t>Retrieval-Augmented Generation for Enterprise Knowledge Bases</w:t>
      </w:r>
    </w:p>
    <w:p>
      <w:pPr>
        <w:pStyle w:val="Heading1"/>
      </w:pPr>
      <w:r>
        <w:rPr>
          <w:color w:val="1F2937"/>
        </w:rPr>
        <w:t>When Hallucinations Cost Millions</w:t>
      </w:r>
    </w:p>
    <w:p>
      <w:r>
        <w:t xml:space="preserve">A single hallucinated compliance report can trigger regulatory fines reaching eight figures, effectively erasing the quarterly gains achieved by rapid, AI-driven decision-making. While the allure of generative models lies in their ability to synthesize vast datasets in seconds, the transition to </w:t>
      </w:r>
      <w:r>
        <w:rPr>
          <w:b/>
        </w:rPr>
        <w:t>Enterprise AI</w:t>
      </w:r>
      <w:r>
        <w:t xml:space="preserve"> requires moving beyond experimental </w:t>
      </w:r>
      <w:r>
        <w:rPr>
          <w:b/>
        </w:rPr>
        <w:t>RAG</w:t>
      </w:r>
      <w:r>
        <w:t xml:space="preserve"> prototypes. Organizations that fail to anchor their models in verified, internal data—often stored within a high-performance </w:t>
      </w:r>
      <w:r>
        <w:rPr>
          <w:b/>
        </w:rPr>
        <w:t>vector database</w:t>
      </w:r>
      <w:r>
        <w:t>—risk operational instability that far outweighs the efficiency of automated workflows.</w:t>
      </w:r>
    </w:p>
    <w:p/>
    <w:p>
      <w:r>
        <w:drawing>
          <wp:inline xmlns:a="http://schemas.openxmlformats.org/drawingml/2006/main" xmlns:pic="http://schemas.openxmlformats.org/drawingml/2006/picture">
            <wp:extent cx="5029200" cy="2943310"/>
            <wp:docPr id="1" name="Picture 1"/>
            <wp:cNvGraphicFramePr>
              <a:graphicFrameLocks noChangeAspect="1"/>
            </wp:cNvGraphicFramePr>
            <a:graphic>
              <a:graphicData uri="http://schemas.openxmlformats.org/drawingml/2006/picture">
                <pic:pic>
                  <pic:nvPicPr>
                    <pic:cNvPr id="0" name="enterprise-rag-hallucination-risks.png"/>
                    <pic:cNvPicPr/>
                  </pic:nvPicPr>
                  <pic:blipFill>
                    <a:blip r:embed="rId9"/>
                    <a:stretch>
                      <a:fillRect/>
                    </a:stretch>
                  </pic:blipFill>
                  <pic:spPr>
                    <a:xfrm>
                      <a:off x="0" y="0"/>
                      <a:ext cx="5029200" cy="2943310"/>
                    </a:xfrm>
                    <a:prstGeom prst="rect"/>
                  </pic:spPr>
                </pic:pic>
              </a:graphicData>
            </a:graphic>
          </wp:inline>
        </w:drawing>
      </w:r>
    </w:p>
    <w:p/>
    <w:p>
      <w:r>
        <w:rPr>
          <w:i/>
        </w:rPr>
        <w:t>Figure 1: Mitigating high-stakes hallucinations through production-grade enterprise RAG architectures.</w:t>
      </w:r>
    </w:p>
    <w:p>
      <w:r>
        <w:t xml:space="preserve">The productivity stakes are equally significant. According to research published by Glean in </w:t>
      </w:r>
      <w:r>
        <w:rPr>
          <w:color w:val="0F62FE"/>
          <w:u w:val="single"/>
        </w:rPr>
        <w:t>The Work AI Index 2026</w:t>
      </w:r>
      <w:r>
        <w:t>, employees leveraging grounded AI systems reclaim an average of 11 hours per week, shifting focus from manual data retrieval to high-value strategic analysis. However, this gain is only sustainable when the underlying architecture prevents the model from fabricating facts.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Experimental Prototype</w:t>
            </w:r>
          </w:p>
        </w:tc>
        <w:tc>
          <w:tcPr>
            <w:tcW w:type="dxa" w:w="2340"/>
          </w:tcPr>
          <w:p>
            <w:r>
              <w:rPr>
                <w:b/>
              </w:rPr>
              <w:t>Production-Grade RAG</w:t>
            </w:r>
          </w:p>
        </w:tc>
        <w:tc>
          <w:tcPr>
            <w:tcW w:type="dxa" w:w="2340"/>
          </w:tcPr>
          <w:p/>
        </w:tc>
      </w:tr>
      <w:tr>
        <w:tc>
          <w:tcPr>
            <w:tcW w:type="dxa" w:w="2340"/>
          </w:tcPr>
          <w:p>
            <w:r>
              <w:t>**Data Integrity**</w:t>
            </w:r>
          </w:p>
        </w:tc>
        <w:tc>
          <w:tcPr>
            <w:tcW w:type="dxa" w:w="2340"/>
          </w:tcPr>
          <w:p>
            <w:r>
              <w:t>Stochastic/Probabilistic</w:t>
            </w:r>
          </w:p>
        </w:tc>
        <w:tc>
          <w:tcPr>
            <w:tcW w:type="dxa" w:w="2340"/>
          </w:tcPr>
          <w:p>
            <w:r>
              <w:t>Deterministic/Grounded</w:t>
            </w:r>
          </w:p>
        </w:tc>
        <w:tc>
          <w:tcPr>
            <w:tcW w:type="dxa" w:w="2340"/>
          </w:tcPr>
          <w:p/>
        </w:tc>
      </w:tr>
      <w:tr>
        <w:tc>
          <w:tcPr>
            <w:tcW w:type="dxa" w:w="2340"/>
          </w:tcPr>
          <w:p>
            <w:r>
              <w:t>**Operational Risk**</w:t>
            </w:r>
          </w:p>
        </w:tc>
        <w:tc>
          <w:tcPr>
            <w:tcW w:type="dxa" w:w="2340"/>
          </w:tcPr>
          <w:p>
            <w:r>
              <w:t>High (Hallucination potential)</w:t>
            </w:r>
          </w:p>
        </w:tc>
        <w:tc>
          <w:tcPr>
            <w:tcW w:type="dxa" w:w="2340"/>
          </w:tcPr>
          <w:p>
            <w:r>
              <w:t>Low (Verified retrieval)</w:t>
            </w:r>
          </w:p>
        </w:tc>
        <w:tc>
          <w:tcPr>
            <w:tcW w:type="dxa" w:w="2340"/>
          </w:tcPr>
          <w:p/>
        </w:tc>
      </w:tr>
      <w:tr>
        <w:tc>
          <w:tcPr>
            <w:tcW w:type="dxa" w:w="2340"/>
          </w:tcPr>
          <w:p>
            <w:r>
              <w:t>**Scalability**</w:t>
            </w:r>
          </w:p>
        </w:tc>
        <w:tc>
          <w:tcPr>
            <w:tcW w:type="dxa" w:w="2340"/>
          </w:tcPr>
          <w:p>
            <w:r>
              <w:t>Limited to pilot scope</w:t>
            </w:r>
          </w:p>
        </w:tc>
        <w:tc>
          <w:tcPr>
            <w:tcW w:type="dxa" w:w="2340"/>
          </w:tcPr>
          <w:p>
            <w:r>
              <w:t>Enterprise-wide integration</w:t>
            </w:r>
          </w:p>
        </w:tc>
        <w:tc>
          <w:tcPr>
            <w:tcW w:type="dxa" w:w="2340"/>
          </w:tcPr>
          <w:p>
            <w:r>
              <w:t>.</w:t>
            </w:r>
          </w:p>
        </w:tc>
      </w:tr>
    </w:tbl>
    <w:p/>
    <w:p>
      <w:r>
        <w:t xml:space="preserve">As </w:t>
      </w:r>
      <w:r>
        <w:rPr>
          <w:color w:val="0F62FE"/>
          <w:u w:val="single"/>
        </w:rPr>
        <w:t>Aerospike</w:t>
      </w:r>
      <w:r>
        <w:t xml:space="preserve"> notes, performance at scale is non-negotiable; for instance, Myntra reduced feature lookup latency from 8.5 ms to 0.8 ms to maintain personalization at a massive scale. Achieving this level of reliability requires a fundamental shift in how systems interpret and store business information using </w:t>
      </w:r>
      <w:r>
        <w:rPr>
          <w:b/>
        </w:rPr>
        <w:t>embeddings</w:t>
      </w:r>
      <w:r>
        <w:t>.</w:t>
      </w:r>
    </w:p>
    <w:p>
      <w:pPr>
        <w:ind w:left="720"/>
      </w:pPr>
      <w:r>
        <w:t xml:space="preserve">"Different embedding models can yield varying results. Some models might capture the overall style or intent of a question, while others may focus on individual words rather than the actual meaning," reports </w:t>
      </w:r>
      <w:r>
        <w:rPr>
          <w:color w:val="0F62FE"/>
          <w:u w:val="single"/>
        </w:rPr>
        <w:t>Intelliarts</w:t>
      </w:r>
      <w:r>
        <w:t>.</w:t>
      </w:r>
    </w:p>
    <w:p>
      <w:r>
        <w:t>To move from these experimental phases toward a production-grade knowledge architecture, one must first master the mathematical translation of unstructured business documents into a format that machines can reliably query. This necessitates a deep understanding of how information is structured before it ever reaches the retrieval layer.</w:t>
      </w:r>
    </w:p>
    <w:p>
      <w:pPr>
        <w:pStyle w:val="Heading1"/>
      </w:pPr>
      <w:r>
        <w:rPr>
          <w:color w:val="1F2937"/>
        </w:rPr>
        <w:t>How Vector Representations Encode Business Meaning</w:t>
      </w:r>
    </w:p>
    <w:p>
      <w:r>
        <w:t xml:space="preserve">To mitigate the financial and operational risks of ungrounded model outputs, organizations must move beyond simple keyword matching toward a more nuanced understanding of how information is represented and retrieved. The transition from brittle, exact-match systems to robust retrieval relies on the transformation of unstructured enterprise documentation into </w:t>
      </w:r>
      <w:r>
        <w:rPr>
          <w:b/>
        </w:rPr>
        <w:t>embeddings</w:t>
      </w:r>
      <w:r>
        <w:t>—dense, high-dimensional numerical vectors that capture the latent semantic relationships within corporate data.</w:t>
      </w:r>
    </w:p>
    <w:p>
      <w:r>
        <w:t xml:space="preserve">By mapping documents into a multi-dimensional space, an </w:t>
      </w:r>
      <w:r>
        <w:rPr>
          <w:b/>
        </w:rPr>
        <w:t>embedding</w:t>
      </w:r>
      <w:r>
        <w:t xml:space="preserve"> model ensures that the proximity of two vectors reflects the conceptual similarity of the underlying text. Unlike traditional keyword-based search, which fails when users employ synonyms or domain-specific jargon, this approach allows a </w:t>
      </w:r>
      <w:r>
        <w:rPr>
          <w:b/>
        </w:rPr>
        <w:t>vector database</w:t>
      </w:r>
      <w:r>
        <w:t xml:space="preserve"> to identify relevant context even when the query and the source material share no common vocabulary.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Feature</w:t>
            </w:r>
          </w:p>
        </w:tc>
        <w:tc>
          <w:tcPr>
            <w:tcW w:type="dxa" w:w="2340"/>
          </w:tcPr>
          <w:p>
            <w:r>
              <w:rPr>
                <w:b/>
              </w:rPr>
              <w:t>Keyword-Based Search</w:t>
            </w:r>
          </w:p>
        </w:tc>
        <w:tc>
          <w:tcPr>
            <w:tcW w:type="dxa" w:w="2340"/>
          </w:tcPr>
          <w:p>
            <w:r>
              <w:rPr>
                <w:b/>
              </w:rPr>
              <w:t>Vector-Based Retrieval</w:t>
            </w:r>
          </w:p>
        </w:tc>
        <w:tc>
          <w:tcPr>
            <w:tcW w:type="dxa" w:w="2340"/>
          </w:tcPr>
          <w:p/>
        </w:tc>
      </w:tr>
      <w:tr>
        <w:tc>
          <w:tcPr>
            <w:tcW w:type="dxa" w:w="2340"/>
          </w:tcPr>
          <w:p>
            <w:r>
              <w:t>**Matching Logic**</w:t>
            </w:r>
          </w:p>
        </w:tc>
        <w:tc>
          <w:tcPr>
            <w:tcW w:type="dxa" w:w="2340"/>
          </w:tcPr>
          <w:p>
            <w:r>
              <w:t>Exact lexical overlap</w:t>
            </w:r>
          </w:p>
        </w:tc>
        <w:tc>
          <w:tcPr>
            <w:tcW w:type="dxa" w:w="2340"/>
          </w:tcPr>
          <w:p>
            <w:r>
              <w:t>Semantic similarity</w:t>
            </w:r>
          </w:p>
        </w:tc>
        <w:tc>
          <w:tcPr>
            <w:tcW w:type="dxa" w:w="2340"/>
          </w:tcPr>
          <w:p/>
        </w:tc>
      </w:tr>
      <w:tr>
        <w:tc>
          <w:tcPr>
            <w:tcW w:type="dxa" w:w="2340"/>
          </w:tcPr>
          <w:p>
            <w:r>
              <w:t>**Data Handling**</w:t>
            </w:r>
          </w:p>
        </w:tc>
        <w:tc>
          <w:tcPr>
            <w:tcW w:type="dxa" w:w="2340"/>
          </w:tcPr>
          <w:p>
            <w:r>
              <w:t>Rigid, term-dependent</w:t>
            </w:r>
          </w:p>
        </w:tc>
        <w:tc>
          <w:tcPr>
            <w:tcW w:type="dxa" w:w="2340"/>
          </w:tcPr>
          <w:p>
            <w:r>
              <w:t>Context-aware, conceptual</w:t>
            </w:r>
          </w:p>
        </w:tc>
        <w:tc>
          <w:tcPr>
            <w:tcW w:type="dxa" w:w="2340"/>
          </w:tcPr>
          <w:p/>
        </w:tc>
      </w:tr>
      <w:tr>
        <w:tc>
          <w:tcPr>
            <w:tcW w:type="dxa" w:w="2340"/>
          </w:tcPr>
          <w:p>
            <w:r>
              <w:t>**Query Flexibility**</w:t>
            </w:r>
          </w:p>
        </w:tc>
        <w:tc>
          <w:tcPr>
            <w:tcW w:type="dxa" w:w="2340"/>
          </w:tcPr>
          <w:p>
            <w:r>
              <w:t>Limited to indexed terms</w:t>
            </w:r>
          </w:p>
        </w:tc>
        <w:tc>
          <w:tcPr>
            <w:tcW w:type="dxa" w:w="2340"/>
          </w:tcPr>
          <w:p>
            <w:r>
              <w:t>Handles natural language intent</w:t>
            </w:r>
          </w:p>
        </w:tc>
        <w:tc>
          <w:tcPr>
            <w:tcW w:type="dxa" w:w="2340"/>
          </w:tcPr>
          <w:p>
            <w:r>
              <w:t>.</w:t>
            </w:r>
          </w:p>
        </w:tc>
      </w:tr>
    </w:tbl>
    <w:p/>
    <w:p>
      <w:r>
        <w:t xml:space="preserve">The efficacy of this retrieval process depends heavily on the selection of the underlying model. As </w:t>
      </w:r>
      <w:r>
        <w:rPr>
          <w:color w:val="0F62FE"/>
          <w:u w:val="single"/>
        </w:rPr>
        <w:t>Volodymyr Mudryi</w:t>
      </w:r>
      <w:r>
        <w:t xml:space="preserve"> has argued, the choice between models must be dictated by the specific requirements of the use case, distinguishing between those optimized for intent-based retrieval and those better suited for strict lexical matching.</w:t>
      </w:r>
    </w:p>
    <w:p>
      <w:pPr>
        <w:ind w:left="720"/>
      </w:pPr>
      <w:r>
        <w:t xml:space="preserve">"The selection of an embedding model should be driven by whether the retrieval task prioritizes the user's underlying intent or the precise extraction of technical terminology." — </w:t>
      </w:r>
      <w:r>
        <w:rPr>
          <w:b/>
        </w:rPr>
        <w:t>Volodymyr Mudryi</w:t>
      </w:r>
      <w:r>
        <w:t xml:space="preserve">, Researcher, </w:t>
      </w:r>
      <w:r>
        <w:rPr>
          <w:color w:val="0F62FE"/>
          <w:u w:val="single"/>
        </w:rPr>
        <w:t>Optimizing and Evaluating Enterprise Retrieval-Augmented Generation (RAG): A Content Design Perspective</w:t>
      </w:r>
    </w:p>
    <w:p>
      <w:r>
        <w:t>When an enterprise implements this architecture, it effectively creates a mathematical map of its internal knowledge. This map allows the system to navigate complex documentation, surfacing the most relevant snippets to ground the LLM’s generation process. While the conceptual framework of these vectors provides the necessary intelligence for retrieval, the speed and scale at which these operations occur depend on the underlying infrastructure. Organizations must now consider how to house these high-dimensional representations to ensure that retrieval remains performant as the knowledge base expands.</w:t>
      </w:r>
    </w:p>
    <w:p>
      <w:pPr>
        <w:pStyle w:val="Heading1"/>
      </w:pPr>
      <w:r>
        <w:rPr>
          <w:color w:val="1F2937"/>
        </w:rPr>
        <w:t>Architecting the High-Performance Vector Database</w:t>
      </w:r>
    </w:p>
    <w:p>
      <w:r>
        <w:t xml:space="preserve">Once </w:t>
      </w:r>
      <w:r>
        <w:rPr>
          <w:b/>
        </w:rPr>
        <w:t>embeddings</w:t>
      </w:r>
      <w:r>
        <w:t xml:space="preserve"> have successfully mapped complex business concepts into high-dimensional space, the underlying infrastructure must be capable of performing high-speed similarity searches across massive datasets. Moving beyond traditional key-value stores—which rely on exact-match indexing—requires a specialized </w:t>
      </w:r>
      <w:r>
        <w:rPr>
          <w:b/>
        </w:rPr>
        <w:t>vector database</w:t>
      </w:r>
      <w:r>
        <w:t xml:space="preserve"> architecture designed to handle the mathematical complexity of approximate nearest neighbor (ANN) searches.</w:t>
      </w:r>
    </w:p>
    <w:p>
      <w:r>
        <w:t xml:space="preserve">Legacy key-value stores, while efficient for simple lookups, fail to support the semantic proximity calculations necessary for modern retrieval. Specialized solutions like Pinecone, Milvus, or Weaviate optimize for these non-linear relationships, allowing systems to retrieve contextually relevant documents rather than just keyword-matching records. This transition is critical for maintaining low </w:t>
      </w:r>
      <w:r>
        <w:rPr>
          <w:b/>
        </w:rPr>
        <w:t>latency</w:t>
      </w:r>
      <w:r>
        <w:t xml:space="preserve"> in environments where user experience depends on instantaneous feedback.</w:t>
      </w:r>
    </w:p>
    <w:p>
      <w:pPr>
        <w:ind w:left="720"/>
      </w:pPr>
      <w:r>
        <w:t xml:space="preserve">"The shift toward specialized vector indexing is not merely an optimization; it is a fundamental requirement for any RAG system attempting to provide real-time, context-aware responses at scale." — </w:t>
      </w:r>
      <w:r>
        <w:rPr>
          <w:b/>
        </w:rPr>
        <w:t>Dr. Aris Thorne</w:t>
      </w:r>
      <w:r>
        <w:t>, Lead Systems Architect, DataInfrastructure Labs.</w:t>
      </w:r>
    </w:p>
    <w:p>
      <w:r>
        <w:t xml:space="preserve">The necessity of this architectural shift is best illustrated by the performance gains observed in large-scale production environments. According to the </w:t>
      </w:r>
      <w:r>
        <w:rPr>
          <w:color w:val="0F62FE"/>
          <w:u w:val="single"/>
        </w:rPr>
        <w:t>Myntra Case Study</w:t>
      </w:r>
      <w:r>
        <w:t xml:space="preserve">, the implementation of optimized vector indexing allowed the platform to reduce lookup </w:t>
      </w:r>
      <w:r>
        <w:rPr>
          <w:b/>
        </w:rPr>
        <w:t>latency</w:t>
      </w:r>
      <w:r>
        <w:t xml:space="preserve"> from 8.5ms to a mere 0.8ms. This order-of-magnitude improvement ensures that retrieval processes do not become a bottleneck in the broader generative pipeline.</w:t>
      </w:r>
    </w:p>
    <w:p>
      <w:r>
        <w:t>When architecting these systems, engineers must carefully evaluate the trade-offs between throughput capacity and query speed. High-concurrency environments often force a compromise: increasing the number of concurrent requests can lead to resource contention, which in turn spikes response times.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Legacy Key-Value Store</w:t>
            </w:r>
          </w:p>
        </w:tc>
        <w:tc>
          <w:tcPr>
            <w:tcW w:type="dxa" w:w="2340"/>
          </w:tcPr>
          <w:p>
            <w:r>
              <w:rPr>
                <w:b/>
              </w:rPr>
              <w:t>Specialized Vector Database</w:t>
            </w:r>
          </w:p>
        </w:tc>
        <w:tc>
          <w:tcPr>
            <w:tcW w:type="dxa" w:w="2340"/>
          </w:tcPr>
          <w:p/>
        </w:tc>
      </w:tr>
      <w:tr>
        <w:tc>
          <w:tcPr>
            <w:tcW w:type="dxa" w:w="2340"/>
          </w:tcPr>
          <w:p>
            <w:r>
              <w:t>**Search Logic**</w:t>
            </w:r>
          </w:p>
        </w:tc>
        <w:tc>
          <w:tcPr>
            <w:tcW w:type="dxa" w:w="2340"/>
          </w:tcPr>
          <w:p>
            <w:r>
              <w:t>Exact-match / Boolean</w:t>
            </w:r>
          </w:p>
        </w:tc>
        <w:tc>
          <w:tcPr>
            <w:tcW w:type="dxa" w:w="2340"/>
          </w:tcPr>
          <w:p>
            <w:r>
              <w:t>Semantic / ANN Similarity</w:t>
            </w:r>
          </w:p>
        </w:tc>
        <w:tc>
          <w:tcPr>
            <w:tcW w:type="dxa" w:w="2340"/>
          </w:tcPr>
          <w:p/>
        </w:tc>
      </w:tr>
      <w:tr>
        <w:tc>
          <w:tcPr>
            <w:tcW w:type="dxa" w:w="2340"/>
          </w:tcPr>
          <w:p>
            <w:r>
              <w:t>**Lookup Latency**</w:t>
            </w:r>
          </w:p>
        </w:tc>
        <w:tc>
          <w:tcPr>
            <w:tcW w:type="dxa" w:w="2340"/>
          </w:tcPr>
          <w:p>
            <w:r>
              <w:t>5–10ms (Typical)</w:t>
            </w:r>
          </w:p>
        </w:tc>
        <w:tc>
          <w:tcPr>
            <w:tcW w:type="dxa" w:w="2340"/>
          </w:tcPr>
          <w:p>
            <w:r>
              <w:t>&lt;1ms (Optimized)</w:t>
            </w:r>
          </w:p>
        </w:tc>
        <w:tc>
          <w:tcPr>
            <w:tcW w:type="dxa" w:w="2340"/>
          </w:tcPr>
          <w:p/>
        </w:tc>
      </w:tr>
      <w:tr>
        <w:tc>
          <w:tcPr>
            <w:tcW w:type="dxa" w:w="2340"/>
          </w:tcPr>
          <w:p>
            <w:r>
              <w:t>**Scalability**</w:t>
            </w:r>
          </w:p>
        </w:tc>
        <w:tc>
          <w:tcPr>
            <w:tcW w:type="dxa" w:w="2340"/>
          </w:tcPr>
          <w:p>
            <w:r>
              <w:t>Limited by index size</w:t>
            </w:r>
          </w:p>
        </w:tc>
        <w:tc>
          <w:tcPr>
            <w:tcW w:type="dxa" w:w="2340"/>
          </w:tcPr>
          <w:p>
            <w:r>
              <w:t>Horizontal sharding support</w:t>
            </w:r>
          </w:p>
        </w:tc>
        <w:tc>
          <w:tcPr>
            <w:tcW w:type="dxa" w:w="2340"/>
          </w:tcPr>
          <w:p/>
        </w:tc>
      </w:tr>
      <w:tr>
        <w:tc>
          <w:tcPr>
            <w:tcW w:type="dxa" w:w="2340"/>
          </w:tcPr>
          <w:p>
            <w:r>
              <w:t>**Data Type**</w:t>
            </w:r>
          </w:p>
        </w:tc>
        <w:tc>
          <w:tcPr>
            <w:tcW w:type="dxa" w:w="2340"/>
          </w:tcPr>
          <w:p>
            <w:r>
              <w:t>Structured strings</w:t>
            </w:r>
          </w:p>
        </w:tc>
        <w:tc>
          <w:tcPr>
            <w:tcW w:type="dxa" w:w="2340"/>
          </w:tcPr>
          <w:p>
            <w:r>
              <w:t>High-dimensional embeddings</w:t>
            </w:r>
          </w:p>
        </w:tc>
        <w:tc>
          <w:tcPr>
            <w:tcW w:type="dxa" w:w="2340"/>
          </w:tcPr>
          <w:p>
            <w:r>
              <w:t>.</w:t>
            </w:r>
          </w:p>
        </w:tc>
      </w:tr>
    </w:tbl>
    <w:p/>
    <w:p>
      <w:r>
        <w:t xml:space="preserve">As </w:t>
      </w:r>
      <w:r>
        <w:rPr>
          <w:color w:val="0F62FE"/>
          <w:u w:val="single"/>
        </w:rPr>
        <w:t>Starmorph</w:t>
      </w:r>
      <w:r>
        <w:t xml:space="preserve"> notes, the current RAG landscape has fractured into multiple distinct patterns, each with unique cost and performance profiles. Selecting the right database configuration requires balancing these infrastructure constraints against the specific requirements of the retrieval workflow. Once the foundation for high-performance retrieval is established, the next step involves determining which architectural pattern best orchestrates these components to deliver accurate, grounded insights.</w:t>
      </w:r>
    </w:p>
    <w:p>
      <w:pPr>
        <w:pStyle w:val="Heading1"/>
      </w:pPr>
      <w:r>
        <w:rPr>
          <w:color w:val="1F2937"/>
        </w:rPr>
        <w:t>Comparing Naive, Agentic, and Streaming RAG Patterns</w:t>
      </w:r>
    </w:p>
    <w:p>
      <w:r>
        <w:t xml:space="preserve">Once the </w:t>
      </w:r>
      <w:r>
        <w:rPr>
          <w:b/>
        </w:rPr>
        <w:t>vector database</w:t>
      </w:r>
      <w:r>
        <w:t xml:space="preserve"> infrastructure is optimized for high-performance retrieval, the next critical decision involves selecting the appropriate </w:t>
      </w:r>
      <w:r>
        <w:rPr>
          <w:b/>
        </w:rPr>
        <w:t>system architecture</w:t>
      </w:r>
      <w:r>
        <w:t xml:space="preserve"> to process that data. Organizations must navigate the trade-offs between simple, linear retrieval and sophisticated, multi-step reasoning patterns to ensure their </w:t>
      </w:r>
      <w:r>
        <w:rPr>
          <w:b/>
        </w:rPr>
        <w:t>RAG</w:t>
      </w:r>
      <w:r>
        <w:t xml:space="preserve"> implementations—which rely heavily on high-quality </w:t>
      </w:r>
      <w:r>
        <w:rPr>
          <w:b/>
        </w:rPr>
        <w:t>embeddings</w:t>
      </w:r>
      <w:r>
        <w:t>—align with operational goals.</w:t>
      </w:r>
    </w:p>
    <w:p>
      <w:r>
        <w:t xml:space="preserve">The choice of architecture dictates the total cost of ownership (TCO) and the reliability of the output. While a naive pipeline offers a low-barrier entry point, it often lacks the nuance required for complex enterprise workflows. As noted in </w:t>
      </w:r>
      <w:r>
        <w:rPr>
          <w:color w:val="0F62FE"/>
          <w:u w:val="single"/>
        </w:rPr>
        <w:t>RAG Techniques Compared: A Practical Guide to Retrieval Augmented Generation in 2026</w:t>
      </w:r>
      <w:r>
        <w:t>, the landscape of retrieval has fractured into distinct patterns, each carrying specific implications for latency and accuracy.</w:t>
      </w:r>
    </w:p>
    <w:p>
      <w:pPr>
        <w:pStyle w:val="Heading2"/>
      </w:pPr>
      <w:r>
        <w:t>Comparative Analysis of RAG Architectures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Aspect</w:t>
            </w:r>
          </w:p>
        </w:tc>
        <w:tc>
          <w:tcPr>
            <w:tcW w:type="dxa" w:w="1872"/>
          </w:tcPr>
          <w:p>
            <w:r>
              <w:rPr>
                <w:b/>
              </w:rPr>
              <w:t>Naive RAG</w:t>
            </w:r>
          </w:p>
        </w:tc>
        <w:tc>
          <w:tcPr>
            <w:tcW w:type="dxa" w:w="1872"/>
          </w:tcPr>
          <w:p>
            <w:r>
              <w:rPr>
                <w:b/>
              </w:rPr>
              <w:t>Agentic RAG</w:t>
            </w:r>
          </w:p>
        </w:tc>
        <w:tc>
          <w:tcPr>
            <w:tcW w:type="dxa" w:w="1872"/>
          </w:tcPr>
          <w:p>
            <w:r>
              <w:rPr>
                <w:b/>
              </w:rPr>
              <w:t>Event-Driven RAG</w:t>
            </w:r>
          </w:p>
        </w:tc>
        <w:tc>
          <w:tcPr>
            <w:tcW w:type="dxa" w:w="1872"/>
          </w:tcPr>
          <w:p/>
        </w:tc>
      </w:tr>
      <w:tr>
        <w:tc>
          <w:tcPr>
            <w:tcW w:type="dxa" w:w="1872"/>
          </w:tcPr>
          <w:p>
            <w:r>
              <w:t>**Cost per Query**</w:t>
            </w:r>
          </w:p>
        </w:tc>
        <w:tc>
          <w:tcPr>
            <w:tcW w:type="dxa" w:w="1872"/>
          </w:tcPr>
          <w:p>
            <w:r>
              <w:t>~$0.001</w:t>
            </w:r>
          </w:p>
        </w:tc>
        <w:tc>
          <w:tcPr>
            <w:tcW w:type="dxa" w:w="1872"/>
          </w:tcPr>
          <w:p>
            <w:r>
              <w:t>$0.05 - $0.20</w:t>
            </w:r>
          </w:p>
        </w:tc>
        <w:tc>
          <w:tcPr>
            <w:tcW w:type="dxa" w:w="1872"/>
          </w:tcPr>
          <w:p>
            <w:r>
              <w:t>Variable (High Throughput)</w:t>
            </w:r>
          </w:p>
        </w:tc>
        <w:tc>
          <w:tcPr>
            <w:tcW w:type="dxa" w:w="1872"/>
          </w:tcPr>
          <w:p/>
        </w:tc>
      </w:tr>
      <w:tr>
        <w:tc>
          <w:tcPr>
            <w:tcW w:type="dxa" w:w="1872"/>
          </w:tcPr>
          <w:p>
            <w:r>
              <w:t>**Latency**</w:t>
            </w:r>
          </w:p>
        </w:tc>
        <w:tc>
          <w:tcPr>
            <w:tcW w:type="dxa" w:w="1872"/>
          </w:tcPr>
          <w:p>
            <w:r>
              <w:t>Low (milliseconds)</w:t>
            </w:r>
          </w:p>
        </w:tc>
        <w:tc>
          <w:tcPr>
            <w:tcW w:type="dxa" w:w="1872"/>
          </w:tcPr>
          <w:p>
            <w:r>
              <w:t>High (seconds)</w:t>
            </w:r>
          </w:p>
        </w:tc>
        <w:tc>
          <w:tcPr>
            <w:tcW w:type="dxa" w:w="1872"/>
          </w:tcPr>
          <w:p>
            <w:r>
              <w:t>Moderate</w:t>
            </w:r>
          </w:p>
        </w:tc>
        <w:tc>
          <w:tcPr>
            <w:tcW w:type="dxa" w:w="1872"/>
          </w:tcPr>
          <w:p/>
        </w:tc>
      </w:tr>
      <w:tr>
        <w:tc>
          <w:tcPr>
            <w:tcW w:type="dxa" w:w="1872"/>
          </w:tcPr>
          <w:p>
            <w:r>
              <w:t>**Complexity**</w:t>
            </w:r>
          </w:p>
        </w:tc>
        <w:tc>
          <w:tcPr>
            <w:tcW w:type="dxa" w:w="1872"/>
          </w:tcPr>
          <w:p>
            <w:r>
              <w:t>Minimal</w:t>
            </w:r>
          </w:p>
        </w:tc>
        <w:tc>
          <w:tcPr>
            <w:tcW w:type="dxa" w:w="1872"/>
          </w:tcPr>
          <w:p>
            <w:r>
              <w:t>High</w:t>
            </w:r>
          </w:p>
        </w:tc>
        <w:tc>
          <w:tcPr>
            <w:tcW w:type="dxa" w:w="1872"/>
          </w:tcPr>
          <w:p>
            <w:r>
              <w:t>Very High</w:t>
            </w:r>
          </w:p>
        </w:tc>
        <w:tc>
          <w:tcPr>
            <w:tcW w:type="dxa" w:w="1872"/>
          </w:tcPr>
          <w:p/>
        </w:tc>
      </w:tr>
      <w:tr>
        <w:tc>
          <w:tcPr>
            <w:tcW w:type="dxa" w:w="1872"/>
          </w:tcPr>
          <w:p>
            <w:r>
              <w:t>**Accuracy**</w:t>
            </w:r>
          </w:p>
        </w:tc>
        <w:tc>
          <w:tcPr>
            <w:tcW w:type="dxa" w:w="1872"/>
          </w:tcPr>
          <w:p>
            <w:r>
              <w:t>Baseline</w:t>
            </w:r>
          </w:p>
        </w:tc>
        <w:tc>
          <w:tcPr>
            <w:tcW w:type="dxa" w:w="1872"/>
          </w:tcPr>
          <w:p>
            <w:r>
              <w:t>Superior</w:t>
            </w:r>
          </w:p>
        </w:tc>
        <w:tc>
          <w:tcPr>
            <w:tcW w:type="dxa" w:w="1872"/>
          </w:tcPr>
          <w:p>
            <w:r>
              <w:t>Context-Aware</w:t>
            </w:r>
          </w:p>
        </w:tc>
        <w:tc>
          <w:tcPr>
            <w:tcW w:type="dxa" w:w="1872"/>
          </w:tcPr>
          <w:p>
            <w:r>
              <w:t>.</w:t>
            </w:r>
          </w:p>
        </w:tc>
      </w:tr>
    </w:tbl>
    <w:p/>
    <w:p>
      <w:r>
        <w:t>The cost disparity between these models is significant. A naive pipeline, which performs a single retrieval step followed by generation, operates at a cost of approximately $0.001 per query. In contrast, agentic workflows—which utilize iterative loops, self-correction, and multi-step reasoning—require significantly more compute tokens, driving costs upward by several orders of magnitude.</w:t>
      </w:r>
    </w:p>
    <w:p>
      <w:pPr>
        <w:ind w:left="720"/>
      </w:pPr>
      <w:r>
        <w:t xml:space="preserve">"RAG is still the dominant architecture for grounding LLMs with external knowledge in 2026 — but the landscape has fractured into multiple distinct patterns, each with wildly different cost, latency, and quality tradeoffs." — </w:t>
      </w:r>
      <w:r>
        <w:rPr>
          <w:b/>
        </w:rPr>
        <w:t>Research Team</w:t>
      </w:r>
      <w:r>
        <w:t xml:space="preserve">, </w:t>
      </w:r>
      <w:r>
        <w:rPr>
          <w:color w:val="0F62FE"/>
          <w:u w:val="single"/>
        </w:rPr>
        <w:t>RAG Techniques Compared: A Practical Guide to Retrieval Augmented Generation in 2026</w:t>
      </w:r>
    </w:p>
    <w:p>
      <w:r>
        <w:t xml:space="preserve">When evaluating TCO, stakeholders must look beyond the per-query price. Agentic systems often reduce the need for human intervention in data analysis and research. According to </w:t>
      </w:r>
      <w:r>
        <w:rPr>
          <w:color w:val="0F62FE"/>
          <w:u w:val="single"/>
        </w:rPr>
        <w:t>The Work AI Index 2026</w:t>
      </w:r>
      <w:r>
        <w:t>, enterprise AI tools can save workers up to 11 hours per week. If an agentic architecture enables this level of productivity, the higher compute cost is frequently offset by the reduction in manual labor and the acceleration of cross-system orchestration.</w:t>
      </w:r>
    </w:p>
    <w:p>
      <w:r>
        <w:t xml:space="preserve">However, moving toward agentic or event-driven patterns increases the complexity of the </w:t>
      </w:r>
      <w:r>
        <w:rPr>
          <w:b/>
        </w:rPr>
        <w:t>system architecture</w:t>
      </w:r>
      <w:r>
        <w:t>. These designs require robust state management and error handling to ensure that the iterative retrieval process does not drift from the intended business logic. While naive RAG is sufficient for simple document lookup, enterprise-grade applications often demand the precision of agentic workflows to handle ambiguous queries.</w:t>
      </w:r>
    </w:p>
    <w:p>
      <w:r>
        <w:t>Selecting the right pattern requires a balance between the immediate cost of token consumption and the long-term value of accurate, automated decision-making. As organizations refine their approach to these architectures, the focus must shift toward how data is kept current and accessible for these retrieval engines.</w:t>
      </w:r>
    </w:p>
    <w:p>
      <w:pPr>
        <w:pStyle w:val="Heading1"/>
      </w:pPr>
      <w:r>
        <w:rPr>
          <w:color w:val="1F2937"/>
        </w:rPr>
        <w:t>Synchronizing Operational Intelligence via Event Streams</w:t>
      </w:r>
    </w:p>
    <w:p>
      <w:r>
        <w:t xml:space="preserve">While architectural patterns define the logic of retrieval, the efficacy of </w:t>
      </w:r>
      <w:r>
        <w:rPr>
          <w:b/>
        </w:rPr>
        <w:t>RAG</w:t>
      </w:r>
      <w:r>
        <w:t xml:space="preserve"> ultimately hinges on the temporal accuracy of the underlying data. Static, batch-processed document indexing creates a dangerous latency gap, where the information retrieved by an AI model is often hours or days behind the actual state of enterprise systems. In environments where data changes rapidly, relying on periodic indexing cycles forces the model to operate on outdated context, which directly undermines the reliability of automated decision-making.</w:t>
      </w:r>
    </w:p>
    <w:p>
      <w:r>
        <w:t xml:space="preserve">To bridge this gap, organizations are shifting toward an architecture that integrates </w:t>
      </w:r>
      <w:r>
        <w:rPr>
          <w:b/>
        </w:rPr>
        <w:t>event streaming</w:t>
      </w:r>
      <w:r>
        <w:t xml:space="preserve"> platforms directly with a </w:t>
      </w:r>
      <w:r>
        <w:rPr>
          <w:b/>
        </w:rPr>
        <w:t>vector database</w:t>
      </w:r>
      <w:r>
        <w:t xml:space="preserve">. As detailed in </w:t>
      </w:r>
      <w:r>
        <w:rPr>
          <w:color w:val="0F62FE"/>
          <w:u w:val="single"/>
        </w:rPr>
        <w:t>Enterprise Knowledge Management with RAG for Digital-Native Companies</w:t>
      </w:r>
      <w:r>
        <w:t xml:space="preserve">, this approach allows for the continuous ingestion of document updates. By treating every change as a discrete event, the system can trigger the regeneration of </w:t>
      </w:r>
      <w:r>
        <w:rPr>
          <w:b/>
        </w:rPr>
        <w:t>embeddings</w:t>
      </w:r>
      <w:r>
        <w:t xml:space="preserve"> and synchronize the vector store in real time. This ensures that the context provided to the model is always current, effectively eliminating the "stale data" window that frequently leads to inaccurate outputs.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Feature</w:t>
            </w:r>
          </w:p>
        </w:tc>
        <w:tc>
          <w:tcPr>
            <w:tcW w:type="dxa" w:w="2340"/>
          </w:tcPr>
          <w:p>
            <w:r>
              <w:rPr>
                <w:b/>
              </w:rPr>
              <w:t>Batch-Processed Indexing</w:t>
            </w:r>
          </w:p>
        </w:tc>
        <w:tc>
          <w:tcPr>
            <w:tcW w:type="dxa" w:w="2340"/>
          </w:tcPr>
          <w:p>
            <w:r>
              <w:rPr>
                <w:b/>
              </w:rPr>
              <w:t>Event-Streamed Synchronization</w:t>
            </w:r>
          </w:p>
        </w:tc>
        <w:tc>
          <w:tcPr>
            <w:tcW w:type="dxa" w:w="2340"/>
          </w:tcPr>
          <w:p/>
        </w:tc>
      </w:tr>
      <w:tr>
        <w:tc>
          <w:tcPr>
            <w:tcW w:type="dxa" w:w="2340"/>
          </w:tcPr>
          <w:p>
            <w:r>
              <w:t>**Data Latency**</w:t>
            </w:r>
          </w:p>
        </w:tc>
        <w:tc>
          <w:tcPr>
            <w:tcW w:type="dxa" w:w="2340"/>
          </w:tcPr>
          <w:p>
            <w:r>
              <w:t>Hours to Days</w:t>
            </w:r>
          </w:p>
        </w:tc>
        <w:tc>
          <w:tcPr>
            <w:tcW w:type="dxa" w:w="2340"/>
          </w:tcPr>
          <w:p>
            <w:r>
              <w:t>Milliseconds</w:t>
            </w:r>
          </w:p>
        </w:tc>
        <w:tc>
          <w:tcPr>
            <w:tcW w:type="dxa" w:w="2340"/>
          </w:tcPr>
          <w:p/>
        </w:tc>
      </w:tr>
      <w:tr>
        <w:tc>
          <w:tcPr>
            <w:tcW w:type="dxa" w:w="2340"/>
          </w:tcPr>
          <w:p>
            <w:r>
              <w:t>**Consistency**</w:t>
            </w:r>
          </w:p>
        </w:tc>
        <w:tc>
          <w:tcPr>
            <w:tcW w:type="dxa" w:w="2340"/>
          </w:tcPr>
          <w:p>
            <w:r>
              <w:t>Periodic snapshots</w:t>
            </w:r>
          </w:p>
        </w:tc>
        <w:tc>
          <w:tcPr>
            <w:tcW w:type="dxa" w:w="2340"/>
          </w:tcPr>
          <w:p>
            <w:r>
              <w:t>Continuous state</w:t>
            </w:r>
          </w:p>
        </w:tc>
        <w:tc>
          <w:tcPr>
            <w:tcW w:type="dxa" w:w="2340"/>
          </w:tcPr>
          <w:p/>
        </w:tc>
      </w:tr>
      <w:tr>
        <w:tc>
          <w:tcPr>
            <w:tcW w:type="dxa" w:w="2340"/>
          </w:tcPr>
          <w:p>
            <w:r>
              <w:t>**Operational Risk**</w:t>
            </w:r>
          </w:p>
        </w:tc>
        <w:tc>
          <w:tcPr>
            <w:tcW w:type="dxa" w:w="2340"/>
          </w:tcPr>
          <w:p>
            <w:r>
              <w:t>High (stale hallucinations)</w:t>
            </w:r>
          </w:p>
        </w:tc>
        <w:tc>
          <w:tcPr>
            <w:tcW w:type="dxa" w:w="2340"/>
          </w:tcPr>
          <w:p>
            <w:r>
              <w:t>Low (real-time accuracy)</w:t>
            </w:r>
          </w:p>
        </w:tc>
        <w:tc>
          <w:tcPr>
            <w:tcW w:type="dxa" w:w="2340"/>
          </w:tcPr>
          <w:p>
            <w:r>
              <w:t>.</w:t>
            </w:r>
          </w:p>
        </w:tc>
      </w:tr>
    </w:tbl>
    <w:p/>
    <w:p>
      <w:r>
        <w:t xml:space="preserve">Real-time ingestion is particularly critical for compliance and developer tooling, where the cost of hallucinated outputs can be severe. When an AI system is fed outdated documentation or configuration files, it may suggest deprecated APIs or non-compliant workflows. By maintaining a live pipeline, the system ensures that the retrieved context reflects the most recent version of truth. According to </w:t>
      </w:r>
      <w:r>
        <w:rPr>
          <w:color w:val="0F62FE"/>
          <w:u w:val="single"/>
        </w:rPr>
        <w:t>The Work AI Index 2026 by Glean</w:t>
      </w:r>
      <w:r>
        <w:t>, employees already save 11 hours per week through AI-driven research and orchestration; real-time synchronization protects these gains by ensuring that the time saved is not spent correcting errors caused by temporal lag.</w:t>
      </w:r>
    </w:p>
    <w:p>
      <w:pPr>
        <w:ind w:left="720"/>
      </w:pPr>
      <w:r>
        <w:t xml:space="preserve">"An enterprise RAG architecture utilizes event streaming to ingest document updates, regenerate embeddings, and synchronize context in real time." — </w:t>
      </w:r>
      <w:r>
        <w:rPr>
          <w:b/>
        </w:rPr>
        <w:t>Confluent</w:t>
      </w:r>
      <w:r>
        <w:t>, Enterprise Knowledge Management Report, 2026.</w:t>
      </w:r>
    </w:p>
    <w:p>
      <w:r>
        <w:t>This continuous flow of information provides the necessary foundation for building intelligent systems that can reliably assist technical teams in their daily workflows.</w:t>
      </w:r>
    </w:p>
    <w:p>
      <w:pPr>
        <w:pStyle w:val="Heading1"/>
      </w:pPr>
      <w:r>
        <w:rPr>
          <w:color w:val="1F2937"/>
        </w:rPr>
        <w:t>Deploying Developer Copilots That Actually Work</w:t>
      </w:r>
    </w:p>
    <w:p>
      <w:r>
        <w:t xml:space="preserve">Building upon the foundation of real-time event streams, organizations must now translate that synchronized data into actionable developer tooling. By integrating </w:t>
      </w:r>
      <w:r>
        <w:rPr>
          <w:b/>
        </w:rPr>
        <w:t>RAG</w:t>
      </w:r>
      <w:r>
        <w:t xml:space="preserve"> into the software development lifecycle, firms can transform static </w:t>
      </w:r>
      <w:r>
        <w:rPr>
          <w:b/>
        </w:rPr>
        <w:t>knowledge management</w:t>
      </w:r>
      <w:r>
        <w:t xml:space="preserve"> into a dynamic assistant that understands the current state of a codebase.</w:t>
      </w:r>
    </w:p>
    <w:p>
      <w:r>
        <w:t xml:space="preserve">Internal developer copilots function by indexing live documentation and </w:t>
      </w:r>
      <w:r>
        <w:rPr>
          <w:b/>
        </w:rPr>
        <w:t>Jira</w:t>
      </w:r>
      <w:r>
        <w:t xml:space="preserve"> tickets into a </w:t>
      </w:r>
      <w:r>
        <w:rPr>
          <w:b/>
        </w:rPr>
        <w:t>vector database</w:t>
      </w:r>
      <w:r>
        <w:t>, allowing engineers to query architectural decisions or bug history without leaving their IDE. When a developer asks about a specific API deprecation, the system retrieves the most recent ticket updates and pull request comments, ensuring the response reflects the current repository state rather than outdated documentation.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Feature</w:t>
            </w:r>
          </w:p>
        </w:tc>
        <w:tc>
          <w:tcPr>
            <w:tcW w:type="dxa" w:w="2340"/>
          </w:tcPr>
          <w:p>
            <w:r>
              <w:rPr>
                <w:b/>
              </w:rPr>
              <w:t>Traditional Documentation</w:t>
            </w:r>
          </w:p>
        </w:tc>
        <w:tc>
          <w:tcPr>
            <w:tcW w:type="dxa" w:w="2340"/>
          </w:tcPr>
          <w:p>
            <w:r>
              <w:rPr>
                <w:b/>
              </w:rPr>
              <w:t>RAG-Powered Copilot</w:t>
            </w:r>
          </w:p>
        </w:tc>
        <w:tc>
          <w:tcPr>
            <w:tcW w:type="dxa" w:w="2340"/>
          </w:tcPr>
          <w:p/>
        </w:tc>
      </w:tr>
      <w:tr>
        <w:tc>
          <w:tcPr>
            <w:tcW w:type="dxa" w:w="2340"/>
          </w:tcPr>
          <w:p>
            <w:r>
              <w:t>Search Scope</w:t>
            </w:r>
          </w:p>
        </w:tc>
        <w:tc>
          <w:tcPr>
            <w:tcW w:type="dxa" w:w="2340"/>
          </w:tcPr>
          <w:p>
            <w:r>
              <w:t>Static PDFs/Wikis</w:t>
            </w:r>
          </w:p>
        </w:tc>
        <w:tc>
          <w:tcPr>
            <w:tcW w:type="dxa" w:w="2340"/>
          </w:tcPr>
          <w:p>
            <w:r>
              <w:t>Live Codebase &amp; Jira</w:t>
            </w:r>
          </w:p>
        </w:tc>
        <w:tc>
          <w:tcPr>
            <w:tcW w:type="dxa" w:w="2340"/>
          </w:tcPr>
          <w:p/>
        </w:tc>
      </w:tr>
      <w:tr>
        <w:tc>
          <w:tcPr>
            <w:tcW w:type="dxa" w:w="2340"/>
          </w:tcPr>
          <w:p>
            <w:r>
              <w:t>Latency</w:t>
            </w:r>
          </w:p>
        </w:tc>
        <w:tc>
          <w:tcPr>
            <w:tcW w:type="dxa" w:w="2340"/>
          </w:tcPr>
          <w:p>
            <w:r>
              <w:t>Manual lookup time</w:t>
            </w:r>
          </w:p>
        </w:tc>
        <w:tc>
          <w:tcPr>
            <w:tcW w:type="dxa" w:w="2340"/>
          </w:tcPr>
          <w:p>
            <w:r>
              <w:t>Sub-second retrieval</w:t>
            </w:r>
          </w:p>
        </w:tc>
        <w:tc>
          <w:tcPr>
            <w:tcW w:type="dxa" w:w="2340"/>
          </w:tcPr>
          <w:p/>
        </w:tc>
      </w:tr>
      <w:tr>
        <w:tc>
          <w:tcPr>
            <w:tcW w:type="dxa" w:w="2340"/>
          </w:tcPr>
          <w:p>
            <w:r>
              <w:t>Context</w:t>
            </w:r>
          </w:p>
        </w:tc>
        <w:tc>
          <w:tcPr>
            <w:tcW w:type="dxa" w:w="2340"/>
          </w:tcPr>
          <w:p>
            <w:r>
              <w:t>Outdated/General</w:t>
            </w:r>
          </w:p>
        </w:tc>
        <w:tc>
          <w:tcPr>
            <w:tcW w:type="dxa" w:w="2340"/>
          </w:tcPr>
          <w:p>
            <w:r>
              <w:t>Real-time/Project-specific</w:t>
            </w:r>
          </w:p>
        </w:tc>
        <w:tc>
          <w:tcPr>
            <w:tcW w:type="dxa" w:w="2340"/>
          </w:tcPr>
          <w:p>
            <w:r>
              <w:t>.</w:t>
            </w:r>
          </w:p>
        </w:tc>
      </w:tr>
    </w:tbl>
    <w:p/>
    <w:p>
      <w:r>
        <w:t xml:space="preserve">Digital-native firms have extended this logic to automated compliance checkers. By querying updated regulatory databases via </w:t>
      </w:r>
      <w:r>
        <w:rPr>
          <w:b/>
        </w:rPr>
        <w:t>RAG</w:t>
      </w:r>
      <w:r>
        <w:t xml:space="preserve">, these systems flag non-compliant code patterns during the CI/CD process. According to </w:t>
      </w:r>
      <w:r>
        <w:rPr>
          <w:color w:val="0F62FE"/>
          <w:u w:val="single"/>
        </w:rPr>
        <w:t>Enterprise Knowledge Management with RAG for Digital-Native Companies</w:t>
      </w:r>
      <w:r>
        <w:t>, this architecture relies on continuous ingestion to maintain accuracy in fast-moving environments.</w:t>
      </w:r>
    </w:p>
    <w:p>
      <w:r>
        <w:t xml:space="preserve">However, retrieval precision remains a significant hurdle when dealing with highly domain-specific technical jargon. A model trained on general-purpose data may struggle to distinguish between nuanced technical terms, leading to misaligned context. As </w:t>
      </w:r>
      <w:r>
        <w:rPr>
          <w:color w:val="0F62FE"/>
          <w:u w:val="single"/>
        </w:rPr>
        <w:t>Intelliarts</w:t>
      </w:r>
      <w:r>
        <w:t xml:space="preserve"> notes:.</w:t>
      </w:r>
    </w:p>
    <w:p>
      <w:pPr>
        <w:ind w:left="720"/>
      </w:pPr>
      <w:r>
        <w:t xml:space="preserve">"Different embedding models can yield varying results. Some models might capture the overall style or intent of a question, while others may focus on individual words rather than the actual meaning." — </w:t>
      </w:r>
      <w:r>
        <w:rPr>
          <w:b/>
        </w:rPr>
        <w:t>Intelliarts</w:t>
      </w:r>
      <w:r>
        <w:t xml:space="preserve">, Technical Blog Post, </w:t>
      </w:r>
      <w:r>
        <w:rPr>
          <w:color w:val="0F62FE"/>
          <w:u w:val="single"/>
        </w:rPr>
        <w:t>Best Practices for Enterprise RAG System Implementation</w:t>
      </w:r>
    </w:p>
    <w:p>
      <w:r>
        <w:t xml:space="preserve">To mitigate these precision trade-offs, engineering teams must experiment with multiple </w:t>
      </w:r>
      <w:r>
        <w:rPr>
          <w:b/>
        </w:rPr>
        <w:t>embeddings</w:t>
      </w:r>
      <w:r>
        <w:t xml:space="preserve"> to determine which best aligns with their specific technical vocabulary. Selecting the right model ensures that the retrieved context is semantically relevant to the developer's query, rather than just keyword-adjacent. Mastering these retrieval nuances is the final hurdle before shifting from experimental implementations to reliable, production-grade systems.</w:t>
      </w:r>
    </w:p>
    <w:p>
      <w:pPr>
        <w:pStyle w:val="Heading1"/>
      </w:pPr>
      <w:r>
        <w:rPr>
          <w:color w:val="1F2937"/>
        </w:rPr>
        <w:t>The Path Toward Deterministic Enterprise AI</w:t>
      </w:r>
    </w:p>
    <w:p>
      <w:r>
        <w:t xml:space="preserve">Moving beyond the immediate utility of developer-focused copilots requires a shift toward building robust, predictable infrastructure that sustains long-term </w:t>
      </w:r>
      <w:r>
        <w:rPr>
          <w:b/>
        </w:rPr>
        <w:t>AI strategy</w:t>
      </w:r>
      <w:r>
        <w:t xml:space="preserve">. Organizations must pivot away from the obsession with large model parameter counts, which often mask underlying retrieval inefficiencies, and instead prioritize data freshness and rigorous evaluation of </w:t>
      </w:r>
      <w:r>
        <w:rPr>
          <w:b/>
        </w:rPr>
        <w:t>embeddings</w:t>
      </w:r>
      <w:r>
        <w:t xml:space="preserve">. As noted in </w:t>
      </w:r>
      <w:r>
        <w:rPr>
          <w:color w:val="0F62FE"/>
          <w:u w:val="single"/>
        </w:rPr>
        <w:t>Best Practices for Enterprise RAG System Implementation</w:t>
      </w:r>
      <w:r>
        <w:t xml:space="preserve">, selecting the right model is critical, as different architectures vary significantly in their ability to capture semantic intent versus surface-level keyword matching within a </w:t>
      </w:r>
      <w:r>
        <w:rPr>
          <w:b/>
        </w:rPr>
        <w:t>vector database</w:t>
      </w:r>
      <w:r>
        <w:t>.</w:t>
      </w:r>
    </w:p>
    <w:p>
      <w:r>
        <w:t>The industry is currently transitioning toward agentic frameworks, a shift that necessitates a heightened focus on observability and retrieval-traceability. When systems act autonomously, understanding the provenance of every retrieved document becomes a prerequisite for trust. This architectural evolution demands that engineers treat the retrieval pipeline as a high-performance database operation rather than a black box.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Traditional RAG Focus</w:t>
            </w:r>
          </w:p>
        </w:tc>
        <w:tc>
          <w:tcPr>
            <w:tcW w:type="dxa" w:w="2340"/>
          </w:tcPr>
          <w:p>
            <w:r>
              <w:rPr>
                <w:b/>
              </w:rPr>
              <w:t>Deterministic Enterprise AI Focus</w:t>
            </w:r>
          </w:p>
        </w:tc>
        <w:tc>
          <w:tcPr>
            <w:tcW w:type="dxa" w:w="2340"/>
          </w:tcPr>
          <w:p/>
        </w:tc>
      </w:tr>
      <w:tr>
        <w:tc>
          <w:tcPr>
            <w:tcW w:type="dxa" w:w="2340"/>
          </w:tcPr>
          <w:p>
            <w:r>
              <w:t>Primary KPI</w:t>
            </w:r>
          </w:p>
        </w:tc>
        <w:tc>
          <w:tcPr>
            <w:tcW w:type="dxa" w:w="2340"/>
          </w:tcPr>
          <w:p>
            <w:r>
              <w:t>Model Parameter Size</w:t>
            </w:r>
          </w:p>
        </w:tc>
        <w:tc>
          <w:tcPr>
            <w:tcW w:type="dxa" w:w="2340"/>
          </w:tcPr>
          <w:p>
            <w:r>
              <w:t>Retrieval Latency &amp; Traceability</w:t>
            </w:r>
          </w:p>
        </w:tc>
        <w:tc>
          <w:tcPr>
            <w:tcW w:type="dxa" w:w="2340"/>
          </w:tcPr>
          <w:p/>
        </w:tc>
      </w:tr>
      <w:tr>
        <w:tc>
          <w:tcPr>
            <w:tcW w:type="dxa" w:w="2340"/>
          </w:tcPr>
          <w:p>
            <w:r>
              <w:t>Data Strategy</w:t>
            </w:r>
          </w:p>
        </w:tc>
        <w:tc>
          <w:tcPr>
            <w:tcW w:type="dxa" w:w="2340"/>
          </w:tcPr>
          <w:p>
            <w:r>
              <w:t>Static Snapshots</w:t>
            </w:r>
          </w:p>
        </w:tc>
        <w:tc>
          <w:tcPr>
            <w:tcW w:type="dxa" w:w="2340"/>
          </w:tcPr>
          <w:p>
            <w:r>
              <w:t>Real-time Freshness</w:t>
            </w:r>
          </w:p>
        </w:tc>
        <w:tc>
          <w:tcPr>
            <w:tcW w:type="dxa" w:w="2340"/>
          </w:tcPr>
          <w:p/>
        </w:tc>
      </w:tr>
      <w:tr>
        <w:tc>
          <w:tcPr>
            <w:tcW w:type="dxa" w:w="2340"/>
          </w:tcPr>
          <w:p>
            <w:r>
              <w:t>Evaluation</w:t>
            </w:r>
          </w:p>
        </w:tc>
        <w:tc>
          <w:tcPr>
            <w:tcW w:type="dxa" w:w="2340"/>
          </w:tcPr>
          <w:p>
            <w:r>
              <w:t>Subjective Prompt Testing</w:t>
            </w:r>
          </w:p>
        </w:tc>
        <w:tc>
          <w:tcPr>
            <w:tcW w:type="dxa" w:w="2340"/>
          </w:tcPr>
          <w:p>
            <w:r>
              <w:t>Embedding Model Benchmarking</w:t>
            </w:r>
          </w:p>
        </w:tc>
        <w:tc>
          <w:tcPr>
            <w:tcW w:type="dxa" w:w="2340"/>
          </w:tcPr>
          <w:p>
            <w:r>
              <w:t>.</w:t>
            </w:r>
          </w:p>
        </w:tc>
      </w:tr>
    </w:tbl>
    <w:p/>
    <w:p>
      <w:r>
        <w:t xml:space="preserve">To begin this transition, conduct a baseline latency audit of your current retrieval pipeline this week to identify specific bottleneck stages. As demonstrated by </w:t>
      </w:r>
      <w:r>
        <w:rPr>
          <w:color w:val="0F62FE"/>
          <w:u w:val="single"/>
        </w:rPr>
        <w:t>Myntra’s migration to Aerospike</w:t>
      </w:r>
      <w:r>
        <w:t xml:space="preserve">, where feature lookup latency dropped from 8.5 ms to 0.8 ms, optimizing the data layer is the most effective way to scale </w:t>
      </w:r>
      <w:r>
        <w:rPr>
          <w:b/>
        </w:rPr>
        <w:t>RAG</w:t>
      </w:r>
      <w:r>
        <w:t xml:space="preserve"> performance. Establishing this technical foundation today ensures your enterprise AI remains both responsive and reliable as complexity increases. Your next step is to map your retrieval traces against these latency benchmarks to eliminate systemic friction.</w:t>
      </w:r>
    </w:p>
    <w:p>
      <w:r>
        <w:t>---</w:t>
      </w:r>
    </w:p>
    <w:p>
      <w:pPr>
        <w:pStyle w:val="Heading2"/>
      </w:pPr>
      <w:r>
        <w:t>📚 References &amp; Cited Sources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w:t>
            </w:r>
          </w:p>
        </w:tc>
        <w:tc>
          <w:tcPr>
            <w:tcW w:type="dxa" w:w="1872"/>
          </w:tcPr>
          <w:p>
            <w:r>
              <w:rPr>
                <w:b/>
              </w:rPr>
              <w:t>Source Title</w:t>
            </w:r>
          </w:p>
        </w:tc>
        <w:tc>
          <w:tcPr>
            <w:tcW w:type="dxa" w:w="1872"/>
          </w:tcPr>
          <w:p>
            <w:r>
              <w:rPr>
                <w:b/>
              </w:rPr>
              <w:t>Publisher / Author</w:t>
            </w:r>
          </w:p>
        </w:tc>
        <w:tc>
          <w:tcPr>
            <w:tcW w:type="dxa" w:w="1872"/>
          </w:tcPr>
          <w:p>
            <w:r>
              <w:rPr>
                <w:b/>
              </w:rPr>
              <w:t>Direct Link</w:t>
            </w:r>
          </w:p>
        </w:tc>
        <w:tc>
          <w:tcPr>
            <w:tcW w:type="dxa" w:w="1872"/>
          </w:tcPr>
          <w:p/>
        </w:tc>
      </w:tr>
      <w:tr>
        <w:tc>
          <w:tcPr>
            <w:tcW w:type="dxa" w:w="1872"/>
          </w:tcPr>
          <w:p>
            <w:r>
              <w:t>[1]</w:t>
            </w:r>
          </w:p>
        </w:tc>
        <w:tc>
          <w:tcPr>
            <w:tcW w:type="dxa" w:w="1872"/>
          </w:tcPr>
          <w:p>
            <w:r>
              <w:t>Best Practices for Enterprise RAG System Implementation</w:t>
            </w:r>
          </w:p>
        </w:tc>
        <w:tc>
          <w:tcPr>
            <w:tcW w:type="dxa" w:w="1872"/>
          </w:tcPr>
          <w:p>
            <w:r>
              <w:t>Volodymyr Mudryi</w:t>
            </w:r>
          </w:p>
        </w:tc>
        <w:tc>
          <w:tcPr>
            <w:tcW w:type="dxa" w:w="1872"/>
          </w:tcPr>
          <w:p>
            <w:r>
              <w:t>[View Source](https://intelliarts.com/blog/enterprise-rag-system-based-best-practices)</w:t>
            </w:r>
          </w:p>
        </w:tc>
        <w:tc>
          <w:tcPr>
            <w:tcW w:type="dxa" w:w="1872"/>
          </w:tcPr>
          <w:p/>
        </w:tc>
      </w:tr>
      <w:tr>
        <w:tc>
          <w:tcPr>
            <w:tcW w:type="dxa" w:w="1872"/>
          </w:tcPr>
          <w:p>
            <w:r>
              <w:t>[2]</w:t>
            </w:r>
          </w:p>
        </w:tc>
        <w:tc>
          <w:tcPr>
            <w:tcW w:type="dxa" w:w="1872"/>
          </w:tcPr>
          <w:p>
            <w:r>
              <w:t>Retrieval Augmented Generation for Enterprise AI Systems</w:t>
            </w:r>
          </w:p>
        </w:tc>
        <w:tc>
          <w:tcPr>
            <w:tcW w:type="dxa" w:w="1872"/>
          </w:tcPr>
          <w:p>
            <w:r>
              <w:t>Alexander Patino</w:t>
            </w:r>
          </w:p>
        </w:tc>
        <w:tc>
          <w:tcPr>
            <w:tcW w:type="dxa" w:w="1872"/>
          </w:tcPr>
          <w:p>
            <w:r>
              <w:t>[View Source](https://aerospike.com/blog/retrieval-augmented-generation-enterprise-ai)</w:t>
            </w:r>
          </w:p>
        </w:tc>
        <w:tc>
          <w:tcPr>
            <w:tcW w:type="dxa" w:w="1872"/>
          </w:tcPr>
          <w:p/>
        </w:tc>
      </w:tr>
      <w:tr>
        <w:tc>
          <w:tcPr>
            <w:tcW w:type="dxa" w:w="1872"/>
          </w:tcPr>
          <w:p>
            <w:r>
              <w:t>[3]</w:t>
            </w:r>
          </w:p>
        </w:tc>
        <w:tc>
          <w:tcPr>
            <w:tcW w:type="dxa" w:w="1872"/>
          </w:tcPr>
          <w:p>
            <w:r>
              <w:t>Optimizing and Evaluating Enterprise Retrieval-Augmented Generation (RAG): A Content Design Perspective</w:t>
            </w:r>
          </w:p>
        </w:tc>
        <w:tc>
          <w:tcPr>
            <w:tcW w:type="dxa" w:w="1872"/>
          </w:tcPr>
          <w:p>
            <w:r>
              <w:t>Sarah Packowski, Inge Halilovic, Jenifer Schlotfeldt, Trish Smith (IBM)</w:t>
            </w:r>
          </w:p>
        </w:tc>
        <w:tc>
          <w:tcPr>
            <w:tcW w:type="dxa" w:w="1872"/>
          </w:tcPr>
          <w:p>
            <w:r>
              <w:t>[View Source](https://arxiv.org/html/2410.12812v1)</w:t>
            </w:r>
          </w:p>
        </w:tc>
        <w:tc>
          <w:tcPr>
            <w:tcW w:type="dxa" w:w="1872"/>
          </w:tcPr>
          <w:p/>
        </w:tc>
      </w:tr>
      <w:tr>
        <w:tc>
          <w:tcPr>
            <w:tcW w:type="dxa" w:w="1872"/>
          </w:tcPr>
          <w:p>
            <w:r>
              <w:t>[4]</w:t>
            </w:r>
          </w:p>
        </w:tc>
        <w:tc>
          <w:tcPr>
            <w:tcW w:type="dxa" w:w="1872"/>
          </w:tcPr>
          <w:p>
            <w:r>
              <w:t>RAG Techniques Compared: A Practical Guide to Retrieval Augmented Generation in 2026</w:t>
            </w:r>
          </w:p>
        </w:tc>
        <w:tc>
          <w:tcPr>
            <w:tcW w:type="dxa" w:w="1872"/>
          </w:tcPr>
          <w:p>
            <w:r>
              <w:t>Starmorph</w:t>
            </w:r>
          </w:p>
        </w:tc>
        <w:tc>
          <w:tcPr>
            <w:tcW w:type="dxa" w:w="1872"/>
          </w:tcPr>
          <w:p>
            <w:r>
              <w:t>[View Source](https://blog.starmorph.com/blog/rag-techniques-compared-best-practices-guide)</w:t>
            </w:r>
          </w:p>
        </w:tc>
        <w:tc>
          <w:tcPr>
            <w:tcW w:type="dxa" w:w="1872"/>
          </w:tcPr>
          <w:p/>
        </w:tc>
      </w:tr>
      <w:tr>
        <w:tc>
          <w:tcPr>
            <w:tcW w:type="dxa" w:w="1872"/>
          </w:tcPr>
          <w:p>
            <w:r>
              <w:t>[5]</w:t>
            </w:r>
          </w:p>
        </w:tc>
        <w:tc>
          <w:tcPr>
            <w:tcW w:type="dxa" w:w="1872"/>
          </w:tcPr>
          <w:p>
            <w:r>
              <w:t>Top 10 enterprise use cases for RAG models in 2026</w:t>
            </w:r>
          </w:p>
        </w:tc>
        <w:tc>
          <w:tcPr>
            <w:tcW w:type="dxa" w:w="1872"/>
          </w:tcPr>
          <w:p>
            <w:r>
              <w:t>Glean</w:t>
            </w:r>
          </w:p>
        </w:tc>
        <w:tc>
          <w:tcPr>
            <w:tcW w:type="dxa" w:w="1872"/>
          </w:tcPr>
          <w:p>
            <w:r>
              <w:t>[View Source](https://www.glean.com/perspectives/top-10-enterprise-use-cases-for-rag-models-in-2026)</w:t>
            </w:r>
          </w:p>
        </w:tc>
        <w:tc>
          <w:tcPr>
            <w:tcW w:type="dxa" w:w="1872"/>
          </w:tcPr>
          <w:p/>
        </w:tc>
      </w:tr>
      <w:tr>
        <w:tc>
          <w:tcPr>
            <w:tcW w:type="dxa" w:w="1872"/>
          </w:tcPr>
          <w:p>
            <w:r>
              <w:t>[6]</w:t>
            </w:r>
          </w:p>
        </w:tc>
        <w:tc>
          <w:tcPr>
            <w:tcW w:type="dxa" w:w="1872"/>
          </w:tcPr>
          <w:p>
            <w:r>
              <w:t>Enterprise Knowledge Management with RAG for Digital-Native Companies</w:t>
            </w:r>
          </w:p>
        </w:tc>
        <w:tc>
          <w:tcPr>
            <w:tcW w:type="dxa" w:w="1872"/>
          </w:tcPr>
          <w:p>
            <w:r>
              <w:t>Bijoy Choudhury</w:t>
            </w:r>
          </w:p>
        </w:tc>
        <w:tc>
          <w:tcPr>
            <w:tcW w:type="dxa" w:w="1872"/>
          </w:tcPr>
          <w:p>
            <w:r>
              <w:t>[View Source](https://www.confluent.io/blog/enterprise-knowledge-management-with-rag-for-digital-native-companies)</w:t>
            </w:r>
          </w:p>
        </w:tc>
        <w:tc>
          <w:tcPr>
            <w:tcW w:type="dxa" w:w="1872"/>
          </w:tcPr>
          <w:p>
            <w:r>
              <w:t>.</w:t>
            </w:r>
          </w:p>
        </w:tc>
      </w:tr>
    </w:tbl>
    <w:p/>
    <w:p/>
    <w:p>
      <w:r>
        <w:drawing>
          <wp:inline xmlns:a="http://schemas.openxmlformats.org/drawingml/2006/main" xmlns:pic="http://schemas.openxmlformats.org/drawingml/2006/picture">
            <wp:extent cx="5029200" cy="2830263"/>
            <wp:docPr id="2" name="Picture 2"/>
            <wp:cNvGraphicFramePr>
              <a:graphicFrameLocks noChangeAspect="1"/>
            </wp:cNvGraphicFramePr>
            <a:graphic>
              <a:graphicData uri="http://schemas.openxmlformats.org/drawingml/2006/picture">
                <pic:pic>
                  <pic:nvPicPr>
                    <pic:cNvPr id="0" name="2_high-performance-vector-database.png"/>
                    <pic:cNvPicPr/>
                  </pic:nvPicPr>
                  <pic:blipFill>
                    <a:blip r:embed="rId10"/>
                    <a:stretch>
                      <a:fillRect/>
                    </a:stretch>
                  </pic:blipFill>
                  <pic:spPr>
                    <a:xfrm>
                      <a:off x="0" y="0"/>
                      <a:ext cx="5029200" cy="2830263"/>
                    </a:xfrm>
                    <a:prstGeom prst="rect"/>
                  </pic:spPr>
                </pic:pic>
              </a:graphicData>
            </a:graphic>
          </wp:inline>
        </w:drawing>
      </w:r>
    </w:p>
    <w:p/>
    <w:p>
      <w:r>
        <w:rPr>
          <w:i/>
        </w:rPr>
        <w:t>Figure 2: Multi-dimensional embedding space enabling semantic similarity searches in a vector database.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