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color w:val="595959"/>
          <w:sz w:val="24"/>
          <w:szCs w:val="24"/>
        </w:rPr>
        <w:t xml:space="preserve">COMPETITION ROUND GUIDE</w:t>
      </w:r>
    </w:p>
    <w:p>
      <w:pPr>
        <w:spacing w:after="100" w:before="200"/>
        <w:jc w:val="center"/>
      </w:pPr>
      <w:r>
        <w:rPr>
          <w:b/>
          <w:bCs/>
          <w:color w:val="1B3B6F"/>
          <w:sz w:val="48"/>
          <w:szCs w:val="48"/>
        </w:rPr>
        <w:t xml:space="preserve">WIE Tech4Impact Hackathon 2026</w:t>
      </w:r>
    </w:p>
    <w:p>
      <w:pPr>
        <w:spacing w:after="300"/>
        <w:jc w:val="center"/>
      </w:pPr>
      <w:r>
        <w:rPr>
          <w:i/>
          <w:iCs/>
          <w:color w:val="5B2C6F"/>
          <w:sz w:val="26"/>
          <w:szCs w:val="26"/>
        </w:rPr>
        <w:t xml:space="preserve">All-Girls National Hackathon | In Celebration of Ada Lovelace Day</w:t>
      </w:r>
    </w:p>
    <w:p>
      <w:pPr>
        <w:spacing w:after="60"/>
        <w:jc w:val="center"/>
      </w:pPr>
      <w:r>
        <w:rPr>
          <w:b/>
          <w:bCs/>
          <w:sz w:val="22"/>
          <w:szCs w:val="22"/>
        </w:rPr>
        <w:t xml:space="preserve">Theme: United Nations Sustainable Development Goals (SDGs)</w:t>
      </w:r>
    </w:p>
    <w:p>
      <w:pPr>
        <w:spacing w:after="60"/>
        <w:jc w:val="center"/>
      </w:pPr>
      <w:r>
        <w:rPr>
          <w:sz w:val="22"/>
          <w:szCs w:val="22"/>
        </w:rPr>
        <w:t xml:space="preserve">Round 1 (Online): Early October 2026</w:t>
      </w:r>
    </w:p>
    <w:p>
      <w:pPr>
        <w:spacing w:after="400"/>
        <w:jc w:val="center"/>
      </w:pPr>
      <w:r>
        <w:rPr>
          <w:sz w:val="22"/>
          <w:szCs w:val="22"/>
        </w:rPr>
        <w:t xml:space="preserve">Round 2 (On-Site Hackathon): Friday, 30 October 2026</w:t>
      </w:r>
    </w:p>
    <w:p>
      <w:pPr>
        <w:pStyle w:val="Heading1"/>
        <w:pBdr>
          <w:bottom w:val="single" w:color="1B3B6F" w:sz="8" w:space="4"/>
        </w:pBdr>
        <w:spacing w:after="200" w:before="400"/>
      </w:pPr>
      <w:r>
        <w:t xml:space="preserve">Event Theme</w:t>
      </w:r>
    </w:p>
    <w:p>
      <w:pPr>
        <w:spacing w:after="160"/>
      </w:pPr>
      <w:r>
        <w:t xml:space="preserve">WIE Tech4Impact Hackathon 2026 is a national-level, all-girls hackathon organized by the IEEE NSU Student Branch, Women in Engineering (WIE) Affinity Group, held in celebration of Ada Lovelace Day, the global observance honoring women's achievements in science, technology, engineering, and mathematics.</w:t>
      </w:r>
    </w:p>
    <w:p>
      <w:pPr>
        <w:spacing w:after="160"/>
      </w:pPr>
      <w:r>
        <w:t xml:space="preserve">The competition theme is the United Nations Sustainable Development Goals (SDGs). Teams are free to choose any SDG as the foundation of their solution, including but not limited to:</w:t>
      </w:r>
    </w:p>
    <w:p>
      <w:pPr>
        <w:pStyle w:val="ListParagraph"/>
        <w:numPr>
          <w:ilvl w:val="0"/>
          <w:numId w:val="1"/>
        </w:numPr>
        <w:spacing w:after="80"/>
      </w:pPr>
      <w:r>
        <w:rPr>
          <w:b w:val="false"/>
          <w:bCs w:val="false"/>
        </w:rPr>
        <w:t xml:space="preserve"/>
      </w:r>
      <w:r>
        <w:rPr>
          <w:b/>
          <w:bCs/>
        </w:rPr>
        <w:t xml:space="preserve">Quality Education</w:t>
      </w:r>
      <w:r>
        <w:rPr>
          <w:b w:val="false"/>
          <w:bCs w:val="false"/>
        </w:rPr>
        <w:t xml:space="preserve"> — EdTech, adaptive learning, access to education</w:t>
      </w:r>
    </w:p>
    <w:p>
      <w:pPr>
        <w:pStyle w:val="ListParagraph"/>
        <w:numPr>
          <w:ilvl w:val="0"/>
          <w:numId w:val="1"/>
        </w:numPr>
        <w:spacing w:after="80"/>
      </w:pPr>
      <w:r>
        <w:rPr>
          <w:b w:val="false"/>
          <w:bCs w:val="false"/>
        </w:rPr>
        <w:t xml:space="preserve"/>
      </w:r>
      <w:r>
        <w:rPr>
          <w:b/>
          <w:bCs/>
        </w:rPr>
        <w:t xml:space="preserve">Gender Equality</w:t>
      </w:r>
      <w:r>
        <w:rPr>
          <w:b w:val="false"/>
          <w:bCs w:val="false"/>
        </w:rPr>
        <w:t xml:space="preserve"> — safety, privacy, and empowerment platforms for women and girls</w:t>
      </w:r>
    </w:p>
    <w:p>
      <w:pPr>
        <w:pStyle w:val="ListParagraph"/>
        <w:numPr>
          <w:ilvl w:val="0"/>
          <w:numId w:val="1"/>
        </w:numPr>
        <w:spacing w:after="80"/>
      </w:pPr>
      <w:r>
        <w:rPr>
          <w:b w:val="false"/>
          <w:bCs w:val="false"/>
        </w:rPr>
        <w:t xml:space="preserve"/>
      </w:r>
      <w:r>
        <w:rPr>
          <w:b/>
          <w:bCs/>
        </w:rPr>
        <w:t xml:space="preserve">Industry, Innovation &amp; Infrastructure</w:t>
      </w:r>
      <w:r>
        <w:rPr>
          <w:b w:val="false"/>
          <w:bCs w:val="false"/>
        </w:rPr>
        <w:t xml:space="preserve"> — smart infrastructure, IoT, industrial tech</w:t>
      </w:r>
    </w:p>
    <w:p>
      <w:pPr>
        <w:pStyle w:val="ListParagraph"/>
        <w:numPr>
          <w:ilvl w:val="0"/>
          <w:numId w:val="1"/>
        </w:numPr>
        <w:spacing w:after="80"/>
      </w:pPr>
      <w:r>
        <w:rPr>
          <w:b w:val="false"/>
          <w:bCs w:val="false"/>
        </w:rPr>
        <w:t xml:space="preserve"/>
      </w:r>
      <w:r>
        <w:rPr>
          <w:b/>
          <w:bCs/>
        </w:rPr>
        <w:t xml:space="preserve">Reduced Inequalities</w:t>
      </w:r>
      <w:r>
        <w:rPr>
          <w:b w:val="false"/>
          <w:bCs w:val="false"/>
        </w:rPr>
        <w:t xml:space="preserve"> — technology bridging social, economic, and digital gaps</w:t>
      </w:r>
    </w:p>
    <w:p>
      <w:pPr>
        <w:pStyle w:val="ListParagraph"/>
        <w:numPr>
          <w:ilvl w:val="0"/>
          <w:numId w:val="1"/>
        </w:numPr>
        <w:spacing w:after="80"/>
      </w:pPr>
      <w:r>
        <w:rPr>
          <w:b w:val="false"/>
          <w:bCs w:val="false"/>
        </w:rPr>
        <w:t xml:space="preserve"/>
      </w:r>
      <w:r>
        <w:rPr>
          <w:b/>
          <w:bCs/>
        </w:rPr>
        <w:t xml:space="preserve">Partnerships for the Goals</w:t>
      </w:r>
      <w:r>
        <w:rPr>
          <w:b w:val="false"/>
          <w:bCs w:val="false"/>
        </w:rPr>
        <w:t xml:space="preserve"> — collaborative and open-source solutions</w:t>
      </w:r>
    </w:p>
    <w:p>
      <w:pPr>
        <w:spacing w:after="160"/>
      </w:pPr>
      <w:r>
        <w:t xml:space="preserve">In honoring Ada Lovelace, widely regarded as the world's first computer programmer, this event celebrates the legacy of women in computing while challenging participants to build solutions with real, demonstrable, and scalable impact.</w:t>
      </w:r>
    </w:p>
    <w:p>
      <w:r>
        <w:br w:type="page"/>
      </w:r>
    </w:p>
    <w:p>
      <w:pPr>
        <w:pStyle w:val="Heading1"/>
        <w:pBdr>
          <w:bottom w:val="single" w:color="1B3B6F" w:sz="8" w:space="4"/>
        </w:pBdr>
        <w:spacing w:after="200" w:before="400"/>
      </w:pPr>
      <w:r>
        <w:t xml:space="preserve">Round 1 — Online Ideation Phase</w:t>
      </w:r>
    </w:p>
    <w:p>
      <w:pPr>
        <w:spacing w:after="160"/>
      </w:pPr>
      <w:r>
        <w:rPr>
          <w:b/>
          <w:bCs/>
        </w:rPr>
        <w:t xml:space="preserve">Format: Online submission | Duration: 2 weeks | Opens: early October 2026</w:t>
      </w:r>
    </w:p>
    <w:p>
      <w:pPr>
        <w:spacing w:after="160"/>
      </w:pPr>
      <w:r>
        <w:t xml:space="preserve">Round 1 is a written screening stage. No coding or working prototype is required at this stage. All-female teams of 2–4 members register and submit a short proposal, which is evaluated to shortlist the top 20 teams for the on-site hackathon.</w:t>
      </w:r>
    </w:p>
    <w:p>
      <w:pPr>
        <w:pStyle w:val="Heading2"/>
        <w:spacing w:after="120" w:before="280"/>
      </w:pPr>
      <w:r>
        <w:rPr>
          <w:b/>
          <w:bCs/>
          <w:color w:val="5B2C6F"/>
        </w:rPr>
        <w:t xml:space="preserve">Submission Format</w:t>
      </w:r>
    </w:p>
    <w:p>
      <w:pPr>
        <w:spacing w:after="160"/>
      </w:pPr>
      <w:r>
        <w:t xml:space="preserve">Each team submits a proposal deck (3–4 slides) or an equivalent short written brief, covering:</w:t>
      </w:r>
    </w:p>
    <w:p>
      <w:pPr>
        <w:pStyle w:val="ListParagraph"/>
        <w:numPr>
          <w:ilvl w:val="0"/>
          <w:numId w:val="1"/>
        </w:numPr>
        <w:spacing w:after="80"/>
      </w:pPr>
      <w:r>
        <w:rPr>
          <w:b w:val="false"/>
          <w:bCs w:val="false"/>
        </w:rPr>
        <w:t xml:space="preserve"/>
      </w:r>
      <w:r>
        <w:rPr>
          <w:b/>
          <w:bCs/>
        </w:rPr>
        <w:t xml:space="preserve">1. Team Information</w:t>
      </w:r>
      <w:r>
        <w:rPr>
          <w:b w:val="false"/>
          <w:bCs w:val="false"/>
        </w:rPr>
        <w:t xml:space="preserve"> — Team name, member names, university/department, contact details.</w:t>
      </w:r>
    </w:p>
    <w:p>
      <w:pPr>
        <w:pStyle w:val="ListParagraph"/>
        <w:numPr>
          <w:ilvl w:val="0"/>
          <w:numId w:val="1"/>
        </w:numPr>
        <w:spacing w:after="80"/>
      </w:pPr>
      <w:r>
        <w:rPr>
          <w:b w:val="false"/>
          <w:bCs w:val="false"/>
        </w:rPr>
        <w:t xml:space="preserve"/>
      </w:r>
      <w:r>
        <w:rPr>
          <w:b/>
          <w:bCs/>
        </w:rPr>
        <w:t xml:space="preserve">2. Problem Statement</w:t>
      </w:r>
      <w:r>
        <w:rPr>
          <w:b w:val="false"/>
          <w:bCs w:val="false"/>
        </w:rPr>
        <w:t xml:space="preserve"> — What real-world challenge are you addressing, and which SDG track does it fall under?</w:t>
      </w:r>
    </w:p>
    <w:p>
      <w:pPr>
        <w:pStyle w:val="ListParagraph"/>
        <w:numPr>
          <w:ilvl w:val="0"/>
          <w:numId w:val="1"/>
        </w:numPr>
        <w:spacing w:after="80"/>
      </w:pPr>
      <w:r>
        <w:rPr>
          <w:b w:val="false"/>
          <w:bCs w:val="false"/>
        </w:rPr>
        <w:t xml:space="preserve"/>
      </w:r>
      <w:r>
        <w:rPr>
          <w:b/>
          <w:bCs/>
        </w:rPr>
        <w:t xml:space="preserve">3. Proposed Solution</w:t>
      </w:r>
      <w:r>
        <w:rPr>
          <w:b w:val="false"/>
          <w:bCs w:val="false"/>
        </w:rPr>
        <w:t xml:space="preserve"> — What have you designed? Include a brief description of the technology stack, hardware, or methodology.</w:t>
      </w:r>
    </w:p>
    <w:p>
      <w:pPr>
        <w:pStyle w:val="ListParagraph"/>
        <w:numPr>
          <w:ilvl w:val="0"/>
          <w:numId w:val="1"/>
        </w:numPr>
        <w:spacing w:after="80"/>
      </w:pPr>
      <w:r>
        <w:rPr>
          <w:b w:val="false"/>
          <w:bCs w:val="false"/>
        </w:rPr>
        <w:t xml:space="preserve"/>
      </w:r>
      <w:r>
        <w:rPr>
          <w:b/>
          <w:bCs/>
        </w:rPr>
        <w:t xml:space="preserve">4. Impact &amp; Feasibility</w:t>
      </w:r>
      <w:r>
        <w:rPr>
          <w:b w:val="false"/>
          <w:bCs w:val="false"/>
        </w:rPr>
        <w:t xml:space="preserve"> — Who does it help, how scalable is it, and what makes it achievable?</w:t>
      </w:r>
    </w:p>
    <w:p>
      <w:pPr>
        <w:pStyle w:val="ListParagraph"/>
        <w:numPr>
          <w:ilvl w:val="0"/>
          <w:numId w:val="1"/>
        </w:numPr>
        <w:spacing w:after="80"/>
      </w:pPr>
      <w:r>
        <w:rPr>
          <w:b w:val="false"/>
          <w:bCs w:val="false"/>
        </w:rPr>
        <w:t xml:space="preserve"/>
      </w:r>
      <w:r>
        <w:rPr>
          <w:b/>
          <w:bCs/>
        </w:rPr>
        <w:t xml:space="preserve">5. Demo or Prototype Evidence (optional)</w:t>
      </w:r>
      <w:r>
        <w:rPr>
          <w:b w:val="false"/>
          <w:bCs w:val="false"/>
        </w:rPr>
        <w:t xml:space="preserve"> — A screenshot, video clip, diagram, or mockup showing current progress.</w:t>
      </w:r>
    </w:p>
    <w:p>
      <w:pPr>
        <w:pStyle w:val="Heading2"/>
        <w:spacing w:after="120" w:before="280"/>
      </w:pPr>
      <w:r>
        <w:rPr>
          <w:b/>
          <w:bCs/>
          <w:color w:val="5B2C6F"/>
        </w:rPr>
        <w:t xml:space="preserve">Evaluation Focus</w:t>
      </w:r>
    </w:p>
    <w:p>
      <w:pPr>
        <w:pStyle w:val="ListParagraph"/>
        <w:numPr>
          <w:ilvl w:val="0"/>
          <w:numId w:val="1"/>
        </w:numPr>
        <w:spacing w:after="80"/>
      </w:pPr>
      <w:r>
        <w:rPr>
          <w:b w:val="false"/>
          <w:bCs w:val="false"/>
        </w:rPr>
        <w:t xml:space="preserve">Creativity and originality of the proposed idea.</w:t>
      </w:r>
    </w:p>
    <w:p>
      <w:pPr>
        <w:pStyle w:val="ListParagraph"/>
        <w:numPr>
          <w:ilvl w:val="0"/>
          <w:numId w:val="1"/>
        </w:numPr>
        <w:spacing w:after="80"/>
      </w:pPr>
      <w:r>
        <w:rPr>
          <w:b w:val="false"/>
          <w:bCs w:val="false"/>
        </w:rPr>
        <w:t xml:space="preserve">Technical feasibility within an 8-hour build window.</w:t>
      </w:r>
    </w:p>
    <w:p>
      <w:pPr>
        <w:pStyle w:val="ListParagraph"/>
        <w:numPr>
          <w:ilvl w:val="0"/>
          <w:numId w:val="1"/>
        </w:numPr>
        <w:spacing w:after="80"/>
      </w:pPr>
      <w:r>
        <w:rPr>
          <w:b w:val="false"/>
          <w:bCs w:val="false"/>
        </w:rPr>
        <w:t xml:space="preserve">Real-world impact and clarity of SDG alignment.</w:t>
      </w:r>
    </w:p>
    <w:p>
      <w:pPr>
        <w:spacing w:after="160"/>
      </w:pPr>
      <w:r>
        <w:t xml:space="preserve">The top 20 teams are shortlisted and notified via email to advance to Round 2.</w:t>
      </w:r>
    </w:p>
    <w:p>
      <w:r>
        <w:br w:type="page"/>
      </w:r>
    </w:p>
    <w:p>
      <w:pPr>
        <w:pStyle w:val="Heading1"/>
        <w:pBdr>
          <w:bottom w:val="single" w:color="1B3B6F" w:sz="8" w:space="4"/>
        </w:pBdr>
        <w:spacing w:after="200" w:before="400"/>
      </w:pPr>
      <w:r>
        <w:t xml:space="preserve">Round 2 — On-Site Hackathon</w:t>
      </w:r>
    </w:p>
    <w:p>
      <w:pPr>
        <w:spacing w:after="160"/>
      </w:pPr>
      <w:r>
        <w:rPr>
          <w:b/>
          <w:bCs/>
        </w:rPr>
        <w:t xml:space="preserve">Date: Friday, 30 October 2026 | Duration: 8 hours | 8:00 AM – 5:00 PM | Venue: North South University</w:t>
      </w:r>
    </w:p>
    <w:p>
      <w:pPr>
        <w:spacing w:after="160"/>
      </w:pPr>
      <w:r>
        <w:t xml:space="preserve">Shortlisted teams compete in a full-day, in-person hackathon. A problem statement is released at 8:00 AM on event day. Teams must build, refine, and present a functional prototype within the 8-hour window.</w:t>
      </w:r>
    </w:p>
    <w:p>
      <w:pPr>
        <w:pStyle w:val="Heading2"/>
        <w:spacing w:after="120" w:before="280"/>
      </w:pPr>
      <w:r>
        <w:rPr>
          <w:b/>
          <w:bCs/>
          <w:color w:val="5B2C6F"/>
        </w:rPr>
        <w:t xml:space="preserve">Schedule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cantSplit/>
          <w:tblHeader/>
        </w:trPr>
        <w:tc>
          <w:tcPr>
            <w:tcW w:type="dxa" w:w="2400"/>
            <w:shd w:fill="1B3B6F" w:val="clear"/>
            <w:tcMar>
              <w:top w:type="dxa" w:w="80"/>
              <w:left w:type="dxa" w:w="100"/>
              <w:bottom w:type="dxa" w:w="80"/>
              <w:right w:type="dxa" w:w="100"/>
            </w:tcMar>
            <w:vAlign w:val="center"/>
          </w:tcPr>
          <w:p>
            <w:r>
              <w:rPr>
                <w:b/>
                <w:bCs/>
                <w:color w:val="FFFFFF"/>
              </w:rPr>
              <w:t xml:space="preserve">Time</w:t>
            </w:r>
          </w:p>
        </w:tc>
        <w:tc>
          <w:tcPr>
            <w:tcW w:type="dxa" w:w="6800"/>
            <w:shd w:fill="1B3B6F" w:val="clear"/>
            <w:tcMar>
              <w:top w:type="dxa" w:w="80"/>
              <w:left w:type="dxa" w:w="100"/>
              <w:bottom w:type="dxa" w:w="80"/>
              <w:right w:type="dxa" w:w="100"/>
            </w:tcMar>
            <w:vAlign w:val="center"/>
          </w:tcPr>
          <w:p>
            <w:r>
              <w:rPr>
                <w:b/>
                <w:bCs/>
                <w:color w:val="FFFFFF"/>
              </w:rPr>
              <w:t xml:space="preserve">Activity</w:t>
            </w:r>
          </w:p>
        </w:tc>
      </w:tr>
      <w:tr>
        <w:trPr>
          <w:cantSplit/>
        </w:trPr>
        <w:tc>
          <w:tcPr>
            <w:tcW w:type="dxa" w:w="2400"/>
            <w:tcMar>
              <w:top w:type="dxa" w:w="80"/>
              <w:left w:type="dxa" w:w="100"/>
              <w:bottom w:type="dxa" w:w="80"/>
              <w:right w:type="dxa" w:w="100"/>
            </w:tcMar>
            <w:vAlign w:val="center"/>
          </w:tcPr>
          <w:p>
            <w:r>
              <w:rPr>
                <w:b w:val="false"/>
                <w:bCs w:val="false"/>
                <w:color w:val="000000"/>
              </w:rPr>
              <w:t xml:space="preserve">08:00 AM</w:t>
            </w:r>
          </w:p>
        </w:tc>
        <w:tc>
          <w:tcPr>
            <w:tcW w:type="dxa" w:w="6800"/>
            <w:tcMar>
              <w:top w:type="dxa" w:w="80"/>
              <w:left w:type="dxa" w:w="100"/>
              <w:bottom w:type="dxa" w:w="80"/>
              <w:right w:type="dxa" w:w="100"/>
            </w:tcMar>
            <w:vAlign w:val="center"/>
          </w:tcPr>
          <w:p>
            <w:r>
              <w:rPr>
                <w:b w:val="false"/>
                <w:bCs w:val="false"/>
                <w:color w:val="000000"/>
              </w:rPr>
              <w:t xml:space="preserve">Problem statement released, hacking begins</w:t>
            </w:r>
          </w:p>
        </w:tc>
      </w:tr>
      <w:tr>
        <w:trPr>
          <w:cantSplit/>
        </w:trPr>
        <w:tc>
          <w:tcPr>
            <w:tcW w:type="dxa" w:w="2400"/>
            <w:tcMar>
              <w:top w:type="dxa" w:w="80"/>
              <w:left w:type="dxa" w:w="100"/>
              <w:bottom w:type="dxa" w:w="80"/>
              <w:right w:type="dxa" w:w="100"/>
            </w:tcMar>
            <w:vAlign w:val="center"/>
          </w:tcPr>
          <w:p>
            <w:r>
              <w:rPr>
                <w:b w:val="false"/>
                <w:bCs w:val="false"/>
                <w:color w:val="000000"/>
              </w:rPr>
              <w:t xml:space="preserve">10:30 AM</w:t>
            </w:r>
          </w:p>
        </w:tc>
        <w:tc>
          <w:tcPr>
            <w:tcW w:type="dxa" w:w="6800"/>
            <w:tcMar>
              <w:top w:type="dxa" w:w="80"/>
              <w:left w:type="dxa" w:w="100"/>
              <w:bottom w:type="dxa" w:w="80"/>
              <w:right w:type="dxa" w:w="100"/>
            </w:tcMar>
            <w:vAlign w:val="center"/>
          </w:tcPr>
          <w:p>
            <w:r>
              <w:rPr>
                <w:b w:val="false"/>
                <w:bCs w:val="false"/>
                <w:color w:val="000000"/>
              </w:rPr>
              <w:t xml:space="preserve">Mentor check-in round 1</w:t>
            </w:r>
          </w:p>
        </w:tc>
      </w:tr>
      <w:tr>
        <w:trPr>
          <w:cantSplit/>
        </w:trPr>
        <w:tc>
          <w:tcPr>
            <w:tcW w:type="dxa" w:w="2400"/>
            <w:tcMar>
              <w:top w:type="dxa" w:w="80"/>
              <w:left w:type="dxa" w:w="100"/>
              <w:bottom w:type="dxa" w:w="80"/>
              <w:right w:type="dxa" w:w="100"/>
            </w:tcMar>
            <w:vAlign w:val="center"/>
          </w:tcPr>
          <w:p>
            <w:r>
              <w:rPr>
                <w:b w:val="false"/>
                <w:bCs w:val="false"/>
                <w:color w:val="000000"/>
              </w:rPr>
              <w:t xml:space="preserve">01:00 PM</w:t>
            </w:r>
          </w:p>
        </w:tc>
        <w:tc>
          <w:tcPr>
            <w:tcW w:type="dxa" w:w="6800"/>
            <w:tcMar>
              <w:top w:type="dxa" w:w="80"/>
              <w:left w:type="dxa" w:w="100"/>
              <w:bottom w:type="dxa" w:w="80"/>
              <w:right w:type="dxa" w:w="100"/>
            </w:tcMar>
            <w:vAlign w:val="center"/>
          </w:tcPr>
          <w:p>
            <w:r>
              <w:rPr>
                <w:b w:val="false"/>
                <w:bCs w:val="false"/>
                <w:color w:val="000000"/>
              </w:rPr>
              <w:t xml:space="preserve">Lunch break (30 minutes)</w:t>
            </w:r>
          </w:p>
        </w:tc>
      </w:tr>
      <w:tr>
        <w:trPr>
          <w:cantSplit/>
        </w:trPr>
        <w:tc>
          <w:tcPr>
            <w:tcW w:type="dxa" w:w="2400"/>
            <w:tcMar>
              <w:top w:type="dxa" w:w="80"/>
              <w:left w:type="dxa" w:w="100"/>
              <w:bottom w:type="dxa" w:w="80"/>
              <w:right w:type="dxa" w:w="100"/>
            </w:tcMar>
            <w:vAlign w:val="center"/>
          </w:tcPr>
          <w:p>
            <w:r>
              <w:rPr>
                <w:b w:val="false"/>
                <w:bCs w:val="false"/>
                <w:color w:val="000000"/>
              </w:rPr>
              <w:t xml:space="preserve">02:00 PM</w:t>
            </w:r>
          </w:p>
        </w:tc>
        <w:tc>
          <w:tcPr>
            <w:tcW w:type="dxa" w:w="6800"/>
            <w:tcMar>
              <w:top w:type="dxa" w:w="80"/>
              <w:left w:type="dxa" w:w="100"/>
              <w:bottom w:type="dxa" w:w="80"/>
              <w:right w:type="dxa" w:w="100"/>
            </w:tcMar>
            <w:vAlign w:val="center"/>
          </w:tcPr>
          <w:p>
            <w:r>
              <w:rPr>
                <w:b w:val="false"/>
                <w:bCs w:val="false"/>
                <w:color w:val="000000"/>
              </w:rPr>
              <w:t xml:space="preserve">Mentor check-in round 2</w:t>
            </w:r>
          </w:p>
        </w:tc>
      </w:tr>
      <w:tr>
        <w:trPr>
          <w:cantSplit/>
        </w:trPr>
        <w:tc>
          <w:tcPr>
            <w:tcW w:type="dxa" w:w="2400"/>
            <w:tcMar>
              <w:top w:type="dxa" w:w="80"/>
              <w:left w:type="dxa" w:w="100"/>
              <w:bottom w:type="dxa" w:w="80"/>
              <w:right w:type="dxa" w:w="100"/>
            </w:tcMar>
            <w:vAlign w:val="center"/>
          </w:tcPr>
          <w:p>
            <w:r>
              <w:rPr>
                <w:b w:val="false"/>
                <w:bCs w:val="false"/>
                <w:color w:val="000000"/>
              </w:rPr>
              <w:t xml:space="preserve">04:00 PM</w:t>
            </w:r>
          </w:p>
        </w:tc>
        <w:tc>
          <w:tcPr>
            <w:tcW w:type="dxa" w:w="6800"/>
            <w:tcMar>
              <w:top w:type="dxa" w:w="80"/>
              <w:left w:type="dxa" w:w="100"/>
              <w:bottom w:type="dxa" w:w="80"/>
              <w:right w:type="dxa" w:w="100"/>
            </w:tcMar>
            <w:vAlign w:val="center"/>
          </w:tcPr>
          <w:p>
            <w:r>
              <w:rPr>
                <w:b w:val="false"/>
                <w:bCs w:val="false"/>
                <w:color w:val="000000"/>
              </w:rPr>
              <w:t xml:space="preserve">Submission deadline – code freeze</w:t>
            </w:r>
          </w:p>
        </w:tc>
      </w:tr>
      <w:tr>
        <w:trPr>
          <w:cantSplit/>
        </w:trPr>
        <w:tc>
          <w:tcPr>
            <w:tcW w:type="dxa" w:w="2400"/>
            <w:tcMar>
              <w:top w:type="dxa" w:w="80"/>
              <w:left w:type="dxa" w:w="100"/>
              <w:bottom w:type="dxa" w:w="80"/>
              <w:right w:type="dxa" w:w="100"/>
            </w:tcMar>
            <w:vAlign w:val="center"/>
          </w:tcPr>
          <w:p>
            <w:r>
              <w:rPr>
                <w:b w:val="false"/>
                <w:bCs w:val="false"/>
                <w:color w:val="000000"/>
              </w:rPr>
              <w:t xml:space="preserve">04:15 PM</w:t>
            </w:r>
          </w:p>
        </w:tc>
        <w:tc>
          <w:tcPr>
            <w:tcW w:type="dxa" w:w="6800"/>
            <w:tcMar>
              <w:top w:type="dxa" w:w="80"/>
              <w:left w:type="dxa" w:w="100"/>
              <w:bottom w:type="dxa" w:w="80"/>
              <w:right w:type="dxa" w:w="100"/>
            </w:tcMar>
            <w:vAlign w:val="center"/>
          </w:tcPr>
          <w:p>
            <w:r>
              <w:rPr>
                <w:b w:val="false"/>
                <w:bCs w:val="false"/>
                <w:color w:val="000000"/>
              </w:rPr>
              <w:t xml:space="preserve">Team presentations to judges</w:t>
            </w:r>
          </w:p>
        </w:tc>
      </w:tr>
      <w:tr>
        <w:trPr>
          <w:cantSplit/>
        </w:trPr>
        <w:tc>
          <w:tcPr>
            <w:tcW w:type="dxa" w:w="2400"/>
            <w:tcMar>
              <w:top w:type="dxa" w:w="80"/>
              <w:left w:type="dxa" w:w="100"/>
              <w:bottom w:type="dxa" w:w="80"/>
              <w:right w:type="dxa" w:w="100"/>
            </w:tcMar>
            <w:vAlign w:val="center"/>
          </w:tcPr>
          <w:p>
            <w:r>
              <w:rPr>
                <w:b w:val="false"/>
                <w:bCs w:val="false"/>
                <w:color w:val="000000"/>
              </w:rPr>
              <w:t xml:space="preserve">05:00 PM</w:t>
            </w:r>
          </w:p>
        </w:tc>
        <w:tc>
          <w:tcPr>
            <w:tcW w:type="dxa" w:w="6800"/>
            <w:tcMar>
              <w:top w:type="dxa" w:w="80"/>
              <w:left w:type="dxa" w:w="100"/>
              <w:bottom w:type="dxa" w:w="80"/>
              <w:right w:type="dxa" w:w="100"/>
            </w:tcMar>
            <w:vAlign w:val="center"/>
          </w:tcPr>
          <w:p>
            <w:r>
              <w:rPr>
                <w:b w:val="false"/>
                <w:bCs w:val="false"/>
                <w:color w:val="000000"/>
              </w:rPr>
              <w:t xml:space="preserve">Top 5 finalist teams announced — advancing to the Grand Finale</w:t>
            </w:r>
          </w:p>
        </w:tc>
      </w:tr>
    </w:tbl>
    <w:p>
      <w:pPr>
        <w:spacing w:after="160"/>
      </w:pPr>
      <w:r>
        <w:t xml:space="preserve"> </w:t>
      </w:r>
    </w:p>
    <w:p>
      <w:pPr>
        <w:spacing w:after="160"/>
      </w:pPr>
      <w:r>
        <w:t xml:space="preserve">Each team presents to the judging panel in a 3-minute demo + 2-minute Q&amp;A format. The top 5 finalist teams advance to the Grand Finale on Friday, 6 November 2026, where they deliver a 7-minute live presentation before final judging.</w:t>
      </w:r>
    </w:p>
    <w:p>
      <w:r>
        <w:br w:type="page"/>
      </w:r>
    </w:p>
    <w:p>
      <w:pPr>
        <w:pStyle w:val="Heading1"/>
        <w:pBdr>
          <w:bottom w:val="single" w:color="1B3B6F" w:sz="8" w:space="4"/>
        </w:pBdr>
        <w:spacing w:after="200" w:before="400"/>
      </w:pPr>
      <w:r>
        <w:t xml:space="preserve">Sample Problem Scenario</w:t>
      </w:r>
    </w:p>
    <w:p>
      <w:pPr>
        <w:spacing w:after="200" w:before="100"/>
      </w:pPr>
      <w:r>
        <w:rPr>
          <w:i/>
          <w:iCs/>
          <w:color w:val="595959"/>
          <w:sz w:val="20"/>
          <w:szCs w:val="20"/>
        </w:rPr>
        <w:t xml:space="preserve">This is a sample scenario for practice and preparation only. It illustrates the style, depth, and format of the real problem statement, which will be released at 8:00 AM on the day of Round 2 (30 October 2026). It is not the actual competition problem.</w:t>
      </w:r>
    </w:p>
    <w:p>
      <w:pPr>
        <w:pStyle w:val="Heading2"/>
        <w:spacing w:after="120" w:before="280"/>
      </w:pPr>
      <w:r>
        <w:rPr>
          <w:b/>
          <w:bCs/>
          <w:color w:val="5B2C6F"/>
        </w:rPr>
        <w:t xml:space="preserve">Scenario: AI-Powered Safe Commute &amp; Digital Safety Companion for Women</w:t>
      </w:r>
    </w:p>
    <w:p>
      <w:pPr>
        <w:spacing w:after="80" w:before="200"/>
      </w:pPr>
      <w:r>
        <w:rPr>
          <w:b/>
          <w:bCs/>
          <w:sz w:val="22"/>
          <w:szCs w:val="22"/>
        </w:rPr>
        <w:t xml:space="preserve">Background</w:t>
      </w:r>
    </w:p>
    <w:p>
      <w:pPr>
        <w:spacing w:after="160"/>
      </w:pPr>
      <w:r>
        <w:t xml:space="preserve">Women in Dhaka and other urban centers across Bangladesh face frequent harassment on public transport and city streets, yet most incidents go unreported due to fear, stigma, or a lack of accessible, trustworthy reporting channels. Existing safety apps are largely static, offer no real-time intelligence, and fail to account for time-of-day or location-based risk patterns. Women commuters need a tool that responds in the moment, not one that only records an incident after the fact.</w:t>
      </w:r>
    </w:p>
    <w:p>
      <w:pPr>
        <w:spacing w:after="80" w:before="200"/>
      </w:pPr>
      <w:r>
        <w:rPr>
          <w:b/>
          <w:bCs/>
          <w:sz w:val="22"/>
          <w:szCs w:val="22"/>
        </w:rPr>
        <w:t xml:space="preserve">The Challenge</w:t>
      </w:r>
    </w:p>
    <w:p>
      <w:pPr>
        <w:spacing w:after="160"/>
      </w:pPr>
      <w:r>
        <w:t xml:space="preserve">You are tasked with engineering a full-stack AI-Powered Safety Companion that helps women assess route risk in real time, trigger discreet alerts during distress, and contributes to a growing, privacy-safe map of unsafe zones for city planners and law enforcement.</w:t>
      </w:r>
    </w:p>
    <w:p>
      <w:pPr>
        <w:spacing w:after="80" w:before="200"/>
      </w:pPr>
      <w:r>
        <w:rPr>
          <w:b/>
          <w:bCs/>
          <w:sz w:val="22"/>
          <w:szCs w:val="22"/>
        </w:rPr>
        <w:t xml:space="preserve">Task 1 — Voice/Text Distress Intake &amp; Intent Classification</w:t>
      </w:r>
    </w:p>
    <w:p>
      <w:pPr>
        <w:spacing w:after="160"/>
      </w:pPr>
      <w:r>
        <w:t xml:space="preserve">A user should be able to trigger a distress signal via a discreet spoken phrase, text keyword, or panic gesture (simulated for the demo). Use a Speech-to-Text API (e.g., Whisper API, Google Cloud Speech-to-Text, AssemblyAI) to transcribe voice input, and build an NLP classifier to distinguish genuine emergencies from false triggers.</w:t>
      </w:r>
    </w:p>
    <w:p>
      <w:pPr>
        <w:spacing w:after="80" w:before="200"/>
      </w:pPr>
      <w:r>
        <w:rPr>
          <w:b/>
          <w:bCs/>
          <w:sz w:val="22"/>
          <w:szCs w:val="22"/>
        </w:rPr>
        <w:t xml:space="preserve">Task 2 — Real-Time Route Risk Mapping</w:t>
      </w:r>
    </w:p>
    <w:p>
      <w:pPr>
        <w:spacing w:after="160"/>
      </w:pPr>
      <w:r>
        <w:t xml:space="preserve">Build a risk-scoring layer over a map (using crowd-sourced or simulated incident data, time of day, and street-lighting proxies) that recommends the safest of several available route options between two points.</w:t>
      </w:r>
    </w:p>
    <w:p>
      <w:pPr>
        <w:spacing w:after="80" w:before="200"/>
      </w:pPr>
      <w:r>
        <w:rPr>
          <w:b/>
          <w:bCs/>
          <w:sz w:val="22"/>
          <w:szCs w:val="22"/>
        </w:rPr>
        <w:t xml:space="preserve">Task 3 — Multimodal Reasoning &amp; Response Engine</w:t>
      </w:r>
    </w:p>
    <w:p>
      <w:pPr>
        <w:spacing w:after="160"/>
      </w:pPr>
      <w:r>
        <w:t xml:space="preserve">Feed the distress signal, location, and risk data into an LLM-based reasoning module (e.g., Claude, OpenAI, Gemini) with contextual system prompts. The engine must:</w:t>
      </w:r>
    </w:p>
    <w:p>
      <w:pPr>
        <w:pStyle w:val="ListParagraph"/>
        <w:numPr>
          <w:ilvl w:val="0"/>
          <w:numId w:val="1"/>
        </w:numPr>
        <w:spacing w:after="80"/>
      </w:pPr>
      <w:r>
        <w:rPr>
          <w:b w:val="false"/>
          <w:bCs w:val="false"/>
        </w:rPr>
        <w:t xml:space="preserve">Recommend an immediate action plan: alert a trusted contact, surface nearby verified safe spaces, or escalate to authorities.</w:t>
      </w:r>
    </w:p>
    <w:p>
      <w:pPr>
        <w:pStyle w:val="ListParagraph"/>
        <w:numPr>
          <w:ilvl w:val="0"/>
          <w:numId w:val="1"/>
        </w:numPr>
        <w:spacing w:after="80"/>
      </w:pPr>
      <w:r>
        <w:rPr>
          <w:b w:val="false"/>
          <w:bCs w:val="false"/>
        </w:rPr>
        <w:t xml:space="preserve">Explain its recommendation in plain, conversational Bengali or English.</w:t>
      </w:r>
    </w:p>
    <w:p>
      <w:pPr>
        <w:pStyle w:val="ListParagraph"/>
        <w:numPr>
          <w:ilvl w:val="0"/>
          <w:numId w:val="1"/>
        </w:numPr>
        <w:spacing w:after="80"/>
      </w:pPr>
      <w:r>
        <w:rPr>
          <w:b w:val="false"/>
          <w:bCs w:val="false"/>
        </w:rPr>
        <w:t xml:space="preserve">Account for contextual factors such as time of day and proximity to the nearest safe zone.</w:t>
      </w:r>
    </w:p>
    <w:p>
      <w:pPr>
        <w:spacing w:after="80" w:before="200"/>
      </w:pPr>
      <w:r>
        <w:rPr>
          <w:b/>
          <w:bCs/>
          <w:sz w:val="22"/>
          <w:szCs w:val="22"/>
        </w:rPr>
        <w:t xml:space="preserve">Task 4 — Hotspot Anomaly Detection</w:t>
      </w:r>
    </w:p>
    <w:p>
      <w:pPr>
        <w:spacing w:after="160"/>
      </w:pPr>
      <w:r>
        <w:t xml:space="preserve">Apply an anomaly detection or clustering approach (e.g., Isolation Forest, DBSCAN, simple statistical clustering) on aggregated, anonymized incident data to flag emerging unsafe zones for city planners and law enforcement dashboards.</w:t>
      </w:r>
    </w:p>
    <w:p>
      <w:pPr>
        <w:spacing w:after="80" w:before="200"/>
      </w:pPr>
      <w:r>
        <w:rPr>
          <w:b/>
          <w:bCs/>
          <w:sz w:val="22"/>
          <w:szCs w:val="22"/>
        </w:rPr>
        <w:t xml:space="preserve">Task 5 — Bengali Audio Alert &amp; Shareable Incident Card</w:t>
      </w:r>
    </w:p>
    <w:p>
      <w:pPr>
        <w:spacing w:after="160"/>
      </w:pPr>
      <w:r>
        <w:t xml:space="preserve">Upon a triggered alert, the system should:</w:t>
      </w:r>
    </w:p>
    <w:p>
      <w:pPr>
        <w:pStyle w:val="ListParagraph"/>
        <w:numPr>
          <w:ilvl w:val="0"/>
          <w:numId w:val="1"/>
        </w:numPr>
        <w:spacing w:after="80"/>
      </w:pPr>
      <w:r>
        <w:rPr>
          <w:b w:val="false"/>
          <w:bCs w:val="false"/>
        </w:rPr>
        <w:t xml:space="preserve">Synthesize a short, clear spoken safety briefing using a Text-to-Speech API (e.g., ElevenLabs, Azure Neural TTS, Google Cloud TTS) in conversational Bengali.</w:t>
      </w:r>
    </w:p>
    <w:p>
      <w:pPr>
        <w:pStyle w:val="ListParagraph"/>
        <w:numPr>
          <w:ilvl w:val="0"/>
          <w:numId w:val="1"/>
        </w:numPr>
        <w:spacing w:after="80"/>
      </w:pPr>
      <w:r>
        <w:rPr>
          <w:b w:val="false"/>
          <w:bCs w:val="false"/>
        </w:rPr>
        <w:t xml:space="preserve">Generate a downloadable “Incident / Safety Card” summarizing the event, location, and timestamp, shareable via WhatsApp or SMS with a trusted contact or authority.</w:t>
      </w:r>
    </w:p>
    <w:p>
      <w:pPr>
        <w:spacing w:after="200" w:before="100"/>
      </w:pPr>
      <w:r>
        <w:rPr>
          <w:i/>
          <w:iCs/>
          <w:color w:val="595959"/>
          <w:sz w:val="20"/>
          <w:szCs w:val="20"/>
        </w:rPr>
        <w:t xml:space="preserve">As with real hackathon problem statements, teams are not expected to complete all 5 tasks within 8 hours. Judges expect a working demo covering 2–3 tasks, with the remaining tasks pitched as a clear roadmap.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Calibri" w:cs="Calibri" w:eastAsia="Calibri" w:hAnsi="Calibri"/>
      <w:b/>
      <w:bCs/>
      <w:color w:val="1B3B6F"/>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2026-09-20T08:21:04.865Z</dcterms:created>
  <dcterms:modified xsi:type="dcterms:W3CDTF">2026-09-20T08:21:04.865Z</dcterms:modified>
</cp:coreProperties>
</file>

<file path=docProps/custom.xml><?xml version="1.0" encoding="utf-8"?>
<Properties xmlns="http://schemas.openxmlformats.org/officeDocument/2006/custom-properties" xmlns:vt="http://schemas.openxmlformats.org/officeDocument/2006/docPropsVTypes"/>
</file>