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28"/>
          <w:szCs w:val="28"/>
        </w:rPr>
        <w:t xml:space="preserve">3. Software Definition</w:t>
      </w:r>
    </w:p>
    <w:p>
      <w:pPr>
        <w:pStyle w:val="Heading2"/>
        <w:spacing w:after="120" w:before="240"/>
      </w:pPr>
      <w:r>
        <w:rPr>
          <w:rFonts w:ascii="Arial" w:cs="Arial" w:eastAsia="Arial" w:hAnsi="Arial"/>
          <w:b/>
          <w:bCs/>
          <w:sz w:val="24"/>
          <w:szCs w:val="24"/>
        </w:rPr>
        <w:t xml:space="preserve">3.1. Requirements Analysis</w:t>
      </w:r>
    </w:p>
    <w:p>
      <w:pPr>
        <w:spacing w:after="120" w:before="120"/>
        <w:jc w:val="both"/>
      </w:pPr>
      <w:r>
        <w:rPr>
          <w:rFonts w:ascii="Times New Roman" w:cs="Times New Roman" w:eastAsia="Times New Roman" w:hAnsi="Times New Roman"/>
          <w:sz w:val="24"/>
          <w:szCs w:val="24"/>
        </w:rPr>
        <w:t xml:space="preserve">The requirements for FinSight were derived through an iterative process combining the initial user persona analysis (Section 2.4), review of comparable products (Section 2.3), and ongoing refinement throughout the Agile sprint cycle. Requirements are classified using the MoSCoW prioritisation framework and cross-referenced to the sprint in which they were implemented and verified. The final system realises all Must Have and Should Have requirements, with CSV and PDF export delivered as Could Have items, representing the Strong tier outcome target established at project inception.</w:t>
      </w:r>
    </w:p>
    <w:p>
      <w:pPr>
        <w:spacing w:after="120" w:before="120"/>
        <w:jc w:val="both"/>
      </w:pPr>
      <w:r>
        <w:rPr>
          <w:rFonts w:ascii="Times New Roman" w:cs="Times New Roman" w:eastAsia="Times New Roman" w:hAnsi="Times New Roman"/>
          <w:sz w:val="24"/>
          <w:szCs w:val="24"/>
        </w:rPr>
        <w:t xml:space="preserve">A key deviation from the original AT2 specification was the transition from a locally hosted Ollama language model to the Groq API (llama-3.1-8b-instant), documented in Architectural Decision Record ADR-002. This change was necessitated by the memory constraints of the Render free-tier deployment environment (512 MB RAM), which precluded running a locally hosted large language model in a production context. The architectural response — a four-tier hybrid privacy model with user-facing opt-out toggle — is argued to preserve the privacy-first thesis of the project while maintaining deployment viability within academic resource constraints.</w:t>
      </w:r>
    </w:p>
    <w:p>
      <w:pPr>
        <w:pStyle w:val="Heading2"/>
        <w:spacing w:after="120" w:before="240"/>
      </w:pPr>
      <w:r>
        <w:rPr>
          <w:rFonts w:ascii="Arial" w:cs="Arial" w:eastAsia="Arial" w:hAnsi="Arial"/>
          <w:b/>
          <w:bCs/>
          <w:sz w:val="24"/>
          <w:szCs w:val="24"/>
        </w:rPr>
        <w:t xml:space="preserve">3.1.1. Functional Requirements</w:t>
      </w:r>
    </w:p>
    <w:p>
      <w:pPr>
        <w:spacing w:after="120" w:before="120"/>
        <w:jc w:val="both"/>
      </w:pPr>
      <w:r>
        <w:rPr>
          <w:rFonts w:ascii="Times New Roman" w:cs="Times New Roman" w:eastAsia="Times New Roman" w:hAnsi="Times New Roman"/>
          <w:sz w:val="24"/>
          <w:szCs w:val="24"/>
        </w:rPr>
        <w:t xml:space="preserve">The following functional requirements define the observable behaviour of the FinSight system. Each requirement is stated in shall form consistent with IEEE 830 software requirements specification conventions [IEEE, 1998]. Requirements are traceable to implementation sprints documented in Section 4.2.</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1800"/>
        <w:gridCol w:w="12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Requirement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MoSCoW</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Sprint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User Registration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new users to register using a full name, email address, and password. Passwords shall be validated for minimum complexity (8+ characters, mixed case, numeric character) and stored as bcrypt hashes. Duplicate email addresses shall be rejected with a 409 Conflict response.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User Authentication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authenticate registered users via email and password, issuing a signed JSON Web Token (JWT) upon success. The token shall carry the user identifier and role claim, expire after a configurable interval, and be required for all protected endpoints via the Authorization: Bearer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Auth0 Social Login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support OAuth 2.0 social login via Auth0. Upon successful Auth0 callback, the backend shall create or retrieve a matching user record and issue its own JWT, maintaining a hybrid authentication model compatible with both social and local credentials.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Role-Based Access Control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enforce role-based access control distinguishing regular users from administrators. Admin users shall be redirected to a dedicated administration panel on login and shall not have access to the standard user dashboard. Regular users shall not be able to access admin-only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Transaction Management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authenticated users to create, read, update, and delete financial transactions. Each transaction record shall capture: title, amount (GBP), type (income or expense), category (from a predefined enumeration), date, and optional notes. Transactions shall be indexed by user identifier and date for efficient retrieval.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Expense Categorisation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categorise transactions into a predefined taxonomy including Food, Transport, Shopping, Rent, Subscriptions, Entertainment, Utilities, Health, Salary, and Other. Category metadata shall drive visual iconography and colour coding throughout the interface.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Budget Planner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users to define monthly spending limits per category. One budget document shall be permitted per user per category per calendar month. The system shall calculate actual expenditure against each limit in real time, surfacing percentage utilisation, remaining allowance, and an on-track or over-limit status indicator.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Savings Goals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users to create, monitor, and update savings goals comprising a goal name, target amount, saved amount, deadline, and optional monthly contribution target. The system shall calculate progress percentage and project whether the goal will be achieved by the deadline based on current contribution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3</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AI Financial Chatbot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provide a conversational interface powered by the Groq API (llama-3.1-8b-instant). The chatbot shall receive a system prompt containing a summary of the user's recent transactions and respond with personalised financial guidance. All exchanges shall be persisted to MongoDB and loaded on page refresh.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Persistent Chat History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persist chat messages to a dedicated MongoDB collection, associating each message with a user identifier, role (user or assistant), content, timestamp, and model identifier. The frontend shall retrieve and display the full conversation history on page load, enabling continuity across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4</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Chat Message Deletion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users to delete individual chat exchanges. Deleting a user message shall also delete its paired assistant response, identified by a shared timestamp. The deletion shall be reflected immediately in the user interface without requiring a page reload.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Explainable AI Predictions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generate monthly spending predictions using a Random Forest Regressor trained on the user's transaction history. SHAP (SHapley Additive exPlanations) values shall be computed to attribute the predicted expenditure to individual spending categories, providing a human-readable explanation of the prediction.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5</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Transaction Export — CSV</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users to export their transaction history as a UTF-8 BOM-encoded CSV file with Windows line endings, suitable for import into Microsoft Excel and equivalent spreadsheet applications. The export shall include date (DD/MM/YYYY), title, category, amount, and type columns.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Could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Transaction Export — PDF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generate a branded PDF financial statement using jsPDF, incorporating a FinSight header, summary cards for total income, expenditure, and net balance, a purple-themed transaction table with alternating row shading, and page numbers. The file shall be named with the ISO date of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Could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6</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GDPR Data Export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In accordance with Article 20 of the General Data Protection Regulation (right to data portability), the system shall provide authenticated users with a machine-readable JSON export of all personal data held, including profile information, transactions, budgets, savings goals, and a redacted audit log. The export event shall itself be logged.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Admin 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provide administrators with a platform-wide analytics dashboard displaying aggregate metrics across all registered users, including total user count, transaction volume, and category distribution. Charts shall include a donut chart for spending by category and a bar chart for monthly transaction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7</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Admin User Management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allow administrators to view individual user profiles, suspend accounts (setting an is_banned flag that blocks subsequent logins), and inspect user transaction summaries. Suspended users shall receive a 403 Forbidden response on login with an informative error message.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7</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Theme Customisation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support five colour palette themes (Violet, Blue, Gold, Teal, Rose) and two display modes (Dark, Light). User preferences shall be persisted in localStorage and applied consistently across all pages without requiring a page reload.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7</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SUS Usability Review</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include an in-application usability review mechanism accessible from the Settings page. The review flow shall present the ten standard System Usability Scale questions sequentially, with auto-advance on response selection, collect an optional tester name and free-text comment, compute the SUS score client-side, and transmit the complete result set to the developer via Telegram Bot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Audit Logging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maintain an append-only audit log in MongoDB recording security-relevant events including user registration, login, logout, Auth0 authentication, GDPR data export, and guardrail blocks. Each log entry shall capture event type, user identifier, timestamp, and relevant 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Sprint 1</w:t>
            </w:r>
          </w:p>
        </w:tc>
      </w:tr>
    </w:tbl>
    <w:p>
      <w:pPr>
        <w:spacing w:after="100" w:before="200"/>
      </w:pPr>
      <w:r>
        <w:rPr>
          <w:rFonts w:ascii="Times New Roman" w:cs="Times New Roman" w:eastAsia="Times New Roman" w:hAnsi="Times New Roman"/>
          <w:i/>
          <w:iCs/>
          <w:sz w:val="20"/>
          <w:szCs w:val="20"/>
        </w:rPr>
        <w:t xml:space="preserve">Table 1 — Functional Requirements</w:t>
      </w:r>
    </w:p>
    <w:p>
      <w:pPr>
        <w:spacing w:after="160" w:before="160"/>
      </w:pPr>
    </w:p>
    <w:p>
      <w:pPr>
        <w:pStyle w:val="Heading2"/>
        <w:spacing w:after="120" w:before="240"/>
      </w:pPr>
      <w:r>
        <w:rPr>
          <w:rFonts w:ascii="Arial" w:cs="Arial" w:eastAsia="Arial" w:hAnsi="Arial"/>
          <w:b/>
          <w:bCs/>
          <w:sz w:val="24"/>
          <w:szCs w:val="24"/>
        </w:rPr>
        <w:t xml:space="preserve">3.1.2. MoSCoW Prioritisation Summary</w:t>
      </w:r>
    </w:p>
    <w:p>
      <w:pPr>
        <w:spacing w:after="120" w:before="120"/>
        <w:jc w:val="both"/>
      </w:pPr>
      <w:r>
        <w:rPr>
          <w:rFonts w:ascii="Times New Roman" w:cs="Times New Roman" w:eastAsia="Times New Roman" w:hAnsi="Times New Roman"/>
          <w:sz w:val="24"/>
          <w:szCs w:val="24"/>
        </w:rPr>
        <w:t xml:space="preserve">The MoSCoW method [Clegg and Barker, 1994] was applied to prioritise requirements against the project timeline and available resources. Table 2 summarises the distribution of requirements across priority categories and their delivery status at the time of AT3 submission.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Count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Requirements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Must Have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FR01–FR05, FR07–FR09, FR15, FR20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All delivered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Should Have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FR03, FR04, FR11, FR16–FR19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All delivered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Could Have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FR13, FR14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Both delivered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Won't Have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Open banking, live bank sync, third-party AI transmission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Excluded by design</w:t>
            </w:r>
          </w:p>
        </w:tc>
      </w:tr>
    </w:tbl>
    <w:p>
      <w:pPr>
        <w:spacing w:after="100" w:before="200"/>
      </w:pPr>
      <w:r>
        <w:rPr>
          <w:rFonts w:ascii="Times New Roman" w:cs="Times New Roman" w:eastAsia="Times New Roman" w:hAnsi="Times New Roman"/>
          <w:i/>
          <w:iCs/>
          <w:sz w:val="20"/>
          <w:szCs w:val="20"/>
        </w:rPr>
        <w:t xml:space="preserve">Table 2 — MoSCoW Prioritisation Summary</w:t>
      </w:r>
    </w:p>
    <w:p>
      <w:pPr>
        <w:spacing w:after="160" w:before="160"/>
      </w:pPr>
    </w:p>
    <w:p>
      <w:pPr>
        <w:pStyle w:val="Heading2"/>
        <w:spacing w:after="120" w:before="240"/>
      </w:pPr>
      <w:r>
        <w:rPr>
          <w:rFonts w:ascii="Arial" w:cs="Arial" w:eastAsia="Arial" w:hAnsi="Arial"/>
          <w:b/>
          <w:bCs/>
          <w:sz w:val="24"/>
          <w:szCs w:val="24"/>
        </w:rPr>
        <w:t xml:space="preserve">3.1.3. Non-Functional Requirements</w:t>
      </w:r>
    </w:p>
    <w:p>
      <w:pPr>
        <w:spacing w:after="120" w:before="120"/>
        <w:jc w:val="both"/>
      </w:pPr>
      <w:r>
        <w:rPr>
          <w:rFonts w:ascii="Times New Roman" w:cs="Times New Roman" w:eastAsia="Times New Roman" w:hAnsi="Times New Roman"/>
          <w:sz w:val="24"/>
          <w:szCs w:val="24"/>
        </w:rPr>
        <w:t xml:space="preserve">Non-functional requirements define the quality attributes and operational constraints of the FinSight system. These requirements are not directly observable as features but govern the security posture, performance envelope, privacy architecture, and maintainability of the implementation. Each requirement is accompanied by a measurable acceptance criterion and a justification grounded in industry standards or academic literature.</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60"/>
        <w:gridCol w:w="1800"/>
        <w:gridCol w:w="18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Category</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Metric / Target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Security — Authentication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All protected API endpoints shall require a valid JWT in the Authorization: Bearer header. Tokens shall be signed using HS256 with a secret key of minimum 32 characters, stored as an environment variable and never committed to version control.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100% of protected endpoints require valid JWT; 401 returned otherwise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JWT is the industry standard for stateless API authentication in RESTful systems [RFC 7519]. Environment-based secrets align with OWASP Secrets Management best practice.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Security — Password Storage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User passwords shall be hashed using bcrypt with a minimum work factor of 12. Plaintext passwords shall never be logged, returned in API responses, or stored at any point in the data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bcrypt work factor &gt;= 12; zero plaintext password occurrences in logs or responses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bcrypt is the recommended algorithm for password hashing due to its adaptive cost function [OWASP Authentication Cheat Sheet, 2024]. A work factor of 12 provides approximately 250ms hash time, balancing security and usability.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Security — Transport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All communication between the React frontend and Flask backend shall occur exclusively over HTTPS. The backend shall enforce CORS restrictions, permitting requests only from the registered Vercel deployment origin and localhost development addresses.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Zero HTTP (non-TLS) requests accepted in production; CORS restricted to three permitted origins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HTTPS prevents man-in-the-middle interception of financial data. Strict CORS policy mitigates cross-site request forgery and data exfiltration risks [OWASP CORS, 2024].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Privacy — Data Minimisation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not transmit raw user financial data to third-party cloud AI services beyond the Groq API, which is used solely for chatbot responses. Transaction data sent to Groq shall be limited to a rolling window of fifty recent transactions and shall not include user identifiers.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No raw PII transmitted to services other than Groq; Groq payloads capped at 50 transactions with no user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GDPR Article 5(1)(c) requires data minimisation. Limiting LLM context to anonymised transaction summaries reduces exposure risk, aligning with the four-tier hybrid privacy model documented in ADR-002.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Privacy — GDPR Compliance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implement GDPR Article 20 (right to data portability) via a machine-readable JSON export endpoint, and Article 17 (right to erasure) via an authenticated account deletion endpoint. Both actions shall be logged in the audit trail.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GDPR Article 17 and Article 20 endpoints implemented and tested; audit events generated for each invocation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GDPR compliance is a legal requirement for systems processing personal data of UK and EU residents. Demonstrable compliance strengthens user trust and is a key differentiator from commercial alternatives [ICO, 2023].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Performance — Response Time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Standard API endpoints (authentication, transaction retrieval, budget calculation) shall return responses within two seconds under normal load conditions. The explainable AI prediction endpoint, which involves model training, may require up to ten seconds and shall display a loading indicator to the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p95 response time &lt;= 2s for CRUD endpoints; prediction endpoint &lt;= 10s with UI feedback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Interactive web applications require sub-2-second response times to maintain user engagement [Nielsen, 1993]. The prediction endpoint exception is disclosed to users via progressive loading feedback.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Usability — SUS Target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achieve a System Usability Scale score of 68 or above, representing the industry average benchmark, as measured through structured user testing with a minimum of five participants using the in-application SUS questionnaire.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SUS score &gt;= 68 across minimum five testers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 SUS score of 68 represents the 50th percentile of usability benchmarks [Bangor et al., 2009]. Targeting this threshold ensures the system meets professional usability standards appropriate for a financial application used by non-technical users.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Scalability — Database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MongoDB collections for users, transactions, budgets, goals, and chat messages shall include compound indexes on (user_id, date) and (user_id, month, year) to support efficient per-user queries as data volume grows. The application layer shall be stateless to support horizontal scaling.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Query execution time &lt; 100ms for indexed collections at 10,000 documents per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Compound indexes reduce full collection scans to O(log n) lookups. Stateless application architecture enables deployment across multiple instances without session affinity, supporting future scalability beyond the current single-instance Render deployment.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NFR09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Reliability — Availability</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system shall implement a keep-alive mechanism to prevent Render free-tier cold starts during active usage periods. The frontend shall handle backend unavailability gracefully, displaying user-friendly error states rather than unhandled exceptions.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Zero unhandled runtime exceptions surfaced to end users; keep-alive active during evaluation period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Render free-tier services spin down after fifteen minutes of inactivity, introducing 50-90 second cold start delays. A keep-alive ping mitigates this during demonstration and user testing periods.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NFR10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Maintainability — Architecture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The backend shall follow a layered architecture separating route handlers (api/), business logic (services/), data models (models/), and infrastructure concerns (core/, db/). The frontend shall use a consistent hook-based pattern (useIsDesktop, useToast) for cross-cutting concerns, avoiding inline responsive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Zero business logic in route handlers; zero Tailwind responsive classes in JSX; all responsive behaviour via useIsDesktop hook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Separation of concerns reduces coupling and improves testability. Consistent frontend patterns reduce cognitive load for future maintainers and align with React community conventions [React Documentation, 2024].</w:t>
            </w:r>
          </w:p>
        </w:tc>
      </w:tr>
    </w:tbl>
    <w:p>
      <w:pPr>
        <w:spacing w:after="100" w:before="200"/>
      </w:pPr>
      <w:r>
        <w:rPr>
          <w:rFonts w:ascii="Times New Roman" w:cs="Times New Roman" w:eastAsia="Times New Roman" w:hAnsi="Times New Roman"/>
          <w:i/>
          <w:iCs/>
          <w:sz w:val="20"/>
          <w:szCs w:val="20"/>
        </w:rPr>
        <w:t xml:space="preserve">Table 3 — Non-Functional Requirements</w:t>
      </w:r>
    </w:p>
    <w:p>
      <w:pPr>
        <w:spacing w:after="160" w:before="160"/>
      </w:pPr>
    </w:p>
    <w:p>
      <w:pPr>
        <w:pStyle w:val="Heading2"/>
        <w:spacing w:after="120" w:before="240"/>
      </w:pPr>
      <w:r>
        <w:rPr>
          <w:rFonts w:ascii="Arial" w:cs="Arial" w:eastAsia="Arial" w:hAnsi="Arial"/>
          <w:b/>
          <w:bCs/>
          <w:sz w:val="24"/>
          <w:szCs w:val="24"/>
        </w:rPr>
        <w:t xml:space="preserve">3.1.4. Requirements Traceability and Justification</w:t>
      </w:r>
    </w:p>
    <w:p>
      <w:pPr>
        <w:spacing w:after="120" w:before="120"/>
        <w:jc w:val="both"/>
      </w:pPr>
      <w:r>
        <w:rPr>
          <w:rFonts w:ascii="Times New Roman" w:cs="Times New Roman" w:eastAsia="Times New Roman" w:hAnsi="Times New Roman"/>
          <w:sz w:val="24"/>
          <w:szCs w:val="24"/>
        </w:rPr>
        <w:t xml:space="preserve">The functional and non-functional requirements outlined above reflect the evolved scope of the project relative to the AT2 specification. Several additions and refinements merit explicit justification.</w:t>
      </w:r>
    </w:p>
    <w:p>
      <w:pPr>
        <w:spacing w:after="120" w:before="120"/>
        <w:jc w:val="both"/>
      </w:pPr>
      <w:r>
        <w:rPr>
          <w:rFonts w:ascii="Times New Roman" w:cs="Times New Roman" w:eastAsia="Times New Roman" w:hAnsi="Times New Roman"/>
          <w:sz w:val="24"/>
          <w:szCs w:val="24"/>
        </w:rPr>
        <w:t xml:space="preserve">FR19 (SUS Usability Review) was introduced to address the academic requirement for structured user testing within the application itself. Rather than distributing an external survey tool, embedding the System Usability Scale questionnaire directly within FinSight demonstrates integration capability and produces richer contextual data, as testers evaluate the system immediately after use. The Telegram Bot delivery mechanism enables real-time collection without requiring a server-side database endpoint for survey responses, reducing infrastructure complexity.</w:t>
      </w:r>
    </w:p>
    <w:p>
      <w:pPr>
        <w:spacing w:after="120" w:before="120"/>
        <w:jc w:val="both"/>
      </w:pPr>
      <w:r>
        <w:rPr>
          <w:rFonts w:ascii="Times New Roman" w:cs="Times New Roman" w:eastAsia="Times New Roman" w:hAnsi="Times New Roman"/>
          <w:sz w:val="24"/>
          <w:szCs w:val="24"/>
        </w:rPr>
        <w:t xml:space="preserve">FR15 (GDPR Data Export) was elevated to Must Have status relative to the AT2 specification, where data export appeared only as a Could Have item. This decision reflects the growing regulatory expectation that consumer-facing financial applications implement Article 20 compliance as a baseline rather than an enhancement. The implementation produces a structured JSON document covering all six MongoDB collections associated with a user account, including a redacted audit log that demonstrates the system's accountability posture.</w:t>
      </w:r>
    </w:p>
    <w:p>
      <w:pPr>
        <w:spacing w:after="120" w:before="120"/>
        <w:jc w:val="both"/>
      </w:pPr>
      <w:r>
        <w:rPr>
          <w:rFonts w:ascii="Times New Roman" w:cs="Times New Roman" w:eastAsia="Times New Roman" w:hAnsi="Times New Roman"/>
          <w:sz w:val="24"/>
          <w:szCs w:val="24"/>
        </w:rPr>
        <w:t xml:space="preserve">NFR04 (Privacy — Data Minimisation) addresses the central tension introduced by the ADR-002 deviation. Whilst the original specification envisaged fully local AI processing, the Groq-based implementation maintains privacy-first principles through strict payload minimisation: only a rolling window of fifty anonymised transactions is transmitted, user identifiers are excluded from the LLM context, and a user-facing toggle allows the chatbot to be disabled entirely. This four-tier model is documented in ADR-002 and represents a transferable architectural pattern for privacy-preserving AI integration in resource-constrained deployments.</w:t>
      </w:r>
    </w:p>
    <w:p>
      <w:pPr>
        <w:spacing w:after="120" w:before="120"/>
        <w:jc w:val="both"/>
      </w:pPr>
      <w:r>
        <w:rPr>
          <w:rFonts w:ascii="Times New Roman" w:cs="Times New Roman" w:eastAsia="Times New Roman" w:hAnsi="Times New Roman"/>
          <w:sz w:val="24"/>
          <w:szCs w:val="24"/>
        </w:rPr>
        <w:t xml:space="preserve">The measurable acceptance criteria specified in NFR07 (SUS &gt;= 68) provide an objective evaluation benchmark aligned with Bangor et al.'s [2009] normative data for usability studies. Results from the user testing phase are presented in Section 5 (Evaluation).</w:t>
      </w:r>
    </w:p>
    <w:p>
      <w:pPr>
        <w:spacing w:after="160" w:before="160"/>
      </w:pPr>
    </w:p>
    <w:p>
      <w:pPr>
        <w:spacing w:after="120" w:before="120"/>
        <w:jc w:val="both"/>
      </w:pPr>
      <w:r>
        <w:rPr>
          <w:rFonts w:ascii="Times New Roman" w:cs="Times New Roman" w:eastAsia="Times New Roman" w:hAnsi="Times New Roman"/>
          <w:sz w:val="24"/>
          <w:szCs w:val="24"/>
        </w:rPr>
        <w:t xml:space="preserve">References for this section are consolidated in the project reference list. Key sources include: IEEE Std 830-1998 for requirements specification conventions; OWASP Application Security Verification Standard 4.0 [OWASP, 2021] for security non-functional requirements; ICO Guide to the UK GDPR [ICO, 2023] for privacy requirements; and Bangor, Kortum and Miller [2009] 'Determining What Individual SUS Scores Mean: Adding an Adjective Rating Scale' for the SUS benchmark.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2026-06-14T14:25:41.644Z</dcterms:created>
  <dcterms:modified xsi:type="dcterms:W3CDTF">2026-06-14T14:25:41.645Z</dcterms:modified>
</cp:coreProperties>
</file>

<file path=docProps/custom.xml><?xml version="1.0" encoding="utf-8"?>
<Properties xmlns="http://schemas.openxmlformats.org/officeDocument/2006/custom-properties" xmlns:vt="http://schemas.openxmlformats.org/officeDocument/2006/docPropsVTypes"/>
</file>