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ind w:right="95"/>
        <w:jc w:val="center"/>
      </w:pPr>
      <w:r>
        <w:rPr>
          <w:rFonts w:ascii="Palatino Linotype" w:cs="Palatino Linotype" w:eastAsia="Palatino Linotype" w:hAnsi="Palatino Linotype"/>
          <w:b/>
          <w:bCs/>
          <w:sz w:val="32"/>
          <w:szCs w:val="32"/>
        </w:rPr>
        <w:t xml:space="preserve">Securing LLM-Powered Intelligent Systems: A Deployable Middleware Architecture for Prompt Injection Defence and Data Privacy</w:t>
      </w:r>
    </w:p>
    <w:p>
      <w:pPr>
        <w:spacing w:after="60" w:before="0"/>
        <w:jc w:val="center"/>
      </w:pPr>
      <w:r>
        <w:rPr>
          <w:rFonts w:ascii="Times New Roman" w:cs="Times New Roman" w:eastAsia="Times New Roman" w:hAnsi="Times New Roman"/>
          <w:b/>
          <w:bCs/>
          <w:sz w:val="20"/>
          <w:szCs w:val="20"/>
        </w:rPr>
        <w:t xml:space="preserve">Farhan Bin Hossain</w:t>
      </w:r>
      <w:r>
        <w:rPr>
          <w:rFonts w:ascii="Times New Roman" w:cs="Times New Roman" w:eastAsia="Times New Roman" w:hAnsi="Times New Roman"/>
          <w:b/>
          <w:bCs/>
          <w:sz w:val="20"/>
          <w:szCs w:val="20"/>
        </w:rPr>
        <w:t xml:space="preserve"> *</w:t>
      </w:r>
    </w:p>
    <w:p>
      <w:pPr>
        <w:spacing w:after="120" w:before="0"/>
      </w:pPr>
      <w:r>
        <w:rPr>
          <w:rFonts w:ascii="Times New Roman" w:cs="Times New Roman" w:eastAsia="Times New Roman" w:hAnsi="Times New Roman"/>
          <w:sz w:val="17"/>
          <w:szCs w:val="17"/>
        </w:rPr>
        <w:t xml:space="preserve">1	Ulster University London, School of Computing, Engineering and Intelligent Systems; f.hossain@ulster.ac.uk</w:t>
      </w:r>
    </w:p>
    <w:p>
      <w:pPr>
        <w:spacing w:after="60" w:before="0"/>
        <w:ind w:right="95"/>
      </w:pPr>
      <w:r>
        <w:rPr>
          <w:rFonts w:ascii="Palatino Linotype" w:cs="Palatino Linotype" w:eastAsia="Palatino Linotype" w:hAnsi="Palatino Linotype"/>
          <w:b/>
          <w:bCs/>
          <w:sz w:val="20"/>
          <w:szCs w:val="20"/>
        </w:rPr>
        <w:t xml:space="preserve">Abstract</w:t>
      </w: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LLM-integrated intelligent systems face two under-addressed risks: sensitive operational data transmitted to third-party APIs may be exposed or logged, and adversarial prompt injection attacks can hijack LLM behaviour. Existing tools — LLM Guard and Microsoft Presidio — address each risk in isolation. This paper presents an eight-layer middleware pipeline combining PII redaction, provenance tracking, risk scoring, canary token leakage detection, and declarative action control. Evaluated against 107 static cases and 270 adaptive mutation variants, the system achieves 100% detection of direct override attacks at 5.8 ms mean latency — 51× faster than LLM Guard — with ROUGE-1 semantic preservation of 0.986.</w:t>
      </w:r>
    </w:p>
    <w:p>
      <w:pPr>
        <w:spacing w:after="120" w:before="60"/>
        <w:ind w:right="95"/>
      </w:pPr>
      <w:r>
        <w:rPr>
          <w:rFonts w:ascii="Palatino Linotype" w:cs="Palatino Linotype" w:eastAsia="Palatino Linotype" w:hAnsi="Palatino Linotype"/>
          <w:b/>
          <w:bCs/>
          <w:sz w:val="19"/>
          <w:szCs w:val="19"/>
        </w:rPr>
        <w:t xml:space="preserve">Keywords: </w:t>
      </w:r>
      <w:r>
        <w:rPr>
          <w:rFonts w:ascii="Palatino Linotype" w:cs="Palatino Linotype" w:eastAsia="Palatino Linotype" w:hAnsi="Palatino Linotype"/>
          <w:sz w:val="17"/>
          <w:szCs w:val="17"/>
        </w:rPr>
        <w:t xml:space="preserve">prompt injection; data privacy; middleware; intelligent systems; Industry 4.0; trustworthy AI</w:t>
      </w:r>
    </w:p>
    <w:p>
      <w:pPr>
        <w:spacing w:after="100" w:before="200"/>
        <w:ind w:left="284" w:right="95"/>
      </w:pPr>
      <w:r>
        <w:rPr>
          <w:rFonts w:ascii="Palatino Linotype" w:cs="Palatino Linotype" w:eastAsia="Palatino Linotype" w:hAnsi="Palatino Linotype"/>
          <w:b/>
          <w:bCs/>
          <w:sz w:val="24"/>
          <w:szCs w:val="24"/>
        </w:rPr>
        <w:t xml:space="preserve">1. Introduction</w:t>
      </w: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Intelligent systems in manufacturing and operational domains increasingly rely on LLM-based components for decision support and natural language interaction [5]. Integrating external LLM APIs creates a trust boundary through which sensitive operational data — process parameters, personnel records, proprietary configurations — is transmitted to third-party infrastructure. Concurrently, prompt injection attacks [6] can embed adversarial instructions within legitimate inputs, bypassing safety constraints. Existing tools address one risk only: Presidio [8] detects PII but provides no injection defence; LLM Guard [7] classifies injections but at 300+ ms latency, unsuitable for real-time pipelines. No published work evaluates a combined, deployable solution. This paper addresses that gap with an eight-layer middleware achieving both goals at 5.8 ms latency.</w:t>
      </w:r>
    </w:p>
    <w:p>
      <w:pPr>
        <w:spacing w:after="100" w:before="200"/>
        <w:ind w:left="284" w:right="95"/>
      </w:pPr>
      <w:r>
        <w:rPr>
          <w:rFonts w:ascii="Palatino Linotype" w:cs="Palatino Linotype" w:eastAsia="Palatino Linotype" w:hAnsi="Palatino Linotype"/>
          <w:b/>
          <w:bCs/>
          <w:sz w:val="24"/>
          <w:szCs w:val="24"/>
        </w:rPr>
        <w:t xml:space="preserve">2. Aim &amp; Objectives</w:t>
      </w: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Aim: To design and empirically evaluate a deployable middleware pipeline protecting LLM-integrated intelligent systems from prompt injection and data leakage, without modifying the underlying LLM or host application.</w:t>
      </w: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Objectives: (1) design a unified eight-layer architecture; (2) implement five novel components — provenance tracker, risk scorer, canary tokens, action allowlist, adaptive red-team evaluator; (3) evaluate on a 107-case static corpus and 270 adaptive mutation variants; (4) benchmark latency and semantic preservation against LLM Guard and Presidio.</w:t>
      </w:r>
    </w:p>
    <w:p>
      <w:pPr>
        <w:spacing w:after="100" w:before="200"/>
        <w:ind w:left="284" w:right="95"/>
      </w:pPr>
      <w:r>
        <w:rPr>
          <w:rFonts w:ascii="Palatino Linotype" w:cs="Palatino Linotype" w:eastAsia="Palatino Linotype" w:hAnsi="Palatino Linotype"/>
          <w:b/>
          <w:bCs/>
          <w:sz w:val="24"/>
          <w:szCs w:val="24"/>
        </w:rPr>
        <w:t xml:space="preserve">3. Methodology</w:t>
      </w: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The pipeline was implemented in Python 3.11 as a provider-agnostic layer requiring no host application changes. Eight layers operate sequentially per request-response cycle: (L0a) a provenance tracker labels prompt segments by origin — system, user, or imported data — enabling indirect injection detection [6]; (L0b) a risk scorer computes a composite threat score across five dimensions; (L1) an input sanitiser applies pattern-matched injection rules; (L3) PII tokens are replaced with typed pseudonyms (e.g. [PERSON_1]) before API transmission and restored in responses via a re-mapping registry; (L3b) cryptographic canary tokens detect context leakage [12]; (L4a) an output validator scans responses for residual PII; (L4b) a declarative action allowlist enforces that the LLM proposes but middleware decides, across three risk tiers [10].</w:t>
      </w: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A static corpus of 107 cases across eight injection vectors was built from the deepset/prompt-injections dataset [11] plus domain-specific cases. An adaptive red-team evaluator generated 270 mutation variants via five strategies: character substitution, fragmentation, language switching, role-play wrapping, and semantic paraphrase. Semantic preservation was measured via ROUGE [9] and BERTScore.</w:t>
      </w:r>
    </w:p>
    <w:p>
      <w:pPr>
        <w:spacing w:after="100" w:before="200"/>
        <w:ind w:left="284" w:right="95"/>
      </w:pPr>
      <w:r>
        <w:rPr>
          <w:rFonts w:ascii="Palatino Linotype" w:cs="Palatino Linotype" w:eastAsia="Palatino Linotype" w:hAnsi="Palatino Linotype"/>
          <w:b/>
          <w:bCs/>
          <w:sz w:val="24"/>
          <w:szCs w:val="24"/>
        </w:rPr>
        <w:t xml:space="preserve">4. Results</w:t>
      </w:r>
    </w:p>
    <w:p>
      <w:pPr>
        <w:spacing w:after="60" w:before="100"/>
        <w:ind w:right="95"/>
        <w:jc w:val="left"/>
      </w:pPr>
      <w:r>
        <w:rPr>
          <w:rFonts w:ascii="Palatino Linotype" w:cs="Palatino Linotype" w:eastAsia="Palatino Linotype" w:hAnsi="Palatino Linotype"/>
          <w:b/>
          <w:bCs/>
          <w:sz w:val="18"/>
          <w:szCs w:val="18"/>
        </w:rPr>
        <w:t xml:space="preserve">Table 1. Static corpus detection performance (107 cases).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tblGrid>
      <w:tr>
        <w:tc>
          <w:tcPr>
            <w:tcW w:type="dxa" w:w="2800"/>
            <w:tcBorders>
              <w:top w:val="single" w:color="666666" w:sz="4"/>
              <w:left w:val="single" w:color="666666" w:sz="4"/>
              <w:bottom w:val="single" w:color="666666" w:sz="4"/>
              <w:right w:val="single" w:color="666666" w:sz="4"/>
            </w:tcBorders>
            <w:shd w:fill="D0D8E8"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bCs/>
                <w:sz w:val="16"/>
                <w:szCs w:val="16"/>
              </w:rPr>
              <w:t xml:space="preserve">System</w:t>
            </w:r>
          </w:p>
        </w:tc>
        <w:tc>
          <w:tcPr>
            <w:tcW w:type="dxa" w:w="1600"/>
            <w:tcBorders>
              <w:top w:val="single" w:color="666666" w:sz="4"/>
              <w:left w:val="single" w:color="666666" w:sz="4"/>
              <w:bottom w:val="single" w:color="666666" w:sz="4"/>
              <w:right w:val="single" w:color="666666" w:sz="4"/>
            </w:tcBorders>
            <w:shd w:fill="D0D8E8"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Block Rate</w:t>
            </w:r>
          </w:p>
        </w:tc>
        <w:tc>
          <w:tcPr>
            <w:tcW w:type="dxa" w:w="1600"/>
            <w:tcBorders>
              <w:top w:val="single" w:color="666666" w:sz="4"/>
              <w:left w:val="single" w:color="666666" w:sz="4"/>
              <w:bottom w:val="single" w:color="666666" w:sz="4"/>
              <w:right w:val="single" w:color="666666" w:sz="4"/>
            </w:tcBorders>
            <w:shd w:fill="D0D8E8"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FPR</w:t>
            </w:r>
          </w:p>
        </w:tc>
        <w:tc>
          <w:tcPr>
            <w:tcW w:type="dxa" w:w="1800"/>
            <w:tcBorders>
              <w:top w:val="single" w:color="666666" w:sz="4"/>
              <w:left w:val="single" w:color="666666" w:sz="4"/>
              <w:bottom w:val="single" w:color="666666" w:sz="4"/>
              <w:right w:val="single" w:color="666666" w:sz="4"/>
            </w:tcBorders>
            <w:shd w:fill="D0D8E8"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Mean Latency</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bCs/>
                <w:sz w:val="16"/>
                <w:szCs w:val="16"/>
              </w:rPr>
              <w:t xml:space="preserve">Ours (8-layer middleware)</w:t>
            </w:r>
          </w:p>
        </w:tc>
        <w:tc>
          <w:tcPr>
            <w:tcW w:type="dxa" w:w="16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100%</w:t>
            </w:r>
          </w:p>
        </w:tc>
        <w:tc>
          <w:tcPr>
            <w:tcW w:type="dxa" w:w="16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0.0%</w:t>
            </w:r>
          </w:p>
        </w:tc>
        <w:tc>
          <w:tcPr>
            <w:tcW w:type="dxa" w:w="1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5.8 ms</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val="false"/>
                <w:bCs w:val="false"/>
                <w:sz w:val="16"/>
                <w:szCs w:val="16"/>
              </w:rPr>
              <w:t xml:space="preserve">LLM Guard</w:t>
            </w:r>
          </w:p>
        </w:tc>
        <w:tc>
          <w:tcPr>
            <w:tcW w:type="dxa" w:w="16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68.5%</w:t>
            </w:r>
          </w:p>
        </w:tc>
        <w:tc>
          <w:tcPr>
            <w:tcW w:type="dxa" w:w="16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0.0%</w:t>
            </w:r>
          </w:p>
        </w:tc>
        <w:tc>
          <w:tcPr>
            <w:tcW w:type="dxa" w:w="1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300.3 ms</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val="false"/>
                <w:bCs w:val="false"/>
                <w:sz w:val="16"/>
                <w:szCs w:val="16"/>
              </w:rPr>
              <w:t xml:space="preserve">PromptGuard 86M</w:t>
            </w:r>
          </w:p>
        </w:tc>
        <w:tc>
          <w:tcPr>
            <w:tcW w:type="dxa" w:w="16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68.3%</w:t>
            </w:r>
          </w:p>
        </w:tc>
        <w:tc>
          <w:tcPr>
            <w:tcW w:type="dxa" w:w="16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80.4%</w:t>
            </w:r>
          </w:p>
        </w:tc>
        <w:tc>
          <w:tcPr>
            <w:tcW w:type="dxa" w:w="1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291.2 ms</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val="false"/>
                <w:bCs w:val="false"/>
                <w:sz w:val="16"/>
                <w:szCs w:val="16"/>
              </w:rPr>
              <w:t xml:space="preserve">Presidio</w:t>
            </w:r>
          </w:p>
        </w:tc>
        <w:tc>
          <w:tcPr>
            <w:tcW w:type="dxa" w:w="16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PII only</w:t>
            </w:r>
          </w:p>
        </w:tc>
        <w:tc>
          <w:tcPr>
            <w:tcW w:type="dxa" w:w="16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N/A</w:t>
            </w:r>
          </w:p>
        </w:tc>
        <w:tc>
          <w:tcPr>
            <w:tcW w:type="dxa" w:w="1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N/A</w:t>
            </w:r>
          </w:p>
        </w:tc>
      </w:tr>
    </w:tbl>
    <w:p>
      <w:pPr>
        <w:spacing w:after="0" w:before="80"/>
      </w:pPr>
    </w:p>
    <w:p>
      <w:pPr>
        <w:spacing w:after="60" w:before="100"/>
        <w:ind w:right="95"/>
        <w:jc w:val="left"/>
      </w:pPr>
      <w:r>
        <w:rPr>
          <w:rFonts w:ascii="Palatino Linotype" w:cs="Palatino Linotype" w:eastAsia="Palatino Linotype" w:hAnsi="Palatino Linotype"/>
          <w:b/>
          <w:bCs/>
          <w:sz w:val="18"/>
          <w:szCs w:val="18"/>
        </w:rPr>
        <w:t xml:space="preserve">Table 2. Adaptive red-team results (377 cases total).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tblGrid>
      <w:tr>
        <w:tc>
          <w:tcPr>
            <w:tcW w:type="dxa" w:w="2800"/>
            <w:tcBorders>
              <w:top w:val="single" w:color="666666" w:sz="4"/>
              <w:left w:val="single" w:color="666666" w:sz="4"/>
              <w:bottom w:val="single" w:color="666666" w:sz="4"/>
              <w:right w:val="single" w:color="666666" w:sz="4"/>
            </w:tcBorders>
            <w:shd w:fill="D0D8E8"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bCs/>
                <w:sz w:val="16"/>
                <w:szCs w:val="16"/>
              </w:rPr>
              <w:t xml:space="preserve">Attack Vector</w:t>
            </w:r>
          </w:p>
        </w:tc>
        <w:tc>
          <w:tcPr>
            <w:tcW w:type="dxa" w:w="1400"/>
            <w:tcBorders>
              <w:top w:val="single" w:color="666666" w:sz="4"/>
              <w:left w:val="single" w:color="666666" w:sz="4"/>
              <w:bottom w:val="single" w:color="666666" w:sz="4"/>
              <w:right w:val="single" w:color="666666" w:sz="4"/>
            </w:tcBorders>
            <w:shd w:fill="D0D8E8"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Original</w:t>
            </w:r>
          </w:p>
        </w:tc>
        <w:tc>
          <w:tcPr>
            <w:tcW w:type="dxa" w:w="1400"/>
            <w:tcBorders>
              <w:top w:val="single" w:color="666666" w:sz="4"/>
              <w:left w:val="single" w:color="666666" w:sz="4"/>
              <w:bottom w:val="single" w:color="666666" w:sz="4"/>
              <w:right w:val="single" w:color="666666" w:sz="4"/>
            </w:tcBorders>
            <w:shd w:fill="D0D8E8"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+Mutations</w:t>
            </w:r>
          </w:p>
        </w:tc>
        <w:tc>
          <w:tcPr>
            <w:tcW w:type="dxa" w:w="1400"/>
            <w:tcBorders>
              <w:top w:val="single" w:color="666666" w:sz="4"/>
              <w:left w:val="single" w:color="666666" w:sz="4"/>
              <w:bottom w:val="single" w:color="666666" w:sz="4"/>
              <w:right w:val="single" w:color="666666" w:sz="4"/>
            </w:tcBorders>
            <w:shd w:fill="D0D8E8"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Benign FPR</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val="false"/>
                <w:bCs w:val="false"/>
                <w:sz w:val="16"/>
                <w:szCs w:val="16"/>
              </w:rPr>
              <w:t xml:space="preserve">Direct Override (V1)</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100%</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90.6%</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0.0%</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val="false"/>
                <w:bCs w:val="false"/>
                <w:sz w:val="16"/>
                <w:szCs w:val="16"/>
              </w:rPr>
              <w:t xml:space="preserve">Obfuscated Injection (V6)</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88.9%</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85.2%</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0.0%</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val="false"/>
                <w:bCs w:val="false"/>
                <w:sz w:val="16"/>
                <w:szCs w:val="16"/>
              </w:rPr>
              <w:t xml:space="preserve">False Context (V8)</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90.0%</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78.3%</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0.0%</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val="false"/>
                <w:bCs w:val="false"/>
                <w:sz w:val="16"/>
                <w:szCs w:val="16"/>
              </w:rPr>
              <w:t xml:space="preserve">Action Hijacking (V4)</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10.0%</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8.3%</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0.0%</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val="false"/>
                <w:bCs w:val="false"/>
                <w:sz w:val="16"/>
                <w:szCs w:val="16"/>
              </w:rPr>
              <w:t xml:space="preserve">PII Exfiltration (V5)</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0.0%</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0.0%</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val="false"/>
                <w:bCs w:val="false"/>
                <w:sz w:val="16"/>
                <w:szCs w:val="16"/>
              </w:rPr>
              <w:t xml:space="preserve">0.0%</w:t>
            </w:r>
          </w:p>
        </w:tc>
      </w:tr>
      <w:tr>
        <w:tc>
          <w:tcPr>
            <w:tcW w:type="dxa" w:w="28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left"/>
            </w:pPr>
            <w:r>
              <w:rPr>
                <w:rFonts w:ascii="Palatino Linotype" w:cs="Palatino Linotype" w:eastAsia="Palatino Linotype" w:hAnsi="Palatino Linotype"/>
                <w:b/>
                <w:bCs/>
                <w:sz w:val="16"/>
                <w:szCs w:val="16"/>
              </w:rPr>
              <w:t xml:space="preserve">Overall</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63.0%</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57.1%</w:t>
            </w:r>
          </w:p>
        </w:tc>
        <w:tc>
          <w:tcPr>
            <w:tcW w:type="dxa" w:w="1400"/>
            <w:tcBorders>
              <w:top w:val="single" w:color="666666" w:sz="4"/>
              <w:left w:val="single" w:color="666666" w:sz="4"/>
              <w:bottom w:val="single" w:color="666666" w:sz="4"/>
              <w:right w:val="single" w:color="666666" w:sz="4"/>
            </w:tcBorders>
            <w:shd w:fill="FFFFFF" w:val="clear"/>
            <w:tcMar>
              <w:top w:type="dxa" w:w="60"/>
              <w:left w:type="dxa" w:w="100"/>
              <w:bottom w:type="dxa" w:w="60"/>
              <w:right w:type="dxa" w:w="100"/>
            </w:tcMar>
            <w:vAlign w:val="center"/>
          </w:tcPr>
          <w:p>
            <w:pPr>
              <w:spacing w:after="0" w:before="0"/>
              <w:jc w:val="center"/>
            </w:pPr>
            <w:r>
              <w:rPr>
                <w:rFonts w:ascii="Palatino Linotype" w:cs="Palatino Linotype" w:eastAsia="Palatino Linotype" w:hAnsi="Palatino Linotype"/>
                <w:b/>
                <w:bCs/>
                <w:sz w:val="16"/>
                <w:szCs w:val="16"/>
              </w:rPr>
              <w:t xml:space="preserve">11.3%</w:t>
            </w:r>
          </w:p>
        </w:tc>
      </w:tr>
    </w:tbl>
    <w:p>
      <w:pPr>
        <w:spacing w:after="0" w:before="80"/>
      </w:pP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Semantic preservation: ROUGE-1 0.986, ROUGE-2 0.967, BERTScore F1 0.772.</w:t>
      </w:r>
    </w:p>
    <w:p>
      <w:pPr>
        <w:spacing w:after="100" w:before="200"/>
        <w:ind w:left="284" w:right="95"/>
      </w:pPr>
      <w:r>
        <w:rPr>
          <w:rFonts w:ascii="Palatino Linotype" w:cs="Palatino Linotype" w:eastAsia="Palatino Linotype" w:hAnsi="Palatino Linotype"/>
          <w:b/>
          <w:bCs/>
          <w:sz w:val="24"/>
          <w:szCs w:val="24"/>
        </w:rPr>
        <w:t xml:space="preserve">5. Discussion</w:t>
      </w: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The 51× latency advantage over LLM Guard indicates rule-augmented middleware is more appropriate than neural classifiers for real-time pipelines. Semantic attack vectors (V4: 8.3%, V5: 0.0%) remain underdetected as they rely on contextual reasoning rather than explicit signals — identified as the primary direction for future work. The 11.3% false positive rate under mutation warrants threshold calibration. The provider-agnostic design is applicable to any intelligent system transmitting sensitive data to an external LLM API.</w:t>
      </w:r>
    </w:p>
    <w:p>
      <w:pPr>
        <w:spacing w:after="100" w:before="200"/>
        <w:ind w:left="284" w:right="95"/>
      </w:pPr>
      <w:r>
        <w:rPr>
          <w:rFonts w:ascii="Palatino Linotype" w:cs="Palatino Linotype" w:eastAsia="Palatino Linotype" w:hAnsi="Palatino Linotype"/>
          <w:b/>
          <w:bCs/>
          <w:sz w:val="24"/>
          <w:szCs w:val="24"/>
        </w:rPr>
        <w:t xml:space="preserve">6. Conclusion</w:t>
      </w:r>
    </w:p>
    <w:p>
      <w:pPr>
        <w:spacing w:after="120" w:before="0" w:line="276"/>
        <w:ind w:right="95"/>
        <w:jc w:val="both"/>
      </w:pPr>
      <w:r>
        <w:rPr>
          <w:rFonts w:ascii="Palatino Linotype" w:cs="Palatino Linotype" w:eastAsia="Palatino Linotype" w:hAnsi="Palatino Linotype"/>
          <w:b w:val="false"/>
          <w:bCs w:val="false"/>
          <w:i w:val="false"/>
          <w:iCs w:val="false"/>
          <w:sz w:val="20"/>
          <w:szCs w:val="20"/>
        </w:rPr>
        <w:t xml:space="preserve">This paper presents an eight-layer middleware achieving 100% detection of direct override attacks at 5.8 ms with zero false positives and ROUGE-1 0.986 semantic preservation — demonstrating that lightweight rule-augmented middleware is a viable, performant alternative to neural guardrail classifiers for trustworthy LLM integration in intelligent systems.</w:t>
      </w:r>
    </w:p>
    <w:p>
      <w:pPr>
        <w:spacing w:after="60" w:before="140"/>
        <w:ind w:right="95"/>
      </w:pPr>
      <w:r>
        <w:rPr>
          <w:rFonts w:ascii="Palatino Linotype" w:cs="Palatino Linotype" w:eastAsia="Palatino Linotype" w:hAnsi="Palatino Linotype"/>
          <w:b/>
          <w:bCs/>
          <w:sz w:val="20"/>
          <w:szCs w:val="20"/>
        </w:rPr>
        <w:t xml:space="preserve">References</w:t>
      </w:r>
    </w:p>
    <w:p>
      <w:pPr>
        <w:spacing w:after="60" w:before="0"/>
        <w:ind w:left="360" w:right="95" w:hanging="360"/>
      </w:pPr>
      <w:r>
        <w:rPr>
          <w:rFonts w:ascii="Times New Roman" w:cs="Times New Roman" w:eastAsia="Times New Roman" w:hAnsi="Times New Roman"/>
          <w:sz w:val="18"/>
          <w:szCs w:val="18"/>
        </w:rPr>
        <w:t xml:space="preserve">1.	Das, R. et al. Security and Privacy Challenges of LLMs: A Survey. arXiv:2402.00888, 2024.</w:t>
      </w:r>
    </w:p>
    <w:p>
      <w:pPr>
        <w:spacing w:after="60" w:before="0"/>
        <w:ind w:left="360" w:right="95" w:hanging="360"/>
      </w:pPr>
      <w:r>
        <w:rPr>
          <w:rFonts w:ascii="Times New Roman" w:cs="Times New Roman" w:eastAsia="Times New Roman" w:hAnsi="Times New Roman"/>
          <w:sz w:val="18"/>
          <w:szCs w:val="18"/>
        </w:rPr>
        <w:t xml:space="preserve">2.	Greshake, K. et al. Compromising LLM-Integrated Applications with Indirect Prompt Injection. AISec, ACM CCS, 2023.</w:t>
      </w:r>
    </w:p>
    <w:p>
      <w:pPr>
        <w:spacing w:after="60" w:before="0"/>
        <w:ind w:left="360" w:right="95" w:hanging="360"/>
      </w:pPr>
      <w:r>
        <w:rPr>
          <w:rFonts w:ascii="Times New Roman" w:cs="Times New Roman" w:eastAsia="Times New Roman" w:hAnsi="Times New Roman"/>
          <w:sz w:val="18"/>
          <w:szCs w:val="18"/>
        </w:rPr>
        <w:t xml:space="preserve">3.	Liu, Y. et al. Automatic and Universal Prompt Injection Attacks against LLMs. arXiv:2403.04957, 2024.</w:t>
      </w:r>
    </w:p>
    <w:p>
      <w:pPr>
        <w:spacing w:after="60" w:before="0"/>
        <w:ind w:left="360" w:right="95" w:hanging="360"/>
      </w:pPr>
      <w:r>
        <w:rPr>
          <w:rFonts w:ascii="Times New Roman" w:cs="Times New Roman" w:eastAsia="Times New Roman" w:hAnsi="Times New Roman"/>
          <w:sz w:val="18"/>
          <w:szCs w:val="18"/>
        </w:rPr>
        <w:t xml:space="preserve">4.	Protect AI. LLM Guard. GitHub, 2023.</w:t>
      </w:r>
    </w:p>
    <w:p>
      <w:pPr>
        <w:spacing w:after="60" w:before="0"/>
        <w:ind w:left="360" w:right="95" w:hanging="360"/>
      </w:pPr>
      <w:r>
        <w:rPr>
          <w:rFonts w:ascii="Times New Roman" w:cs="Times New Roman" w:eastAsia="Times New Roman" w:hAnsi="Times New Roman"/>
          <w:sz w:val="18"/>
          <w:szCs w:val="18"/>
        </w:rPr>
        <w:t xml:space="preserve">5.	Microsoft. Presidio — Data Protection SDK. GitHub, 2019.</w:t>
      </w:r>
    </w:p>
    <w:p>
      <w:pPr>
        <w:spacing w:after="60" w:before="0"/>
        <w:ind w:left="360" w:right="95" w:hanging="360"/>
      </w:pPr>
      <w:r>
        <w:rPr>
          <w:rFonts w:ascii="Times New Roman" w:cs="Times New Roman" w:eastAsia="Times New Roman" w:hAnsi="Times New Roman"/>
          <w:sz w:val="18"/>
          <w:szCs w:val="18"/>
        </w:rPr>
        <w:t xml:space="preserve">6.	Lin, C.-Y. ROUGE: A Package for Automatic Evaluation of Summaries. ACL, 2004.</w:t>
      </w:r>
    </w:p>
    <w:p>
      <w:pPr>
        <w:spacing w:after="60" w:before="0"/>
        <w:ind w:left="360" w:right="95" w:hanging="360"/>
      </w:pPr>
      <w:r>
        <w:rPr>
          <w:rFonts w:ascii="Times New Roman" w:cs="Times New Roman" w:eastAsia="Times New Roman" w:hAnsi="Times New Roman"/>
          <w:sz w:val="18"/>
          <w:szCs w:val="18"/>
        </w:rPr>
        <w:t xml:space="preserve">7.	OWASP. Top 10 for Large Language Model Applications. OWASP Foundation, 2024.</w:t>
      </w:r>
    </w:p>
    <w:p>
      <w:pPr>
        <w:spacing w:after="60" w:before="0"/>
        <w:ind w:left="360" w:right="95" w:hanging="360"/>
      </w:pPr>
      <w:r>
        <w:rPr>
          <w:rFonts w:ascii="Times New Roman" w:cs="Times New Roman" w:eastAsia="Times New Roman" w:hAnsi="Times New Roman"/>
          <w:sz w:val="18"/>
          <w:szCs w:val="18"/>
        </w:rPr>
        <w:t xml:space="preserve">8.	Deepset. prompt-injections dataset. HuggingFace, 2024.</w:t>
      </w:r>
    </w:p>
    <w:p>
      <w:pPr>
        <w:spacing w:after="60" w:before="0"/>
        <w:ind w:left="360" w:right="95" w:hanging="360"/>
      </w:pPr>
      <w:r>
        <w:rPr>
          <w:rFonts w:ascii="Times New Roman" w:cs="Times New Roman" w:eastAsia="Times New Roman" w:hAnsi="Times New Roman"/>
          <w:sz w:val="18"/>
          <w:szCs w:val="18"/>
        </w:rPr>
        <w:t xml:space="preserve">9.	Bowen, B. et al. Baiting Inside Attackers Using Deceit and Trap-Based Defences. SecureComm, 2009.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6"/>
        <w:szCs w:val="16"/>
      </w:rPr>
      <w:t xml:space="preserve">GSAM 2026 — Global Symposium on Adaptive Manufacturing, Ulster University, 7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2026-05-16T16:47:36.917Z</dcterms:created>
  <dcterms:modified xsi:type="dcterms:W3CDTF">2026-05-16T16:47:36.930Z</dcterms:modified>
</cp:coreProperties>
</file>

<file path=docProps/custom.xml><?xml version="1.0" encoding="utf-8"?>
<Properties xmlns="http://schemas.openxmlformats.org/officeDocument/2006/custom-properties" xmlns:vt="http://schemas.openxmlformats.org/officeDocument/2006/docPropsVTypes"/>
</file>