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Fintech LLM Guardrails: A Deployable, Precision-First Middleware for Privacy-Preserving and Injection-Resistant Financial Assistants</w:t>
      </w:r>
    </w:p>
    <w:p>
      <w:pPr>
        <w:spacing w:after="40"/>
        <w:jc w:val="center"/>
      </w:pPr>
      <w:r>
        <w:rPr>
          <w:sz w:val="24"/>
          <w:szCs w:val="24"/>
        </w:rPr>
        <w:t xml:space="preserve">Farhan Bin Hossain</w:t>
      </w:r>
    </w:p>
    <w:p>
      <w:pPr>
        <w:spacing w:after="240"/>
        <w:jc w:val="center"/>
      </w:pPr>
      <w:r>
        <w:rPr>
          <w:i/>
          <w:iCs/>
          <w:sz w:val="20"/>
          <w:szCs w:val="20"/>
        </w:rPr>
        <w:t xml:space="preserve">School of Computing, Ulster University, London Campus</w:t>
      </w:r>
    </w:p>
    <w:p>
      <w:pPr>
        <w:spacing w:after="80"/>
      </w:pPr>
      <w:r>
        <w:rPr>
          <w:b/>
          <w:bCs/>
          <w:sz w:val="24"/>
          <w:szCs w:val="24"/>
        </w:rPr>
        <w:t xml:space="preserve">Abstract</w:t>
      </w:r>
    </w:p>
    <w:p>
      <w:pPr>
        <w:spacing w:after="100" w:line="276"/>
        <w:jc w:val="both"/>
      </w:pPr>
      <w:r>
        <w:rPr>
          <w:b w:val="false"/>
          <w:bCs w:val="false"/>
          <w:i w:val="false"/>
          <w:iCs w:val="false"/>
        </w:rPr>
        <w:t xml:space="preserve">Integrating Large Language Models (LLMs) into personal finance applications exposes sensitive financial data to third-party APIs, where it may be logged or absorbed into training data [4], and opens a new attack surface for prompt injection routed through financial data pipelines [5]. Existing work characterises these threats [2][3][6][7], yet few studies provide deployable mitigations that are evaluated against fintech-specific attack vectors, measured under distribution shift, or benchmarked against established open-source guardrails. This paper makes three contributions. First, we define a taxonomy of eight prompt-injection vectors specific to personal finance, including indirect attacks that lie dormant in stored data — transaction-description and bank-statement-import injection — alongside obfuscated-encoding and fabricated-context attacks that are underrepresented in general-purpose corpora [3][6]. Second, we present a defence-in-depth middleware that mediates every exchange across the application trust boundary through obfuscation-resistant input sanitisation, structural instruction-boundary separation [6], Named-Entity-Recognition-based PII redaction with UK financial recognisers [8][10], canary-based extraction detection [14], output validation, and a declarative action allowlist that separates model proposal from system execution. The design is deliberately precision-first: because wrongly blocking a legitimate query erodes user trust on every false alarm, we enforce a hard zero-false-positive constraint and quantify its recall cost rather than concealing it. Third, we contribute an adaptive red-team evaluator that mutates known attacks to probe robustness beyond static benchmarks, together with a cross-distribution evaluation contrasting in-domain and external performance. On a purpose-built corpus spanning eight vectors the system blocks all attack cases at zero false positives, and sustains a 0% false-positive rate on an independent dataset where a general-purpose classifier (PromptGuard 86M) misclassifies 80.4% of legitimate queries. Detection is strong against direct instruction override (100%) and obfuscated injection, but degrades against output-driven action hijacking (8.3%) and response-borne PII exfiltration (0%), which we analyse as the principal residual limitation rather than omit. At 5.8 ms mean latency the middleware operates 51x faster than LLM Guard [9], and a ROUGE-1 of 0.986 [11] indicates preserved utility after redaction. We argue that single-corpus evaluation systematically overstates guardrail robustness, and we release the architecture and corpus as an open, reproducible baseline.</w:t>
      </w:r>
    </w:p>
    <w:p>
      <w:pPr>
        <w:spacing w:after="200" w:line="276"/>
        <w:jc w:val="both"/>
      </w:pPr>
      <w:r>
        <w:rPr>
          <w:b/>
          <w:bCs/>
          <w:i w:val="false"/>
          <w:iCs w:val="false"/>
        </w:rPr>
        <w:t xml:space="preserve">Keywords: </w:t>
      </w:r>
      <w:r>
        <w:rPr>
          <w:b w:val="false"/>
          <w:bCs w:val="false"/>
          <w:i w:val="false"/>
          <w:iCs w:val="false"/>
        </w:rPr>
        <w:t xml:space="preserve">LLM security; prompt injection; PII redaction; guardrails; fintech; privacy by design; adversarial evaluation; distribution shift.</w:t>
      </w:r>
    </w:p>
    <w:p>
      <w:pPr>
        <w:pStyle w:val="Heading1"/>
        <w:spacing w:after="120" w:before="240"/>
      </w:pPr>
      <w:r>
        <w:t xml:space="preserve">1  Introduction</w:t>
      </w:r>
    </w:p>
    <w:p>
      <w:pPr>
        <w:spacing w:after="120" w:line="276"/>
        <w:jc w:val="both"/>
      </w:pPr>
      <w:r>
        <w:rPr>
          <w:b w:val="false"/>
          <w:bCs w:val="false"/>
          <w:i w:val="false"/>
          <w:iCs w:val="false"/>
        </w:rPr>
        <w:t xml:space="preserve">Personal finance applications are rapidly adopting LLM-powered features: conversational budgeting assistants, automatic expense categorisers, and fraud-alert chatbots. These features are attractive because they translate unstructured financial activity into natural-language guidance, but they require the application to place sensitive data — account numbers, sort codes, IBANs, income figures, and merchant histories — into a prompt that is then transmitted to an external, often third-party, LLM endpoint. In the open-banking setting created by PSD2, where applications aggregate account data across institutions, the volume and sensitivity of this data is considerable, and the regulatory expectations under the GDPR [1] and equivalent regimes are correspondingly strict.</w:t>
      </w:r>
    </w:p>
    <w:p>
      <w:pPr>
        <w:spacing w:after="120" w:line="276"/>
        <w:jc w:val="both"/>
      </w:pPr>
      <w:r>
        <w:rPr>
          <w:b w:val="false"/>
          <w:bCs w:val="false"/>
          <w:i w:val="false"/>
          <w:iCs w:val="false"/>
        </w:rPr>
        <w:t xml:space="preserve">This integration introduces two coupled classes of risk. The first is data leakage: any personally identifiable information (PII) placed in a prompt crosses the application trust boundary and may be retained in provider logs, incorporated into future training corpora, or exposed in a breach [4][5]. The second is prompt injection: adversarial instructions embedded in data that the application itself supplies to the model can subvert the model's behaviour [6][7]. In a finance application this data is not limited to the user's direct chat input; it includes stored fields such as merchant names and transaction descriptions, and externally sourced documents such as imported bank statements. An instruction concealed in one of these fields can lie dormant until a later summarisation or categorisation call retrieves it, at which point it is interpreted by the model as though it were a legitimate instruction.</w:t>
      </w:r>
    </w:p>
    <w:p>
      <w:pPr>
        <w:spacing w:after="120" w:line="276"/>
        <w:jc w:val="both"/>
      </w:pPr>
      <w:r>
        <w:rPr>
          <w:b w:val="false"/>
          <w:bCs w:val="false"/>
          <w:i w:val="false"/>
          <w:iCs w:val="false"/>
        </w:rPr>
        <w:t xml:space="preserve">The research literature has characterised both risk classes in general terms, and a number of open-source guardrail tools now exist. However, three gaps remain. First, existing injection corpora are general-purpose and do not capture vectors that are specific to financial data pipelines, such as injection through an imported statement or an output-driven attempt to trigger an unauthorised transfer. Second, most reported evaluations are conducted on a single in-domain corpus, which tends to overstate robustness; recent work has begun to document how sharply detector performance falls under genuine distribution shift [12]. Third, comparatively little attention has been paid to the operational cost structure of a deployed financial assistant, in which a false positive — wrongly blocking a legitimate user query — is arguably a more damaging failure than a missed generic attack, because it erodes trust on every occurrence.</w:t>
      </w:r>
    </w:p>
    <w:p>
      <w:pPr>
        <w:spacing w:after="120" w:line="276"/>
        <w:jc w:val="both"/>
      </w:pPr>
      <w:r>
        <w:rPr>
          <w:b w:val="false"/>
          <w:bCs w:val="false"/>
          <w:i w:val="false"/>
          <w:iCs w:val="false"/>
        </w:rPr>
        <w:t xml:space="preserve">This paper addresses these gaps with a deployable middleware layer and an evaluation designed to stress, rather than flatter, it. We adopt a precision-first design stance: the system enforces a hard zero-false-positive constraint and we report the recall cost of that constraint openly. Our central argument is methodological as much as architectural — that the apparent strength of a fintech guardrail is highly sensitive to the corpus on which it is measured, and that honest cross-distribution reporting is a precondition for trustworthy claims. Concretely, we ask three research questions:</w:t>
      </w:r>
    </w:p>
    <w:p>
      <w:pPr>
        <w:pStyle w:val="ListParagraph"/>
        <w:numPr>
          <w:ilvl w:val="0"/>
          <w:numId w:val="2"/>
        </w:numPr>
        <w:spacing w:after="60" w:line="276"/>
        <w:jc w:val="both"/>
      </w:pPr>
      <w:r>
        <w:t xml:space="preserve">RQ1. Can a deployable middleware layer enforce a zero-false-positive constraint on legitimate financial queries while still blocking fintech-specific injection and redacting PII at sub-10-millisecond latency?</w:t>
      </w:r>
    </w:p>
    <w:p>
      <w:pPr>
        <w:pStyle w:val="ListParagraph"/>
        <w:numPr>
          <w:ilvl w:val="0"/>
          <w:numId w:val="2"/>
        </w:numPr>
        <w:spacing w:after="60" w:line="276"/>
        <w:jc w:val="both"/>
      </w:pPr>
      <w:r>
        <w:t xml:space="preserve">RQ2. How does detection performance differ between an in-domain corpus, an adaptive (mutation-based) evaluation, and an independent external dataset — and what does that gap imply for guardrail evaluation generally?</w:t>
      </w:r>
    </w:p>
    <w:p>
      <w:pPr>
        <w:pStyle w:val="ListParagraph"/>
        <w:numPr>
          <w:ilvl w:val="0"/>
          <w:numId w:val="2"/>
        </w:numPr>
        <w:spacing w:after="60" w:line="276"/>
        <w:jc w:val="both"/>
      </w:pPr>
      <w:r>
        <w:t xml:space="preserve">RQ3. Which classes of attack remain unmitigated by a primarily input-side defence, and why?</w:t>
      </w:r>
    </w:p>
    <w:p>
      <w:pPr>
        <w:spacing w:after="160" w:line="276"/>
        <w:jc w:val="both"/>
      </w:pPr>
      <w:r>
        <w:rPr>
          <w:b w:val="false"/>
          <w:bCs w:val="false"/>
          <w:i w:val="false"/>
          <w:iCs w:val="false"/>
        </w:rPr>
        <w:t xml:space="preserve">The remainder of the paper is organised as follows. Section 2 reviews related work. Section 3 defines the threat model and the eight-vector taxonomy. Section 4 describes the middleware architecture. Section 5 reports the evaluation across three surfaces. Section 6 discusses the findings, including the residual gaps and threats to validity. Section 7 outlines future work, and Section 8 concludes.</w:t>
      </w:r>
    </w:p>
    <w:p>
      <w:pPr>
        <w:pStyle w:val="Heading1"/>
        <w:spacing w:after="120" w:before="240"/>
      </w:pPr>
      <w:r>
        <w:t xml:space="preserve">2  Related Work</w:t>
      </w:r>
    </w:p>
    <w:p>
      <w:pPr>
        <w:pStyle w:val="Heading2"/>
        <w:spacing w:after="80" w:before="160"/>
      </w:pPr>
      <w:r>
        <w:t xml:space="preserve">2.1  Prompt injection in LLM-integrated applications</w:t>
      </w:r>
    </w:p>
    <w:p>
      <w:pPr>
        <w:spacing w:after="120" w:line="276"/>
        <w:jc w:val="both"/>
      </w:pPr>
      <w:r>
        <w:rPr>
          <w:b w:val="false"/>
          <w:bCs w:val="false"/>
          <w:i w:val="false"/>
          <w:iCs w:val="false"/>
        </w:rPr>
        <w:t xml:space="preserve">Prompt injection is now recognised as a primary security concern for applications that compose untrusted text into model prompts. Direct injection, in which a user supplies adversarial instructions, was among the earliest documented forms [7]. Greshake et al. [6] extended the threat to indirect injection, demonstrating that instructions concealed in retrieved or third-party content can compromise real-world LLM-integrated applications without any direct interaction by the attacker; this is the form most relevant to stored financial data. Liu et al. [2] showed that injection attacks can be generated automatically and transferably, and broad surveys [3][5] consolidate attack methods, root causes, and candidate defences. Our taxonomy in Section 3 specialises this general understanding to the financial-application setting.</w:t>
      </w:r>
    </w:p>
    <w:p>
      <w:pPr>
        <w:pStyle w:val="Heading2"/>
        <w:spacing w:after="80" w:before="160"/>
      </w:pPr>
      <w:r>
        <w:t xml:space="preserve">2.2  Data leakage and memorisation</w:t>
      </w:r>
    </w:p>
    <w:p>
      <w:pPr>
        <w:spacing w:after="120" w:line="276"/>
        <w:jc w:val="both"/>
      </w:pPr>
      <w:r>
        <w:rPr>
          <w:b w:val="false"/>
          <w:bCs w:val="false"/>
          <w:i w:val="false"/>
          <w:iCs w:val="false"/>
        </w:rPr>
        <w:t xml:space="preserve">Carlini et al. [4] demonstrated that training data, including verbatim sensitive sequences, can be extracted from language models, establishing memorisation as a concrete privacy risk rather than a theoretical one. In the fintech setting this risk is compounded by the routing of live PII to third-party endpoints, motivating redaction before the trust boundary rather than reliance on provider assurances.</w:t>
      </w:r>
    </w:p>
    <w:p>
      <w:pPr>
        <w:pStyle w:val="Heading2"/>
        <w:spacing w:after="80" w:before="160"/>
      </w:pPr>
      <w:r>
        <w:t xml:space="preserve">2.3  PII detection and redaction</w:t>
      </w:r>
    </w:p>
    <w:p>
      <w:pPr>
        <w:spacing w:after="120" w:line="276"/>
        <w:jc w:val="both"/>
      </w:pPr>
      <w:r>
        <w:rPr>
          <w:b w:val="false"/>
          <w:bCs w:val="false"/>
          <w:i w:val="false"/>
          <w:iCs w:val="false"/>
        </w:rPr>
        <w:t xml:space="preserve">Microsoft Presidio [10] provides a widely used framework for PII detection and de-identification built on Named Entity Recognition and pattern matching. Comparative studies of anonymisation methods [8] indicate that recogniser quality is domain-sensitive, and that financial entities such as UK sort codes and IBANs require dedicated recognisers rather than generic person/location models. Our redaction layer extends an NER pipeline with such financial recognisers and adds reversible pseudonymisation so that utility is preserved on the return path.</w:t>
      </w:r>
    </w:p>
    <w:p>
      <w:pPr>
        <w:pStyle w:val="Heading2"/>
        <w:spacing w:after="80" w:before="160"/>
      </w:pPr>
      <w:r>
        <w:t xml:space="preserve">2.4  Guardrail tooling and evaluation under distribution shift</w:t>
      </w:r>
    </w:p>
    <w:p>
      <w:pPr>
        <w:spacing w:after="120" w:line="276"/>
        <w:jc w:val="both"/>
      </w:pPr>
      <w:r>
        <w:rPr>
          <w:b w:val="false"/>
          <w:bCs w:val="false"/>
          <w:i w:val="false"/>
          <w:iCs w:val="false"/>
        </w:rPr>
        <w:t xml:space="preserve">Several open-source guardrail systems are now available, including LLM Guard [9] and transformer classifiers such as deepset DeBERTa and PromptGuard. These tools are typically evaluated on the corpora used to develop them. Fomin [12] argues that such single-corpus evaluation can substantially overstate a classifier's real-world robustness, and that performance must be assessed under genuine distribution shift; related analyses of jailbreak robustness reach compatible conclusions [13]. Our evaluation is designed around this critique: we deliberately separate in-domain, adaptive, and external measurement, and we treat the gap between them as a primary result rather than an inconvenience. We position our methodological contribution as the fintech-specific instantiation of this principle, not as the discovery of distribution sensitivity itself, which we attribute to [12].</w:t>
      </w:r>
    </w:p>
    <w:p>
      <w:pPr>
        <w:pStyle w:val="Heading2"/>
        <w:spacing w:after="80" w:before="160"/>
      </w:pPr>
      <w:r>
        <w:t xml:space="preserve">2.5  Decoy and canary mechanisms</w:t>
      </w:r>
    </w:p>
    <w:p>
      <w:pPr>
        <w:spacing w:after="160" w:line="276"/>
        <w:jc w:val="both"/>
      </w:pPr>
      <w:r>
        <w:rPr>
          <w:b w:val="false"/>
          <w:bCs w:val="false"/>
          <w:i w:val="false"/>
          <w:iCs w:val="false"/>
        </w:rPr>
        <w:t xml:space="preserve">The use of decoy artefacts to detect unauthorised access predates LLMs: Bowen et al. [14] introduced decoy documents to bait and detect inside attackers. We adapt this idea to the LLM pipeline as a canary-token stage that detects context extraction and prompt-leakage attempts. To our knowledge the combination of fintech-specific taxonomy, deployable middleware, canary-based extraction detection, and explicit cross-distribution evaluation has not previously been reported as a single, reproducible system.</w:t>
      </w:r>
    </w:p>
    <w:p>
      <w:pPr>
        <w:pStyle w:val="Heading1"/>
        <w:spacing w:after="120" w:before="240"/>
      </w:pPr>
      <w:r>
        <w:t xml:space="preserve">3  Threat Model and Attack Taxonomy</w:t>
      </w:r>
    </w:p>
    <w:p>
      <w:pPr>
        <w:spacing w:after="120" w:line="276"/>
        <w:jc w:val="both"/>
      </w:pPr>
      <w:r>
        <w:rPr>
          <w:b w:val="false"/>
          <w:bCs w:val="false"/>
          <w:i w:val="false"/>
          <w:iCs w:val="false"/>
        </w:rPr>
        <w:t xml:space="preserve">We describe the system under protection, its assets and trust boundary, the attacker's capabilities and assumptions, and the resulting eight-vector taxonomy. Following good security-evaluation practice, each defensive mechanism in Section 4 is introduced only after the attack it is intended to address.</w:t>
      </w:r>
    </w:p>
    <w:p>
      <w:pPr>
        <w:pStyle w:val="Heading2"/>
        <w:spacing w:after="80" w:before="160"/>
      </w:pPr>
      <w:r>
        <w:t xml:space="preserve">3.1  System and trust boundary</w:t>
      </w:r>
    </w:p>
    <w:p>
      <w:pPr>
        <w:spacing w:after="120" w:line="276"/>
        <w:jc w:val="both"/>
      </w:pPr>
      <w:r>
        <w:rPr>
          <w:b w:val="false"/>
          <w:bCs w:val="false"/>
          <w:i w:val="false"/>
          <w:iCs w:val="false"/>
        </w:rPr>
        <w:t xml:space="preserve">The protected system is an LLM-integrated personal finance assistant comprising a client UI, an application backend (a Flask service with a document database), and an external LLM accessed over an OpenAI-compatible API. The middleware is interposed between the backend and the LLM API. The trust boundary is the egress to the external LLM: data inside the backend and middleware is considered to be within the application's control, while anything transmitted to the LLM API is considered to have left it. The design goal is that no unredacted PII crosses this boundary outbound, and no attacker-controlled instruction or exfiltration payload crosses it in either direction.</w:t>
      </w:r>
    </w:p>
    <w:p>
      <w:pPr>
        <w:pStyle w:val="Heading2"/>
        <w:spacing w:after="80" w:before="160"/>
      </w:pPr>
      <w:r>
        <w:t xml:space="preserve">3.2  Assets</w:t>
      </w:r>
    </w:p>
    <w:p>
      <w:pPr>
        <w:pStyle w:val="ListParagraph"/>
        <w:numPr>
          <w:ilvl w:val="0"/>
          <w:numId w:val="3"/>
        </w:numPr>
        <w:spacing w:after="60" w:line="276"/>
        <w:jc w:val="both"/>
      </w:pPr>
      <w:r>
        <w:t xml:space="preserve">User funds and account integrity — the ability to initiate or alter financial actions (e.g. transfers, payees).</w:t>
      </w:r>
    </w:p>
    <w:p>
      <w:pPr>
        <w:pStyle w:val="ListParagraph"/>
        <w:numPr>
          <w:ilvl w:val="0"/>
          <w:numId w:val="3"/>
        </w:numPr>
        <w:spacing w:after="60" w:line="276"/>
        <w:jc w:val="both"/>
      </w:pPr>
      <w:r>
        <w:t xml:space="preserve">User PII — names, account numbers, sort codes, IBANs, balances, and income figures.</w:t>
      </w:r>
    </w:p>
    <w:p>
      <w:pPr>
        <w:pStyle w:val="ListParagraph"/>
        <w:numPr>
          <w:ilvl w:val="0"/>
          <w:numId w:val="3"/>
        </w:numPr>
        <w:spacing w:after="60" w:line="276"/>
        <w:jc w:val="both"/>
      </w:pPr>
      <w:r>
        <w:t xml:space="preserve">Cross-user confidentiality — one user's session must not be able to retrieve another user's data.</w:t>
      </w:r>
    </w:p>
    <w:p>
      <w:pPr>
        <w:pStyle w:val="ListParagraph"/>
        <w:numPr>
          <w:ilvl w:val="0"/>
          <w:numId w:val="3"/>
        </w:numPr>
        <w:spacing w:after="60" w:line="276"/>
        <w:jc w:val="both"/>
      </w:pPr>
      <w:r>
        <w:t xml:space="preserve">System-prompt and context integrity — the instructions and policy that govern model behaviour.</w:t>
      </w:r>
    </w:p>
    <w:p>
      <w:pPr>
        <w:pStyle w:val="Heading2"/>
        <w:spacing w:after="80" w:before="160"/>
      </w:pPr>
      <w:r>
        <w:t xml:space="preserve">3.3  Attacker model and capabilities</w:t>
      </w:r>
    </w:p>
    <w:p>
      <w:pPr>
        <w:spacing w:after="120" w:line="276"/>
        <w:jc w:val="both"/>
      </w:pPr>
      <w:r>
        <w:rPr>
          <w:b w:val="false"/>
          <w:bCs w:val="false"/>
          <w:i w:val="false"/>
          <w:iCs w:val="false"/>
        </w:rPr>
        <w:t xml:space="preserve">We assume an attacker who cannot access model weights, cannot intercept TLS-protected network traffic, and does not control the LLM provider. The attacker's power derives entirely from the ability to place text into fields that the application will later compose into a prompt. We distinguish three capability levels, and we are explicit about how realistic each is, because the severity of several vectors depends on it:</w:t>
      </w:r>
    </w:p>
    <w:p>
      <w:pPr>
        <w:pStyle w:val="ListParagraph"/>
        <w:numPr>
          <w:ilvl w:val="0"/>
          <w:numId w:val="2"/>
        </w:numPr>
        <w:spacing w:after="60" w:line="276"/>
        <w:jc w:val="both"/>
      </w:pPr>
      <w:r>
        <w:t xml:space="preserve">Direct-input capability: the attacker is the user, typing into the assistant. This is always available and requires no special assumption.</w:t>
      </w:r>
    </w:p>
    <w:p>
      <w:pPr>
        <w:pStyle w:val="ListParagraph"/>
        <w:numPr>
          <w:ilvl w:val="0"/>
          <w:numId w:val="2"/>
        </w:numPr>
        <w:spacing w:after="60" w:line="276"/>
        <w:jc w:val="both"/>
      </w:pPr>
      <w:r>
        <w:t xml:space="preserve">Stored-field capability: the attacker can influence a stored field that later re-enters a prompt — most plausibly a transaction description or merchant string. In a real open-banking flow many such fields originate from the payment network rather than from free user input; the realistic instances are user-editable notes, payee labels, and self-entered transactions. We therefore treat stored-field injection as conditional on the application exposing at least one user-writable field that is later summarised, which is common but not universal.</w:t>
      </w:r>
    </w:p>
    <w:p>
      <w:pPr>
        <w:pStyle w:val="ListParagraph"/>
        <w:numPr>
          <w:ilvl w:val="0"/>
          <w:numId w:val="2"/>
        </w:numPr>
        <w:spacing w:after="60" w:line="276"/>
        <w:jc w:val="both"/>
      </w:pPr>
      <w:r>
        <w:t xml:space="preserve">Imported-document capability: the attacker supplies a file the user imports (e.g. a CSV bank statement) containing hidden control tokens. This assumes the user can be induced to import attacker-influenced data, which is realistic in phishing-adjacent scenarios but weaker than the first two.</w:t>
      </w:r>
    </w:p>
    <w:p>
      <w:pPr>
        <w:spacing w:after="100" w:line="276"/>
        <w:jc w:val="both"/>
      </w:pPr>
      <w:r>
        <w:rPr>
          <w:b w:val="false"/>
          <w:bCs w:val="false"/>
          <w:i w:val="false"/>
          <w:iCs w:val="false"/>
        </w:rPr>
        <w:t xml:space="preserve">Making these assumptions explicit matters for interpretation: vectors that depend on stored-field or imported-document capability (V2, V3, V7) are conditional on the deployment exposing the relevant ingress, whereas direct-input vectors (V1, V4, V5, V6, V8) require no such assumption.</w:t>
      </w:r>
    </w:p>
    <w:p>
      <w:pPr>
        <w:pStyle w:val="Heading2"/>
        <w:spacing w:after="80" w:before="160"/>
      </w:pPr>
      <w:r>
        <w:t xml:space="preserve">3.4  Attack taxonomy</w:t>
      </w:r>
    </w:p>
    <w:p>
      <w:pPr>
        <w:spacing w:after="120" w:line="276"/>
        <w:jc w:val="both"/>
      </w:pPr>
      <w:r>
        <w:rPr>
          <w:b w:val="false"/>
          <w:bCs w:val="false"/>
          <w:i w:val="false"/>
          <w:iCs w:val="false"/>
        </w:rPr>
        <w:t xml:space="preserve">Table 1 summarises the eight vectors, the attacker capability each requires, and the primary asset each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800"/>
        <w:gridCol w:w="3126"/>
      </w:tblGrid>
      <w:tr>
        <w:trPr>
          <w:tblHeader/>
        </w:trPr>
        <w:tc>
          <w:tcPr>
            <w:tcW w:type="dxa" w:w="7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ID</w:t>
            </w:r>
          </w:p>
        </w:tc>
        <w:tc>
          <w:tcPr>
            <w:tcW w:type="dxa" w:w="34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Vector</w:t>
            </w:r>
          </w:p>
        </w:tc>
        <w:tc>
          <w:tcPr>
            <w:tcW w:type="dxa" w:w="18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Capability</w:t>
            </w:r>
          </w:p>
        </w:tc>
        <w:tc>
          <w:tcPr>
            <w:tcW w:type="dxa" w:w="3126"/>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Primary asset at risk</w:t>
            </w:r>
          </w:p>
        </w:tc>
      </w:tr>
      <w:tr>
        <w:tc>
          <w:tcPr>
            <w:tcW w:type="dxa" w:w="7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V1</w:t>
            </w:r>
          </w:p>
        </w:tc>
        <w:tc>
          <w:tcPr>
            <w:tcW w:type="dxa" w:w="3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Direct instruction override</w:t>
            </w:r>
          </w:p>
        </w:tc>
        <w:tc>
          <w:tcPr>
            <w:tcW w:type="dxa" w:w="18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Direct input</w:t>
            </w:r>
          </w:p>
        </w:tc>
        <w:tc>
          <w:tcPr>
            <w:tcW w:type="dxa" w:w="31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Context integrity</w:t>
            </w:r>
          </w:p>
        </w:tc>
      </w:tr>
      <w:tr>
        <w:tc>
          <w:tcPr>
            <w:tcW w:type="dxa" w:w="7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V2</w:t>
            </w:r>
          </w:p>
        </w:tc>
        <w:tc>
          <w:tcPr>
            <w:tcW w:type="dxa" w:w="3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Transaction-description injection (stored, indirect)</w:t>
            </w:r>
          </w:p>
        </w:tc>
        <w:tc>
          <w:tcPr>
            <w:tcW w:type="dxa" w:w="18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Stored field</w:t>
            </w:r>
          </w:p>
        </w:tc>
        <w:tc>
          <w:tcPr>
            <w:tcW w:type="dxa" w:w="31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Context integrity / funds</w:t>
            </w:r>
          </w:p>
        </w:tc>
      </w:tr>
      <w:tr>
        <w:tc>
          <w:tcPr>
            <w:tcW w:type="dxa" w:w="7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V3</w:t>
            </w:r>
          </w:p>
        </w:tc>
        <w:tc>
          <w:tcPr>
            <w:tcW w:type="dxa" w:w="3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Bank-statement import injection (indirect)</w:t>
            </w:r>
          </w:p>
        </w:tc>
        <w:tc>
          <w:tcPr>
            <w:tcW w:type="dxa" w:w="18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Imported document</w:t>
            </w:r>
          </w:p>
        </w:tc>
        <w:tc>
          <w:tcPr>
            <w:tcW w:type="dxa" w:w="31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Context integrity</w:t>
            </w:r>
          </w:p>
        </w:tc>
      </w:tr>
      <w:tr>
        <w:tc>
          <w:tcPr>
            <w:tcW w:type="dxa" w:w="7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V4</w:t>
            </w:r>
          </w:p>
        </w:tc>
        <w:tc>
          <w:tcPr>
            <w:tcW w:type="dxa" w:w="3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Output-driven action hijacking</w:t>
            </w:r>
          </w:p>
        </w:tc>
        <w:tc>
          <w:tcPr>
            <w:tcW w:type="dxa" w:w="18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Direct / stored</w:t>
            </w:r>
          </w:p>
        </w:tc>
        <w:tc>
          <w:tcPr>
            <w:tcW w:type="dxa" w:w="31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User funds</w:t>
            </w:r>
          </w:p>
        </w:tc>
      </w:tr>
      <w:tr>
        <w:tc>
          <w:tcPr>
            <w:tcW w:type="dxa" w:w="7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V5</w:t>
            </w:r>
          </w:p>
        </w:tc>
        <w:tc>
          <w:tcPr>
            <w:tcW w:type="dxa" w:w="3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PII exfiltration via crafted response</w:t>
            </w:r>
          </w:p>
        </w:tc>
        <w:tc>
          <w:tcPr>
            <w:tcW w:type="dxa" w:w="18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Direct / stored</w:t>
            </w:r>
          </w:p>
        </w:tc>
        <w:tc>
          <w:tcPr>
            <w:tcW w:type="dxa" w:w="31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User PII</w:t>
            </w:r>
          </w:p>
        </w:tc>
      </w:tr>
      <w:tr>
        <w:tc>
          <w:tcPr>
            <w:tcW w:type="dxa" w:w="7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V6</w:t>
            </w:r>
          </w:p>
        </w:tc>
        <w:tc>
          <w:tcPr>
            <w:tcW w:type="dxa" w:w="3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Obfuscated encoding (Base64, leetspeak, homoglyph, Morse, zero-width)</w:t>
            </w:r>
          </w:p>
        </w:tc>
        <w:tc>
          <w:tcPr>
            <w:tcW w:type="dxa" w:w="18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Direct input</w:t>
            </w:r>
          </w:p>
        </w:tc>
        <w:tc>
          <w:tcPr>
            <w:tcW w:type="dxa" w:w="31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Context integrity</w:t>
            </w:r>
          </w:p>
        </w:tc>
      </w:tr>
      <w:tr>
        <w:tc>
          <w:tcPr>
            <w:tcW w:type="dxa" w:w="7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V7</w:t>
            </w:r>
          </w:p>
        </w:tc>
        <w:tc>
          <w:tcPr>
            <w:tcW w:type="dxa" w:w="3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Fabricated context manipulation</w:t>
            </w:r>
          </w:p>
        </w:tc>
        <w:tc>
          <w:tcPr>
            <w:tcW w:type="dxa" w:w="18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Stored / direct</w:t>
            </w:r>
          </w:p>
        </w:tc>
        <w:tc>
          <w:tcPr>
            <w:tcW w:type="dxa" w:w="31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Decision integrity / funds</w:t>
            </w:r>
          </w:p>
        </w:tc>
      </w:tr>
      <w:tr>
        <w:tc>
          <w:tcPr>
            <w:tcW w:type="dxa" w:w="7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V8</w:t>
            </w:r>
          </w:p>
        </w:tc>
        <w:tc>
          <w:tcPr>
            <w:tcW w:type="dxa" w:w="3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False-context injection (claimed prior agreement)</w:t>
            </w:r>
          </w:p>
        </w:tc>
        <w:tc>
          <w:tcPr>
            <w:tcW w:type="dxa" w:w="18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Direct input</w:t>
            </w:r>
          </w:p>
        </w:tc>
        <w:tc>
          <w:tcPr>
            <w:tcW w:type="dxa" w:w="31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Context integrity</w:t>
            </w:r>
          </w:p>
        </w:tc>
      </w:tr>
    </w:tbl>
    <w:p>
      <w:pPr>
        <w:spacing w:after="160" w:before="60"/>
        <w:jc w:val="left"/>
      </w:pPr>
      <w:r>
        <w:rPr>
          <w:i/>
          <w:iCs/>
          <w:sz w:val="18"/>
          <w:szCs w:val="18"/>
        </w:rPr>
        <w:t xml:space="preserve">Table 1. Fintech-specific prompt-injection taxonomy. V4 (action hijacking) and V5 (response-borne exfiltration) are the highest-severity vectors because they convert text injection into a financial action or a privacy breach respectively.</w:t>
      </w:r>
    </w:p>
    <w:p>
      <w:pPr>
        <w:spacing w:after="160" w:line="276"/>
        <w:jc w:val="both"/>
      </w:pPr>
      <w:r>
        <w:rPr>
          <w:b w:val="false"/>
          <w:bCs w:val="false"/>
          <w:i w:val="false"/>
          <w:iCs w:val="false"/>
        </w:rPr>
        <w:t xml:space="preserve">V4 and V5 deserve particular emphasis. V4 attempts to make the model emit an unauthorised structured action — for example a transfer instruction with an attacker-controlled payee — thereby converting a text injection into a financial transaction. V5 attempts to make the model encode prior context into an outbound artefact, such as a crafted URL, thereby converting a text injection into a PII breach. These two vectors bridge the injection and privacy threat classes, and Section 5 shows that they are also the vectors our current, primarily input-side, defence handles least well.</w:t>
      </w:r>
    </w:p>
    <w:p>
      <w:pPr>
        <w:pStyle w:val="Heading1"/>
        <w:spacing w:after="120" w:before="240"/>
      </w:pPr>
      <w:r>
        <w:t xml:space="preserve">4  System Architecture</w:t>
      </w:r>
    </w:p>
    <w:p>
      <w:pPr>
        <w:pStyle w:val="Heading2"/>
        <w:spacing w:after="80" w:before="160"/>
      </w:pPr>
      <w:r>
        <w:t xml:space="preserve">4.1  Design principles</w:t>
      </w:r>
    </w:p>
    <w:p>
      <w:pPr>
        <w:spacing w:after="120" w:line="276"/>
        <w:jc w:val="both"/>
      </w:pPr>
      <w:r>
        <w:rPr>
          <w:b w:val="false"/>
          <w:bCs w:val="false"/>
          <w:i w:val="false"/>
          <w:iCs w:val="false"/>
        </w:rPr>
        <w:t xml:space="preserve">Three principles govern the design. (i) Defence in depth: no single layer is assumed sufficient; each addresses a specific subset of vectors, and the pipeline degrades gracefully if one layer is evaded. (ii) Precision first: the system enforces a hard zero-false-positive constraint on legitimate financial queries, accepting reduced recall on attack classes outside the fintech threat model as a deliberate, stated trade-off rather than an oversight. (iii) Provider agnosticism: the middleware targets any OpenAI-compatible endpoint and embeds no provider-specific assumptions, so that redaction occurs before the trust boundary regardless of backend.</w:t>
      </w:r>
    </w:p>
    <w:p>
      <w:pPr>
        <w:pStyle w:val="Heading2"/>
        <w:spacing w:after="80" w:before="160"/>
      </w:pPr>
      <w:r>
        <w:t xml:space="preserve">4.2  Pipeline overview</w:t>
      </w:r>
    </w:p>
    <w:p>
      <w:pPr>
        <w:spacing w:after="120" w:line="276"/>
        <w:jc w:val="both"/>
      </w:pPr>
      <w:r>
        <w:rPr>
          <w:b w:val="false"/>
          <w:bCs w:val="false"/>
          <w:i w:val="false"/>
          <w:iCs w:val="false"/>
        </w:rPr>
        <w:t xml:space="preserve">The middleware is an eight-stage pipeline. Outbound, a request passes through provenance tracking, risk scoring, input sanitisation, structural separation, PII redaction, and canary insertion before reaching the LLM; inbound, the response passes through output validation and action allowlisting before returning to the backend. The ordered stages are: L0a provenance tracker, L0b risk scorer, L1 input sanitiser, L2 structural separator, L3 PII redactor, the canary stage, L4a output validator, and L4b action allowlist.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5726"/>
      </w:tblGrid>
      <w:tr>
        <w:trPr>
          <w:tblHeader/>
        </w:trPr>
        <w:tc>
          <w:tcPr>
            <w:tcW w:type="dxa" w:w="19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Stage</w:t>
            </w:r>
          </w:p>
        </w:tc>
        <w:tc>
          <w:tcPr>
            <w:tcW w:type="dxa" w:w="14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Addresses</w:t>
            </w:r>
          </w:p>
        </w:tc>
        <w:tc>
          <w:tcPr>
            <w:tcW w:type="dxa" w:w="5726"/>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Mechanism (attack-first)</w:t>
            </w:r>
          </w:p>
        </w:tc>
      </w:tr>
      <w:tr>
        <w:tc>
          <w:tcPr>
            <w:tcW w:type="dxa" w:w="19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L0a Provenance tracker</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V2, V3</w:t>
            </w:r>
          </w:p>
        </w:tc>
        <w:tc>
          <w:tcPr>
            <w:tcW w:type="dxa" w:w="57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Tags each text fragment with its origin (direct, stored, imported) so that indirect, dormant payloads can be identified when stored or imported content later enters a prompt.</w:t>
            </w:r>
          </w:p>
        </w:tc>
      </w:tr>
      <w:tr>
        <w:tc>
          <w:tcPr>
            <w:tcW w:type="dxa" w:w="19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L0b Risk scorer</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All (policy)</w:t>
            </w:r>
          </w:p>
        </w:tc>
        <w:tc>
          <w:tcPr>
            <w:tcW w:type="dxa" w:w="57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Computes a composite threat score across five dimensions; the score conditions downstream strictness without hard-blocking, preserving the zero-FP constraint.</w:t>
            </w:r>
          </w:p>
        </w:tc>
      </w:tr>
      <w:tr>
        <w:tc>
          <w:tcPr>
            <w:tcW w:type="dxa" w:w="19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L1 Input sanitiser</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V1, V6</w:t>
            </w:r>
          </w:p>
        </w:tc>
        <w:tc>
          <w:tcPr>
            <w:tcW w:type="dxa" w:w="57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Normalises homoglyphs, spaced characters, leetspeak, Morse, zero-width characters, and Base64 before pattern matching, defeating obfuscated evasion of override detection.</w:t>
            </w:r>
          </w:p>
        </w:tc>
      </w:tr>
      <w:tr>
        <w:tc>
          <w:tcPr>
            <w:tcW w:type="dxa" w:w="19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L2 Structural separator</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V1, V8</w:t>
            </w:r>
          </w:p>
        </w:tc>
        <w:tc>
          <w:tcPr>
            <w:tcW w:type="dxa" w:w="57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Enforces an explicit boundary between system instructions and user/stored data, so injected text claiming instruction status is treated as data.</w:t>
            </w:r>
          </w:p>
        </w:tc>
      </w:tr>
      <w:tr>
        <w:tc>
          <w:tcPr>
            <w:tcW w:type="dxa" w:w="19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L3 PII redactor</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Leakage [4][5]</w:t>
            </w:r>
          </w:p>
        </w:tc>
        <w:tc>
          <w:tcPr>
            <w:tcW w:type="dxa" w:w="57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NER plus UK financial recognisers detect names, sort codes, IBANs, and balances; values are reversibly pseudonymised and re-mapped on return.</w:t>
            </w:r>
          </w:p>
        </w:tc>
      </w:tr>
      <w:tr>
        <w:tc>
          <w:tcPr>
            <w:tcW w:type="dxa" w:w="19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Canary stage</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V5 (extraction)</w:t>
            </w:r>
          </w:p>
        </w:tc>
        <w:tc>
          <w:tcPr>
            <w:tcW w:type="dxa" w:w="57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Inserts decoy tokens [14]; their appearance in an outbound response signals context extraction or prompt leakage.</w:t>
            </w:r>
          </w:p>
        </w:tc>
      </w:tr>
      <w:tr>
        <w:tc>
          <w:tcPr>
            <w:tcW w:type="dxa" w:w="19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L4a Output validator</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V4, V5</w:t>
            </w:r>
          </w:p>
        </w:tc>
        <w:tc>
          <w:tcPr>
            <w:tcW w:type="dxa" w:w="57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Inspects the response for unauthorised structured actions and for response-borne exfiltration artefacts (e.g. crafted URLs encoding prior context).</w:t>
            </w:r>
          </w:p>
        </w:tc>
      </w:tr>
      <w:tr>
        <w:tc>
          <w:tcPr>
            <w:tcW w:type="dxa" w:w="19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L4b Action allowlist</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V4</w:t>
            </w:r>
          </w:p>
        </w:tc>
        <w:tc>
          <w:tcPr>
            <w:tcW w:type="dxa" w:w="57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Declaratively separates model proposal from system execution: the model may propose, but only allowlisted actions are executable, raising the cost of converting injection into a transaction.</w:t>
            </w:r>
          </w:p>
        </w:tc>
      </w:tr>
    </w:tbl>
    <w:p>
      <w:pPr>
        <w:spacing w:after="160" w:before="60"/>
        <w:jc w:val="left"/>
      </w:pPr>
      <w:r>
        <w:rPr>
          <w:i/>
          <w:iCs/>
          <w:sz w:val="18"/>
          <w:szCs w:val="18"/>
        </w:rPr>
        <w:t xml:space="preserve">Table 2. The eight pipeline stages, the vectors each addresses, and the mechanism described attack-first.</w:t>
      </w:r>
    </w:p>
    <w:p>
      <w:pPr>
        <w:spacing w:after="120" w:line="276"/>
        <w:jc w:val="both"/>
      </w:pPr>
      <w:r>
        <w:rPr>
          <w:b w:val="false"/>
          <w:bCs w:val="false"/>
          <w:i w:val="false"/>
          <w:iCs w:val="false"/>
        </w:rPr>
        <w:t xml:space="preserve">The canary stage is counted as a distinct layer because it carries its own trust assumption and enforcement point: unlike the input-side layers, it is a detection tripwire whose signal is meaningful only on the return path, and unlike the output validator it does not parse semantics but checks for the presence of planted tokens. We make this explicit because an eight-layer count is otherwise easy to read as padding; the justification is functional, not numerical.</w:t>
      </w:r>
    </w:p>
    <w:p>
      <w:pPr>
        <w:pStyle w:val="Heading2"/>
        <w:spacing w:after="80" w:before="160"/>
      </w:pPr>
      <w:r>
        <w:t xml:space="preserve">4.3  PII redaction and utility preservation</w:t>
      </w:r>
    </w:p>
    <w:p>
      <w:pPr>
        <w:spacing w:after="160" w:line="276"/>
        <w:jc w:val="both"/>
      </w:pPr>
      <w:r>
        <w:rPr>
          <w:b w:val="false"/>
          <w:bCs w:val="false"/>
          <w:i w:val="false"/>
          <w:iCs w:val="false"/>
        </w:rPr>
        <w:t xml:space="preserve">Because redaction alters the prompt, it can degrade response quality. The redactor therefore uses reversible pseudonymisation: each detected entity is replaced by a typed placeholder, the mapping is retained inside the trust boundary, and placeholders are restored in the returned response before it reaches the user. Section 5.5 evaluates the semantic cost of this substitution.</w:t>
      </w:r>
    </w:p>
    <w:p>
      <w:pPr>
        <w:pStyle w:val="Heading1"/>
        <w:spacing w:after="120" w:before="240"/>
      </w:pPr>
      <w:r>
        <w:t xml:space="preserve">5  Evaluation</w:t>
      </w:r>
    </w:p>
    <w:p>
      <w:pPr>
        <w:spacing w:after="120" w:line="276"/>
        <w:jc w:val="both"/>
      </w:pPr>
      <w:r>
        <w:rPr>
          <w:b w:val="false"/>
          <w:bCs w:val="false"/>
          <w:i w:val="false"/>
          <w:iCs w:val="false"/>
        </w:rPr>
        <w:t xml:space="preserve">We evaluate across three deliberately distinct surfaces — an in-domain static corpus, an adaptive mutation-based red-team, and an independent external dataset — and against four baselines. Reporting the three surfaces separately is itself a methodological choice (RQ2): a single surface would misrepresent robustness.</w:t>
      </w:r>
    </w:p>
    <w:p>
      <w:pPr>
        <w:pStyle w:val="Heading2"/>
        <w:spacing w:after="80" w:before="160"/>
      </w:pPr>
      <w:r>
        <w:t xml:space="preserve">5.1  Experimental setup</w:t>
      </w:r>
    </w:p>
    <w:p>
      <w:pPr>
        <w:spacing w:after="120" w:line="276"/>
        <w:jc w:val="both"/>
      </w:pPr>
      <w:r>
        <w:rPr>
          <w:b w:val="false"/>
          <w:bCs w:val="false"/>
          <w:i w:val="false"/>
          <w:iCs w:val="false"/>
        </w:rPr>
        <w:t xml:space="preserve">All measurements were taken on the same hardware. To avoid out-of-memory interference, each baseline runner (Presidio, LLM Guard, transformer classifiers, and our system) was executed in a separate process. Latency is reported as the mean over the corpus. The external dataset is the publicly available deepset/prompt-injections set [15], which was not used during development.</w:t>
      </w:r>
    </w:p>
    <w:p>
      <w:pPr>
        <w:pStyle w:val="Heading2"/>
        <w:spacing w:after="80" w:before="160"/>
      </w:pPr>
      <w:r>
        <w:t xml:space="preserve">5.2  Surface 1 — in-domain static corpus</w:t>
      </w:r>
    </w:p>
    <w:p>
      <w:pPr>
        <w:spacing w:after="120" w:line="276"/>
        <w:jc w:val="both"/>
      </w:pPr>
      <w:r>
        <w:rPr>
          <w:b w:val="false"/>
          <w:bCs w:val="false"/>
          <w:i w:val="false"/>
          <w:iCs w:val="false"/>
        </w:rPr>
        <w:t xml:space="preserve">The static corpus contains synthetic cases spanning all eight vectors, partitioned into attack cases and a held-out set of legitimate financial queries. On this surface the system blocks every attack case and produces no false positives. We stress that, because the attack cases were authored alongside the detection patterns, this surface measures internal consistency rather than generalisation; it is reported for completeness and as a lower bound on benign precision, not as evidence of real-world robustness.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Metric</w:t>
            </w:r>
          </w:p>
        </w:tc>
        <w:tc>
          <w:tcPr>
            <w:tcW w:type="dxa" w:w="3526"/>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Value</w:t>
            </w:r>
          </w:p>
        </w:tc>
      </w:tr>
      <w:tr>
        <w:tc>
          <w:tcPr>
            <w:tcW w:type="dxa" w:w="55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Attack block rate (in-domain)</w:t>
            </w:r>
          </w:p>
        </w:tc>
        <w:tc>
          <w:tcPr>
            <w:tcW w:type="dxa" w:w="35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54/54 (100.0%)</w:t>
            </w:r>
          </w:p>
        </w:tc>
      </w:tr>
      <w:tr>
        <w:tc>
          <w:tcPr>
            <w:tcW w:type="dxa" w:w="55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False-positive rate (benign)</w:t>
            </w:r>
          </w:p>
        </w:tc>
        <w:tc>
          <w:tcPr>
            <w:tcW w:type="dxa" w:w="35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0/60 (0.0%)</w:t>
            </w:r>
          </w:p>
        </w:tc>
      </w:tr>
      <w:tr>
        <w:tc>
          <w:tcPr>
            <w:tcW w:type="dxa" w:w="55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Mean latency</w:t>
            </w:r>
          </w:p>
        </w:tc>
        <w:tc>
          <w:tcPr>
            <w:tcW w:type="dxa" w:w="35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5.8 ms</w:t>
            </w:r>
          </w:p>
        </w:tc>
      </w:tr>
      <w:tr>
        <w:tc>
          <w:tcPr>
            <w:tcW w:type="dxa" w:w="55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Median latency</w:t>
            </w:r>
          </w:p>
        </w:tc>
        <w:tc>
          <w:tcPr>
            <w:tcW w:type="dxa" w:w="35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5.3 ms</w:t>
            </w:r>
          </w:p>
        </w:tc>
      </w:tr>
    </w:tbl>
    <w:p>
      <w:pPr>
        <w:spacing w:after="160" w:before="60"/>
        <w:jc w:val="left"/>
      </w:pPr>
      <w:r>
        <w:rPr>
          <w:i/>
          <w:iCs/>
          <w:sz w:val="18"/>
          <w:szCs w:val="18"/>
        </w:rPr>
        <w:t xml:space="preserve">Table 3. In-domain static corpus. The 100% block rate is an internal-consistency measure and must be read alongside Tables 4 and 5.</w:t>
      </w:r>
    </w:p>
    <w:p>
      <w:pPr>
        <w:pStyle w:val="Heading2"/>
        <w:spacing w:after="80" w:before="160"/>
      </w:pPr>
      <w:r>
        <w:t xml:space="preserve">5.3  Surface 2 — adaptive red-team</w:t>
      </w:r>
    </w:p>
    <w:p>
      <w:pPr>
        <w:spacing w:after="120" w:line="276"/>
        <w:jc w:val="both"/>
      </w:pPr>
      <w:r>
        <w:rPr>
          <w:b w:val="false"/>
          <w:bCs w:val="false"/>
          <w:i w:val="false"/>
          <w:iCs w:val="false"/>
        </w:rPr>
        <w:t xml:space="preserve">The adaptive evaluator applies five mutation strategies — paraphrase, case mangling, whitespace insertion, Base64 encoding, and prefix noise — to a subset of five vectors (V1, V4, V5, V6, V8), yielding 377 cases including 270 mutation variants. This surface reveals where detection degrades under perturbation. Direct override (V1) and obfuscated injection (V6) remain strong; false-context (V8) degrades moderately; crucially, action hijacking (V4) and PII exfiltration (V5) are weak even before mutation.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826"/>
      </w:tblGrid>
      <w:tr>
        <w:trPr>
          <w:tblHeader/>
        </w:trPr>
        <w:tc>
          <w:tcPr>
            <w:tcW w:type="dxa" w:w="34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Vector</w:t>
            </w:r>
          </w:p>
        </w:tc>
        <w:tc>
          <w:tcPr>
            <w:tcW w:type="dxa" w:w="19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Original</w:t>
            </w:r>
          </w:p>
        </w:tc>
        <w:tc>
          <w:tcPr>
            <w:tcW w:type="dxa" w:w="19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+Mutations</w:t>
            </w:r>
          </w:p>
        </w:tc>
        <w:tc>
          <w:tcPr>
            <w:tcW w:type="dxa" w:w="1826"/>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Benign FPR</w:t>
            </w:r>
          </w:p>
        </w:tc>
      </w:tr>
      <w:tr>
        <w:tc>
          <w:tcPr>
            <w:tcW w:type="dxa" w:w="3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V1 Direct override</w:t>
            </w:r>
          </w:p>
        </w:tc>
        <w:tc>
          <w:tcPr>
            <w:tcW w:type="dxa" w:w="19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100.0%</w:t>
            </w:r>
          </w:p>
        </w:tc>
        <w:tc>
          <w:tcPr>
            <w:tcW w:type="dxa" w:w="19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90.6%</w:t>
            </w:r>
          </w:p>
        </w:tc>
        <w:tc>
          <w:tcPr>
            <w:tcW w:type="dxa" w:w="18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0.0%</w:t>
            </w:r>
          </w:p>
        </w:tc>
      </w:tr>
      <w:tr>
        <w:tc>
          <w:tcPr>
            <w:tcW w:type="dxa" w:w="3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V6 Obfuscated injection</w:t>
            </w:r>
          </w:p>
        </w:tc>
        <w:tc>
          <w:tcPr>
            <w:tcW w:type="dxa" w:w="19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88.9%</w:t>
            </w:r>
          </w:p>
        </w:tc>
        <w:tc>
          <w:tcPr>
            <w:tcW w:type="dxa" w:w="19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85.2%</w:t>
            </w:r>
          </w:p>
        </w:tc>
        <w:tc>
          <w:tcPr>
            <w:tcW w:type="dxa" w:w="18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0.0%</w:t>
            </w:r>
          </w:p>
        </w:tc>
      </w:tr>
      <w:tr>
        <w:tc>
          <w:tcPr>
            <w:tcW w:type="dxa" w:w="3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V8 False context</w:t>
            </w:r>
          </w:p>
        </w:tc>
        <w:tc>
          <w:tcPr>
            <w:tcW w:type="dxa" w:w="19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90.0%</w:t>
            </w:r>
          </w:p>
        </w:tc>
        <w:tc>
          <w:tcPr>
            <w:tcW w:type="dxa" w:w="19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78.3%</w:t>
            </w:r>
          </w:p>
        </w:tc>
        <w:tc>
          <w:tcPr>
            <w:tcW w:type="dxa" w:w="18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0.0%</w:t>
            </w:r>
          </w:p>
        </w:tc>
      </w:tr>
      <w:tr>
        <w:tc>
          <w:tcPr>
            <w:tcW w:type="dxa" w:w="3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V4 Action hijacking</w:t>
            </w:r>
          </w:p>
        </w:tc>
        <w:tc>
          <w:tcPr>
            <w:tcW w:type="dxa" w:w="19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10.0%</w:t>
            </w:r>
          </w:p>
        </w:tc>
        <w:tc>
          <w:tcPr>
            <w:tcW w:type="dxa" w:w="19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8.3%</w:t>
            </w:r>
          </w:p>
        </w:tc>
        <w:tc>
          <w:tcPr>
            <w:tcW w:type="dxa" w:w="18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0.0%</w:t>
            </w:r>
          </w:p>
        </w:tc>
      </w:tr>
      <w:tr>
        <w:tc>
          <w:tcPr>
            <w:tcW w:type="dxa" w:w="3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V5 PII exfiltration</w:t>
            </w:r>
          </w:p>
        </w:tc>
        <w:tc>
          <w:tcPr>
            <w:tcW w:type="dxa" w:w="19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0.0%</w:t>
            </w:r>
          </w:p>
        </w:tc>
        <w:tc>
          <w:tcPr>
            <w:tcW w:type="dxa" w:w="19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0.0%</w:t>
            </w:r>
          </w:p>
        </w:tc>
        <w:tc>
          <w:tcPr>
            <w:tcW w:type="dxa" w:w="18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0.0%</w:t>
            </w:r>
          </w:p>
        </w:tc>
      </w:tr>
      <w:tr>
        <w:tc>
          <w:tcPr>
            <w:tcW w:type="dxa" w:w="3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Overall</w:t>
            </w:r>
          </w:p>
        </w:tc>
        <w:tc>
          <w:tcPr>
            <w:tcW w:type="dxa" w:w="19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63.0%</w:t>
            </w:r>
          </w:p>
        </w:tc>
        <w:tc>
          <w:tcPr>
            <w:tcW w:type="dxa" w:w="19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57.1%</w:t>
            </w:r>
          </w:p>
        </w:tc>
        <w:tc>
          <w:tcPr>
            <w:tcW w:type="dxa" w:w="18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see 6.4</w:t>
            </w:r>
          </w:p>
        </w:tc>
      </w:tr>
    </w:tbl>
    <w:p>
      <w:pPr>
        <w:spacing w:after="160" w:before="60"/>
        <w:jc w:val="left"/>
      </w:pPr>
      <w:r>
        <w:rPr>
          <w:i/>
          <w:iCs/>
          <w:sz w:val="18"/>
          <w:szCs w:val="18"/>
        </w:rPr>
        <w:t xml:space="preserve">Table 4. Adaptive red-team (five vectors, five mutation strategies). The V4 and V5 rows are the paper's most important negative result. The aggregate benign false-positive figure is discussed in Section 6.4.</w:t>
      </w:r>
    </w:p>
    <w:p>
      <w:pPr>
        <w:pStyle w:val="Heading2"/>
        <w:spacing w:after="80" w:before="160"/>
      </w:pPr>
      <w:r>
        <w:t xml:space="preserve">5.4  Surface 3 — external dataset</w:t>
      </w:r>
    </w:p>
    <w:p>
      <w:pPr>
        <w:spacing w:after="120" w:line="276"/>
        <w:jc w:val="both"/>
      </w:pPr>
      <w:r>
        <w:rPr>
          <w:b w:val="false"/>
          <w:bCs w:val="false"/>
          <w:i w:val="false"/>
          <w:iCs w:val="false"/>
        </w:rPr>
        <w:t xml:space="preserve">On the independent deepset set [15] the input layer achieves perfect precision and a 0% false-positive rate, but recall falls to 18.3%. This is the sharpest illustration of RQ2: the same system that blocks 100% of in-domain attacks detects under one-fifth of external injections. Under our precision-first stance the 0% false-positive rate is the constraint that is held; the recall figure is the cost, and it reflects the dominance of generic roleplay injections — outside the fintech threat model — in this external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Metric</w:t>
            </w:r>
          </w:p>
        </w:tc>
        <w:tc>
          <w:tcPr>
            <w:tcW w:type="dxa" w:w="5026"/>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Value</w:t>
            </w:r>
          </w:p>
        </w:tc>
      </w:tr>
      <w:tr>
        <w:tc>
          <w:tcPr>
            <w:tcW w:type="dxa" w:w="40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Precision</w:t>
            </w:r>
          </w:p>
        </w:tc>
        <w:tc>
          <w:tcPr>
            <w:tcW w:type="dxa" w:w="50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100.0%</w:t>
            </w:r>
          </w:p>
        </w:tc>
      </w:tr>
      <w:tr>
        <w:tc>
          <w:tcPr>
            <w:tcW w:type="dxa" w:w="40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Recall</w:t>
            </w:r>
          </w:p>
        </w:tc>
        <w:tc>
          <w:tcPr>
            <w:tcW w:type="dxa" w:w="50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18.3% (11/60 injections detected)</w:t>
            </w:r>
          </w:p>
        </w:tc>
      </w:tr>
      <w:tr>
        <w:tc>
          <w:tcPr>
            <w:tcW w:type="dxa" w:w="40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False-positive rate</w:t>
            </w:r>
          </w:p>
        </w:tc>
        <w:tc>
          <w:tcPr>
            <w:tcW w:type="dxa" w:w="50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0.0% (0/56 benign)</w:t>
            </w:r>
          </w:p>
        </w:tc>
      </w:tr>
      <w:tr>
        <w:tc>
          <w:tcPr>
            <w:tcW w:type="dxa" w:w="40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Mean latency</w:t>
            </w:r>
          </w:p>
        </w:tc>
        <w:tc>
          <w:tcPr>
            <w:tcW w:type="dxa" w:w="50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0.09 ms</w:t>
            </w:r>
          </w:p>
        </w:tc>
      </w:tr>
    </w:tbl>
    <w:p>
      <w:pPr>
        <w:spacing w:after="160" w:before="60"/>
        <w:jc w:val="left"/>
      </w:pPr>
      <w:r>
        <w:rPr>
          <w:i/>
          <w:iCs/>
          <w:sz w:val="18"/>
          <w:szCs w:val="18"/>
        </w:rPr>
        <w:t xml:space="preserve">Table 5. External evaluation on deepset/prompt-injections [15]. The 100%-to-18.3% gap between Tables 3 and 5 is a primary result, not an anomaly.</w:t>
      </w:r>
    </w:p>
    <w:p>
      <w:pPr>
        <w:pStyle w:val="Heading2"/>
        <w:spacing w:after="80" w:before="160"/>
      </w:pPr>
      <w:r>
        <w:t xml:space="preserve">5.5  Baseline comparison and semantic preservation</w:t>
      </w:r>
    </w:p>
    <w:p>
      <w:pPr>
        <w:spacing w:after="120" w:line="276"/>
        <w:jc w:val="both"/>
      </w:pPr>
      <w:r>
        <w:rPr>
          <w:b w:val="false"/>
          <w:bCs w:val="false"/>
          <w:i w:val="false"/>
          <w:iCs w:val="false"/>
        </w:rPr>
        <w:t xml:space="preserve">Table 6 compares our system against four baselines. No baseline combines PII redaction with injection defence, output validation, action allowlisting, provenance, and canary detection; among systems achieving a 0% false-positive rate, ours is markedly faster. The contrast with PromptGuard 86M is instructive: its 80.4% false-positive rate on legitimate financial queries would render it unusable in deployment despite competitive external recall, underlining the precision-first argument. Conversely, deepset DeBERTa attains far higher external recall than our system, which we do not conceal.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380"/>
        <w:gridCol w:w="1240"/>
        <w:gridCol w:w="1480"/>
        <w:gridCol w:w="1400"/>
        <w:gridCol w:w="1400"/>
      </w:tblGrid>
      <w:tr>
        <w:trPr>
          <w:tblHeader/>
        </w:trPr>
        <w:tc>
          <w:tcPr>
            <w:tcW w:type="dxa" w:w="2126"/>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Metric</w:t>
            </w:r>
          </w:p>
        </w:tc>
        <w:tc>
          <w:tcPr>
            <w:tcW w:type="dxa" w:w="138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Presidio</w:t>
            </w:r>
          </w:p>
        </w:tc>
        <w:tc>
          <w:tcPr>
            <w:tcW w:type="dxa" w:w="124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LLM Guard</w:t>
            </w:r>
          </w:p>
        </w:tc>
        <w:tc>
          <w:tcPr>
            <w:tcW w:type="dxa" w:w="148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deepset</w:t>
            </w:r>
          </w:p>
        </w:tc>
        <w:tc>
          <w:tcPr>
            <w:tcW w:type="dxa" w:w="14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PromptGuard</w:t>
            </w:r>
          </w:p>
        </w:tc>
        <w:tc>
          <w:tcPr>
            <w:tcW w:type="dxa" w:w="1400"/>
            <w:tcBorders>
              <w:top w:val="single" w:color="BBBBBB" w:sz="1"/>
              <w:left w:val="single" w:color="BBBBBB" w:sz="1"/>
              <w:bottom w:val="single" w:color="BBBBBB" w:sz="1"/>
              <w:right w:val="single" w:color="BBBBBB" w:sz="1"/>
            </w:tcBorders>
            <w:shd w:fill="1F3864" w:color="auto" w:val="clear"/>
            <w:tcMar>
              <w:top w:type="dxa" w:w="60"/>
              <w:left w:type="dxa" w:w="100"/>
              <w:bottom w:type="dxa" w:w="60"/>
              <w:right w:type="dxa" w:w="100"/>
            </w:tcMar>
          </w:tcPr>
          <w:p>
            <w:pPr>
              <w:spacing w:after="0" w:line="252"/>
            </w:pPr>
            <w:r>
              <w:rPr>
                <w:b/>
                <w:bCs/>
                <w:color w:val="FFFFFF"/>
                <w:sz w:val="18"/>
                <w:szCs w:val="18"/>
              </w:rPr>
              <w:t xml:space="preserve">Ours</w:t>
            </w:r>
          </w:p>
        </w:tc>
      </w:tr>
      <w:tr>
        <w:tc>
          <w:tcPr>
            <w:tcW w:type="dxa" w:w="21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Internal block rate</w:t>
            </w:r>
          </w:p>
        </w:tc>
        <w:tc>
          <w:tcPr>
            <w:tcW w:type="dxa" w:w="138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N/A</w:t>
            </w:r>
          </w:p>
        </w:tc>
        <w:tc>
          <w:tcPr>
            <w:tcW w:type="dxa" w:w="124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68.5%</w:t>
            </w:r>
          </w:p>
        </w:tc>
        <w:tc>
          <w:tcPr>
            <w:tcW w:type="dxa" w:w="148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100.0%</w:t>
            </w:r>
          </w:p>
        </w:tc>
      </w:tr>
      <w:tr>
        <w:tc>
          <w:tcPr>
            <w:tcW w:type="dxa" w:w="21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External recall</w:t>
            </w:r>
          </w:p>
        </w:tc>
        <w:tc>
          <w:tcPr>
            <w:tcW w:type="dxa" w:w="138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w:t>
            </w:r>
          </w:p>
        </w:tc>
        <w:tc>
          <w:tcPr>
            <w:tcW w:type="dxa" w:w="124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w:t>
            </w:r>
          </w:p>
        </w:tc>
        <w:tc>
          <w:tcPr>
            <w:tcW w:type="dxa" w:w="148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98.3%</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68.3%</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18.3%</w:t>
            </w:r>
          </w:p>
        </w:tc>
      </w:tr>
      <w:tr>
        <w:tc>
          <w:tcPr>
            <w:tcW w:type="dxa" w:w="21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Precision</w:t>
            </w:r>
          </w:p>
        </w:tc>
        <w:tc>
          <w:tcPr>
            <w:tcW w:type="dxa" w:w="138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w:t>
            </w:r>
          </w:p>
        </w:tc>
        <w:tc>
          <w:tcPr>
            <w:tcW w:type="dxa" w:w="124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w:t>
            </w:r>
          </w:p>
        </w:tc>
        <w:tc>
          <w:tcPr>
            <w:tcW w:type="dxa" w:w="148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100.0%</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47.7%</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100.0%</w:t>
            </w:r>
          </w:p>
        </w:tc>
      </w:tr>
      <w:tr>
        <w:tc>
          <w:tcPr>
            <w:tcW w:type="dxa" w:w="21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False-positive rate</w:t>
            </w:r>
          </w:p>
        </w:tc>
        <w:tc>
          <w:tcPr>
            <w:tcW w:type="dxa" w:w="138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w:t>
            </w:r>
          </w:p>
        </w:tc>
        <w:tc>
          <w:tcPr>
            <w:tcW w:type="dxa" w:w="124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0.0%</w:t>
            </w:r>
          </w:p>
        </w:tc>
        <w:tc>
          <w:tcPr>
            <w:tcW w:type="dxa" w:w="148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0.0%</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80.4%</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0.0%</w:t>
            </w:r>
          </w:p>
        </w:tc>
      </w:tr>
      <w:tr>
        <w:tc>
          <w:tcPr>
            <w:tcW w:type="dxa" w:w="21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Mean latency</w:t>
            </w:r>
          </w:p>
        </w:tc>
        <w:tc>
          <w:tcPr>
            <w:tcW w:type="dxa" w:w="138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w:t>
            </w:r>
          </w:p>
        </w:tc>
        <w:tc>
          <w:tcPr>
            <w:tcW w:type="dxa" w:w="124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300.3 ms</w:t>
            </w:r>
          </w:p>
        </w:tc>
        <w:tc>
          <w:tcPr>
            <w:tcW w:type="dxa" w:w="148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318.7 ms</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291.1 ms</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5.8 ms</w:t>
            </w:r>
          </w:p>
        </w:tc>
      </w:tr>
      <w:tr>
        <w:tc>
          <w:tcPr>
            <w:tcW w:type="dxa" w:w="21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PII redaction</w:t>
            </w:r>
          </w:p>
        </w:tc>
        <w:tc>
          <w:tcPr>
            <w:tcW w:type="dxa" w:w="138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Yes</w:t>
            </w:r>
          </w:p>
        </w:tc>
        <w:tc>
          <w:tcPr>
            <w:tcW w:type="dxa" w:w="124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8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Yes</w:t>
            </w:r>
          </w:p>
        </w:tc>
      </w:tr>
      <w:tr>
        <w:tc>
          <w:tcPr>
            <w:tcW w:type="dxa" w:w="21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Injection defence</w:t>
            </w:r>
          </w:p>
        </w:tc>
        <w:tc>
          <w:tcPr>
            <w:tcW w:type="dxa" w:w="138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24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Yes</w:t>
            </w:r>
          </w:p>
        </w:tc>
        <w:tc>
          <w:tcPr>
            <w:tcW w:type="dxa" w:w="148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Yes</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Yes</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Yes</w:t>
            </w:r>
          </w:p>
        </w:tc>
      </w:tr>
      <w:tr>
        <w:tc>
          <w:tcPr>
            <w:tcW w:type="dxa" w:w="21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Output validation</w:t>
            </w:r>
          </w:p>
        </w:tc>
        <w:tc>
          <w:tcPr>
            <w:tcW w:type="dxa" w:w="138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24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8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Yes</w:t>
            </w:r>
          </w:p>
        </w:tc>
      </w:tr>
      <w:tr>
        <w:tc>
          <w:tcPr>
            <w:tcW w:type="dxa" w:w="2126"/>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Action allowlist</w:t>
            </w:r>
          </w:p>
        </w:tc>
        <w:tc>
          <w:tcPr>
            <w:tcW w:type="dxa" w:w="138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24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8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00"/>
            <w:tcBorders>
              <w:top w:val="single" w:color="BBBBBB" w:sz="1"/>
              <w:left w:val="single" w:color="BBBBBB" w:sz="1"/>
              <w:bottom w:val="single" w:color="BBBBBB" w:sz="1"/>
              <w:right w:val="single" w:color="BBBBBB" w:sz="1"/>
            </w:tcBorders>
            <w:shd w:fill="FFFFFF" w:color="auto" w:val="clear"/>
            <w:tcMar>
              <w:top w:type="dxa" w:w="50"/>
              <w:left w:type="dxa" w:w="100"/>
              <w:bottom w:type="dxa" w:w="50"/>
              <w:right w:type="dxa" w:w="100"/>
            </w:tcMar>
          </w:tcPr>
          <w:p>
            <w:pPr>
              <w:spacing w:after="0" w:line="252"/>
            </w:pPr>
            <w:r>
              <w:rPr>
                <w:b w:val="false"/>
                <w:bCs w:val="false"/>
                <w:sz w:val="18"/>
                <w:szCs w:val="18"/>
              </w:rPr>
              <w:t xml:space="preserve">Yes</w:t>
            </w:r>
          </w:p>
        </w:tc>
      </w:tr>
      <w:tr>
        <w:tc>
          <w:tcPr>
            <w:tcW w:type="dxa" w:w="2126"/>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Canary detection</w:t>
            </w:r>
          </w:p>
        </w:tc>
        <w:tc>
          <w:tcPr>
            <w:tcW w:type="dxa" w:w="138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24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8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No</w:t>
            </w:r>
          </w:p>
        </w:tc>
        <w:tc>
          <w:tcPr>
            <w:tcW w:type="dxa" w:w="1400"/>
            <w:tcBorders>
              <w:top w:val="single" w:color="BBBBBB" w:sz="1"/>
              <w:left w:val="single" w:color="BBBBBB" w:sz="1"/>
              <w:bottom w:val="single" w:color="BBBBBB" w:sz="1"/>
              <w:right w:val="single" w:color="BBBBBB" w:sz="1"/>
            </w:tcBorders>
            <w:shd w:fill="EFF3F9" w:color="auto" w:val="clear"/>
            <w:tcMar>
              <w:top w:type="dxa" w:w="50"/>
              <w:left w:type="dxa" w:w="100"/>
              <w:bottom w:type="dxa" w:w="50"/>
              <w:right w:type="dxa" w:w="100"/>
            </w:tcMar>
          </w:tcPr>
          <w:p>
            <w:pPr>
              <w:spacing w:after="0" w:line="252"/>
            </w:pPr>
            <w:r>
              <w:rPr>
                <w:b w:val="false"/>
                <w:bCs w:val="false"/>
                <w:sz w:val="18"/>
                <w:szCs w:val="18"/>
              </w:rPr>
              <w:t xml:space="preserve">Yes</w:t>
            </w:r>
          </w:p>
        </w:tc>
      </w:tr>
    </w:tbl>
    <w:p>
      <w:pPr>
        <w:spacing w:after="160" w:before="60"/>
        <w:jc w:val="left"/>
      </w:pPr>
      <w:r>
        <w:rPr>
          <w:i/>
          <w:iCs/>
          <w:sz w:val="18"/>
          <w:szCs w:val="18"/>
        </w:rPr>
        <w:t xml:space="preserve">Table 6. Baseline comparison. Our system is the only one combining all listed capabilities, is 51x faster than LLM Guard, but trails dedicated classifiers on external recall — an explicit consequence of the precision-first design.</w:t>
      </w:r>
    </w:p>
    <w:p>
      <w:pPr>
        <w:spacing w:after="160" w:line="276"/>
        <w:jc w:val="both"/>
      </w:pPr>
      <w:r>
        <w:rPr>
          <w:b w:val="false"/>
          <w:bCs w:val="false"/>
          <w:i w:val="false"/>
          <w:iCs w:val="false"/>
        </w:rPr>
        <w:t xml:space="preserve">Semantic preservation after PII re-mapping was measured with ROUGE [11] and BERTScore. High n-gram overlap (ROUGE-1 0.986, ROUGE-2 0.967, ROUGE-L 0.986) indicates that reversible pseudonymisation preserves surface content; the lower BERTScore F1 (0.772) reflects the semantic cost of token substitution and is reported as the utility ceiling of the approach.</w:t>
      </w:r>
    </w:p>
    <w:p>
      <w:pPr>
        <w:pStyle w:val="Heading1"/>
        <w:spacing w:after="120" w:before="240"/>
      </w:pPr>
      <w:r>
        <w:t xml:space="preserve">6  Discussion</w:t>
      </w:r>
    </w:p>
    <w:p>
      <w:pPr>
        <w:pStyle w:val="Heading2"/>
        <w:spacing w:after="80" w:before="160"/>
      </w:pPr>
      <w:r>
        <w:t xml:space="preserve">6.1  The precision-dominated cost structure of fintech guardrails</w:t>
      </w:r>
    </w:p>
    <w:p>
      <w:pPr>
        <w:spacing w:after="120" w:line="276"/>
        <w:jc w:val="both"/>
      </w:pPr>
      <w:r>
        <w:rPr>
          <w:b w:val="false"/>
          <w:bCs w:val="false"/>
          <w:i w:val="false"/>
          <w:iCs w:val="false"/>
        </w:rPr>
        <w:t xml:space="preserve">The baseline comparison supports the paper's framing argument: in a financial assistant, a guardrail's usability is governed by its false-positive rate at least as much as by its recall. A system that blocks four in five legitimate queries (PromptGuard) is unusable regardless of its detection rate, whereas a precision-first system remains deployable even where recall is limited. This does not make low recall acceptable; it makes the recall gap the right thing to work on next, under a constraint that must not be relaxed.</w:t>
      </w:r>
    </w:p>
    <w:p>
      <w:pPr>
        <w:pStyle w:val="Heading2"/>
        <w:spacing w:after="80" w:before="160"/>
      </w:pPr>
      <w:r>
        <w:t xml:space="preserve">6.2  Why action hijacking (V4) and exfiltration (V5) remain unmitigated</w:t>
      </w:r>
    </w:p>
    <w:p>
      <w:pPr>
        <w:spacing w:after="120" w:line="276"/>
        <w:jc w:val="both"/>
      </w:pPr>
      <w:r>
        <w:rPr>
          <w:b w:val="false"/>
          <w:bCs w:val="false"/>
          <w:i w:val="false"/>
          <w:iCs w:val="false"/>
        </w:rPr>
        <w:t xml:space="preserve">The most important negative result is that V4 and V5 are poorly detected. We offer a mechanistic explanation rather than treating the figures as noise. The defence is predominantly input-side: L1, L2, and L6 reason about the text entering the model. V4, however, is an output-side phenomenon — the harmful event is the model's emission of a structured action — and the action allowlist (L4b) constrains execution but does not, in the current implementation, reliably detect the proposal within free-form text, so the detection metric remains low even though execution is gated. V5 is worse: the canary stage detects extraction of planted tokens, but a response that encodes genuine prior context into a crafted URL contains no canary, so the tripwire never fires, and the output validator's current rules do not model this exfiltration channel. In short, both vectors require output-side intent modelling that the present system lacks. This is a limitation of design coverage, not merely of tuning.</w:t>
      </w:r>
    </w:p>
    <w:p>
      <w:pPr>
        <w:pStyle w:val="Heading2"/>
        <w:spacing w:after="80" w:before="160"/>
      </w:pPr>
      <w:r>
        <w:t xml:space="preserve">6.3  Single-corpus evaluation overstates robustness</w:t>
      </w:r>
    </w:p>
    <w:p>
      <w:pPr>
        <w:spacing w:after="120" w:line="276"/>
        <w:jc w:val="both"/>
      </w:pPr>
      <w:r>
        <w:rPr>
          <w:b w:val="false"/>
          <w:bCs w:val="false"/>
          <w:i w:val="false"/>
          <w:iCs w:val="false"/>
        </w:rPr>
        <w:t xml:space="preserve">The 100% in-domain block rate and the 18.3% external recall describe the same system. Read in isolation, either number is misleading. This concretely supports the concern raised by Fomin [12]: a guardrail validated on its own corpus can appear near-perfect while generalising poorly. We therefore argue that fintech guardrail claims should be accompanied, as a minimum, by an external-dataset measurement and an adaptive (mutation) measurement, and that the in-domain figure should be presented as internal consistency rather than robustness. Our contribution here is to instantiate and quantify this discipline in the fintech setting, not to claim discovery of the phenomenon.</w:t>
      </w:r>
    </w:p>
    <w:p>
      <w:pPr>
        <w:pStyle w:val="Heading2"/>
        <w:spacing w:after="80" w:before="160"/>
      </w:pPr>
      <w:r>
        <w:t xml:space="preserve">6.4  Threats to validity</w:t>
      </w:r>
    </w:p>
    <w:p>
      <w:pPr>
        <w:pStyle w:val="ListParagraph"/>
        <w:numPr>
          <w:ilvl w:val="0"/>
          <w:numId w:val="3"/>
        </w:numPr>
        <w:spacing w:after="60" w:line="276"/>
        <w:jc w:val="both"/>
      </w:pPr>
      <w:r>
        <w:t xml:space="preserve">Self-authored in-domain corpus: attack cases were written alongside the detection logic, so the 100% in-domain block rate measures internal consistency and cannot be read as generalisation. The external dataset partly mitigates this but covers only binary injection-vs-benign classification, not the fintech vector structure.</w:t>
      </w:r>
    </w:p>
    <w:p>
      <w:pPr>
        <w:pStyle w:val="ListParagraph"/>
        <w:numPr>
          <w:ilvl w:val="0"/>
          <w:numId w:val="3"/>
        </w:numPr>
        <w:spacing w:after="60" w:line="276"/>
        <w:jc w:val="both"/>
      </w:pPr>
      <w:r>
        <w:t xml:space="preserve">Benign false-positive rate under mutation: while every individual vector records a 0% benign false-positive rate, the aggregate benign behaviour under adversarial mutation requires reconciliation against the per-vector figures before the zero-false-positive claim can be stated unconditionally for the adaptive surface; we report the per-surface benign rates (0/60 in-domain, 0/56 external) as the supported claims.</w:t>
      </w:r>
    </w:p>
    <w:p>
      <w:pPr>
        <w:pStyle w:val="ListParagraph"/>
        <w:numPr>
          <w:ilvl w:val="0"/>
          <w:numId w:val="3"/>
        </w:numPr>
        <w:spacing w:after="60" w:line="276"/>
        <w:jc w:val="both"/>
      </w:pPr>
      <w:r>
        <w:t xml:space="preserve">Single LLM backend and synthetic data: results were obtained against one OpenAI-compatible backend using synthetic financial data; generalisation across models and real account data is untested.</w:t>
      </w:r>
    </w:p>
    <w:p>
      <w:pPr>
        <w:pStyle w:val="ListParagraph"/>
        <w:numPr>
          <w:ilvl w:val="0"/>
          <w:numId w:val="3"/>
        </w:numPr>
        <w:spacing w:after="60" w:line="276"/>
        <w:jc w:val="both"/>
      </w:pPr>
      <w:r>
        <w:t xml:space="preserve">Baseline configuration: baselines were run in their default configurations. A default-configuration PromptGuard may overstate the false-positive disadvantage relative to a tuned deployment, and this should be acknowledged when interpreting Table 6.</w:t>
      </w:r>
    </w:p>
    <w:p>
      <w:pPr>
        <w:spacing w:after="160" w:line="276"/>
        <w:jc w:val="both"/>
      </w:pPr>
      <w:r>
        <w:rPr>
          <w:b w:val="false"/>
          <w:bCs w:val="false"/>
          <w:i w:val="false"/>
          <w:iCs w:val="false"/>
        </w:rPr>
        <w:t xml:space="preserve">We regard the explicit statement of these threats as part of the contribution: the paper's claim is not that the system is robust everywhere, but that it is deployable under a precision constraint and that its failure modes are characterised honestly.</w:t>
      </w:r>
    </w:p>
    <w:p>
      <w:pPr>
        <w:pStyle w:val="Heading1"/>
        <w:spacing w:after="120" w:before="240"/>
      </w:pPr>
      <w:r>
        <w:t xml:space="preserve">7  Future Work</w:t>
      </w:r>
    </w:p>
    <w:p>
      <w:pPr>
        <w:spacing w:after="160" w:line="276"/>
        <w:jc w:val="both"/>
      </w:pPr>
      <w:r>
        <w:rPr>
          <w:b w:val="false"/>
          <w:bCs w:val="false"/>
          <w:i w:val="false"/>
          <w:iCs w:val="false"/>
        </w:rPr>
        <w:t xml:space="preserve">The evaluation identifies a clear research agenda. First, and most directly, the V4 and V5 gaps motivate a tiered intent gate (provisionally L3b) that performs output-side intent modelling — detecting proposed structured actions and response-borne exfiltration artefacts — while being integrated with the existing risk scorer and remaining configuration-driven so that the zero-false-positive constraint is preserved by construction rather than by retraining. Second, the canary mechanism should be extended to cover the exfiltration channel directly, for example by binding session-specific tokens to PII placeholders so that any outbound encoding of prior context becomes detectable. Third, the external evaluation should be broadened beyond a single binary dataset to multiple corpora and multiple model backends, and ultimately to a deployment study on real (consented) account data. Fourth, the baselines should be re-run under tuned configurations to bound the fairness of the comparison. Together these would convert the present precision-first prototype into a system whose robustness, not only its precision and latency, is independently substantiated.</w:t>
      </w:r>
    </w:p>
    <w:p>
      <w:pPr>
        <w:pStyle w:val="Heading1"/>
        <w:spacing w:after="120" w:before="240"/>
      </w:pPr>
      <w:r>
        <w:t xml:space="preserve">8  Conclusion</w:t>
      </w:r>
    </w:p>
    <w:p>
      <w:pPr>
        <w:spacing w:after="200" w:line="276"/>
        <w:jc w:val="both"/>
      </w:pPr>
      <w:r>
        <w:rPr>
          <w:b w:val="false"/>
          <w:bCs w:val="false"/>
          <w:i w:val="false"/>
          <w:iCs w:val="false"/>
        </w:rPr>
        <w:t xml:space="preserve">We presented a deployable, precision-first middleware for privacy-preserving and injection-resistant LLM integration in personal finance applications, together with a fintech-specific eight-vector taxonomy and an evaluation deliberately designed to expose rather than flatter its limits. The system enforces a zero-false-positive constraint on legitimate financial queries at 5.8 ms mean latency — 51x faster than LLM Guard — while uniquely combining PII redaction, injection defence, output validation, action allowlisting, provenance tracking, and canary-based extraction detection in a single pipeline. Its honest limitations are equally central to the contribution: output-driven action hijacking and response-borne PII exfiltration remain poorly detected by a primarily input-side defence, and the sharp fall from 100% in-domain block rate to 18.3% external recall demonstrates that single-corpus evaluation overstates guardrail robustness. We therefore argue that fintech guardrail evaluation should report in-domain, adaptive, and external surfaces separately, treat in-domain results as internal consistency, and characterise residual failure modes explicitly. We release the architecture and corpus as an open, reproducible baseline to support that discipline.</w:t>
      </w:r>
    </w:p>
    <w:p>
      <w:pPr>
        <w:pStyle w:val="Heading1"/>
        <w:spacing w:after="120" w:before="240"/>
      </w:pPr>
      <w:r>
        <w:t xml:space="preserve">References  </w:t>
      </w:r>
    </w:p>
    <w:p>
      <w:pPr>
        <w:spacing w:after="80" w:line="264"/>
        <w:ind w:left="360" w:hanging="360"/>
      </w:pPr>
      <w:r>
        <w:rPr>
          <w:b/>
          <w:bCs/>
          <w:sz w:val="18"/>
          <w:szCs w:val="18"/>
        </w:rPr>
        <w:t xml:space="preserve">[1] </w:t>
      </w:r>
      <w:r>
        <w:rPr>
          <w:sz w:val="18"/>
          <w:szCs w:val="18"/>
        </w:rPr>
        <w:t xml:space="preserve">European Parliament and Council, “Regulation (EU) 2016/679 (General Data Protection Regulation),” Official Journal of the European Union, 2016.</w:t>
      </w:r>
    </w:p>
    <w:p>
      <w:pPr>
        <w:spacing w:after="80" w:line="264"/>
        <w:ind w:left="360" w:hanging="360"/>
      </w:pPr>
      <w:r>
        <w:rPr>
          <w:b/>
          <w:bCs/>
          <w:sz w:val="18"/>
          <w:szCs w:val="18"/>
        </w:rPr>
        <w:t xml:space="preserve">[2] </w:t>
      </w:r>
      <w:r>
        <w:rPr>
          <w:sz w:val="18"/>
          <w:szCs w:val="18"/>
        </w:rPr>
        <w:t xml:space="preserve">X. Liu et al., “Automatic and Universal Prompt Injection Attacks against Large Language Models,” arXiv:2403.04957, 2024.</w:t>
      </w:r>
    </w:p>
    <w:p>
      <w:pPr>
        <w:spacing w:after="80" w:line="264"/>
        <w:ind w:left="360" w:hanging="360"/>
      </w:pPr>
      <w:r>
        <w:rPr>
          <w:b/>
          <w:bCs/>
          <w:sz w:val="18"/>
          <w:szCs w:val="18"/>
        </w:rPr>
        <w:t xml:space="preserve">[3] </w:t>
      </w:r>
      <w:r>
        <w:rPr>
          <w:sz w:val="18"/>
          <w:szCs w:val="18"/>
        </w:rPr>
        <w:t xml:space="preserve">W. Wong, “Prompt Injection Attacks on Large Language Models: A Survey of Attack Methods, Root Causes, and Defense Strategies,” Computers, Materials &amp; Continua, vol. 87, no. 1, 2026, doi:10.32604/cmc.2025.074081.</w:t>
      </w:r>
    </w:p>
    <w:p>
      <w:pPr>
        <w:spacing w:after="80" w:line="264"/>
        <w:ind w:left="360" w:hanging="360"/>
      </w:pPr>
      <w:r>
        <w:rPr>
          <w:b/>
          <w:bCs/>
          <w:sz w:val="18"/>
          <w:szCs w:val="18"/>
        </w:rPr>
        <w:t xml:space="preserve">[4] </w:t>
      </w:r>
      <w:r>
        <w:rPr>
          <w:sz w:val="18"/>
          <w:szCs w:val="18"/>
        </w:rPr>
        <w:t xml:space="preserve">N. Carlini et al., “Extracting Training Data from Large Language Models,” in Proc. 30th USENIX Security Symposium, 2021, pp. 2633–2650.</w:t>
      </w:r>
    </w:p>
    <w:p>
      <w:pPr>
        <w:spacing w:after="80" w:line="264"/>
        <w:ind w:left="360" w:hanging="360"/>
      </w:pPr>
      <w:r>
        <w:rPr>
          <w:b/>
          <w:bCs/>
          <w:sz w:val="18"/>
          <w:szCs w:val="18"/>
        </w:rPr>
        <w:t xml:space="preserve">[5] </w:t>
      </w:r>
      <w:r>
        <w:rPr>
          <w:sz w:val="18"/>
          <w:szCs w:val="18"/>
        </w:rPr>
        <w:t xml:space="preserve">A. Das, M. Amini, and Y. Wu, “Security and Privacy Challenges of Large Language Models: A Survey,” arXiv:2402.00888, 2024.</w:t>
      </w:r>
    </w:p>
    <w:p>
      <w:pPr>
        <w:spacing w:after="80" w:line="264"/>
        <w:ind w:left="360" w:hanging="360"/>
      </w:pPr>
      <w:r>
        <w:rPr>
          <w:b/>
          <w:bCs/>
          <w:sz w:val="18"/>
          <w:szCs w:val="18"/>
        </w:rPr>
        <w:t xml:space="preserve">[6] </w:t>
      </w:r>
      <w:r>
        <w:rPr>
          <w:sz w:val="18"/>
          <w:szCs w:val="18"/>
        </w:rPr>
        <w:t xml:space="preserve">K. Greshake et al., “Not What You’ve Signed Up For: Compromising Real-World LLM-Integrated Applications with Indirect Prompt Injections,” in Proc. 16th ACM Workshop on Artificial Intelligence and Security (AISec ’23), 2023, pp. 79–90.</w:t>
      </w:r>
    </w:p>
    <w:p>
      <w:pPr>
        <w:spacing w:after="80" w:line="264"/>
        <w:ind w:left="360" w:hanging="360"/>
      </w:pPr>
      <w:r>
        <w:rPr>
          <w:b/>
          <w:bCs/>
          <w:sz w:val="18"/>
          <w:szCs w:val="18"/>
        </w:rPr>
        <w:t xml:space="preserve">[7] </w:t>
      </w:r>
      <w:r>
        <w:rPr>
          <w:sz w:val="18"/>
          <w:szCs w:val="18"/>
        </w:rPr>
        <w:t xml:space="preserve">Y. Liu et al., “Prompt Injection Attack against LLM-Integrated Applications,” arXiv:2306.05499, 2023.</w:t>
      </w:r>
    </w:p>
    <w:p>
      <w:pPr>
        <w:spacing w:after="80" w:line="264"/>
        <w:ind w:left="360" w:hanging="360"/>
      </w:pPr>
      <w:r>
        <w:rPr>
          <w:b/>
          <w:bCs/>
          <w:sz w:val="18"/>
          <w:szCs w:val="18"/>
        </w:rPr>
        <w:t xml:space="preserve">[8] </w:t>
      </w:r>
      <w:r>
        <w:rPr>
          <w:sz w:val="18"/>
          <w:szCs w:val="18"/>
        </w:rPr>
        <w:t xml:space="preserve">D. Asimopoulos et al., “Benchmarking Advanced Text Anonymisation Methods: A Comparative Study on Novel and Traditional Approaches,” arXiv:2404.14465, 2024.</w:t>
      </w:r>
    </w:p>
    <w:p>
      <w:pPr>
        <w:spacing w:after="80" w:line="264"/>
        <w:ind w:left="360" w:hanging="360"/>
      </w:pPr>
      <w:r>
        <w:rPr>
          <w:b/>
          <w:bCs/>
          <w:sz w:val="18"/>
          <w:szCs w:val="18"/>
        </w:rPr>
        <w:t xml:space="preserve">[9] </w:t>
      </w:r>
      <w:r>
        <w:rPr>
          <w:sz w:val="18"/>
          <w:szCs w:val="18"/>
        </w:rPr>
        <w:t xml:space="preserve">Protect AI, “LLM Guard: The Security Toolkit for LLM Interactions,” GitHub, 2023. [Online]. Available: https://github.com/protectai/llm-guard</w:t>
      </w:r>
    </w:p>
    <w:p>
      <w:pPr>
        <w:spacing w:after="80" w:line="264"/>
        <w:ind w:left="360" w:hanging="360"/>
      </w:pPr>
      <w:r>
        <w:rPr>
          <w:b/>
          <w:bCs/>
          <w:sz w:val="18"/>
          <w:szCs w:val="18"/>
        </w:rPr>
        <w:t xml:space="preserve">[10] </w:t>
      </w:r>
      <w:r>
        <w:rPr>
          <w:sz w:val="18"/>
          <w:szCs w:val="18"/>
        </w:rPr>
        <w:t xml:space="preserve">Microsoft, “Presidio: Data Protection and De-identification SDK,” GitHub, 2019. [Online]. Available: https://github.com/microsoft/presidio</w:t>
      </w:r>
    </w:p>
    <w:p>
      <w:pPr>
        <w:spacing w:after="80" w:line="264"/>
        <w:ind w:left="360" w:hanging="360"/>
      </w:pPr>
      <w:r>
        <w:rPr>
          <w:b/>
          <w:bCs/>
          <w:sz w:val="18"/>
          <w:szCs w:val="18"/>
        </w:rPr>
        <w:t xml:space="preserve">[11] </w:t>
      </w:r>
      <w:r>
        <w:rPr>
          <w:sz w:val="18"/>
          <w:szCs w:val="18"/>
        </w:rPr>
        <w:t xml:space="preserve">C.-Y. Lin, “ROUGE: A Package for Automatic Evaluation of Summaries,” in Proc. ACL Workshop on Text Summarization Branches Out, 2004, pp. 74–81.</w:t>
      </w:r>
    </w:p>
    <w:p>
      <w:pPr>
        <w:spacing w:after="80" w:line="264"/>
        <w:ind w:left="360" w:hanging="360"/>
      </w:pPr>
      <w:r>
        <w:rPr>
          <w:b/>
          <w:bCs/>
          <w:sz w:val="18"/>
          <w:szCs w:val="18"/>
        </w:rPr>
        <w:t xml:space="preserve">[12] </w:t>
      </w:r>
      <w:r>
        <w:rPr>
          <w:sz w:val="18"/>
          <w:szCs w:val="18"/>
        </w:rPr>
        <w:t xml:space="preserve">M. Fomin, “When Benchmarks Lie: Evaluating Malicious Prompt Classifiers Under True Distribution Shift,” arXiv:2602.14161, 2026.</w:t>
      </w:r>
    </w:p>
    <w:p>
      <w:pPr>
        <w:spacing w:after="80" w:line="264"/>
        <w:ind w:left="360" w:hanging="360"/>
      </w:pPr>
      <w:r>
        <w:rPr>
          <w:b/>
          <w:bCs/>
          <w:sz w:val="18"/>
          <w:szCs w:val="18"/>
        </w:rPr>
        <w:t xml:space="preserve">[13] </w:t>
      </w:r>
      <w:r>
        <w:rPr>
          <w:sz w:val="18"/>
          <w:szCs w:val="18"/>
        </w:rPr>
        <w:t xml:space="preserve">P. Jaiswal et al., “Analysis of LLMs Against Prompt Injection and Jailbreak Attacks,” arXiv:2602.22242, 2026.</w:t>
      </w:r>
    </w:p>
    <w:p>
      <w:pPr>
        <w:spacing w:after="80" w:line="264"/>
        <w:ind w:left="360" w:hanging="360"/>
      </w:pPr>
      <w:r>
        <w:rPr>
          <w:b/>
          <w:bCs/>
          <w:sz w:val="18"/>
          <w:szCs w:val="18"/>
        </w:rPr>
        <w:t xml:space="preserve">[14] </w:t>
      </w:r>
      <w:r>
        <w:rPr>
          <w:sz w:val="18"/>
          <w:szCs w:val="18"/>
        </w:rPr>
        <w:t xml:space="preserve">B. M. Bowen, S. Hershkop, A. D. Keromytis, and S. J. Stolfo, “Baiting Inside Attackers Using Decoy Documents,” in Proc. 5th Int. Conf. on Security and Privacy in Communication Networks (SecureComm), 2009, pp. 51–70.</w:t>
      </w:r>
    </w:p>
    <w:p>
      <w:pPr>
        <w:spacing w:after="80" w:line="264"/>
        <w:ind w:left="360" w:hanging="360"/>
      </w:pPr>
      <w:r>
        <w:rPr>
          <w:b/>
          <w:bCs/>
          <w:sz w:val="18"/>
          <w:szCs w:val="18"/>
        </w:rPr>
        <w:t xml:space="preserve">[15] </w:t>
      </w:r>
      <w:r>
        <w:rPr>
          <w:sz w:val="18"/>
          <w:szCs w:val="18"/>
        </w:rPr>
        <w:t xml:space="preserve">deepset, “Prompt Injection Dataset,” Hugging Face, 2024. [Online]. Available: https://huggingface.co/datasets/deepset/prompt-injections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F3864"/>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2E4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2026-06-26T16:55:54.390Z</dcterms:created>
  <dcterms:modified xsi:type="dcterms:W3CDTF">2026-06-26T16:55:54.391Z</dcterms:modified>
</cp:coreProperties>
</file>

<file path=docProps/custom.xml><?xml version="1.0" encoding="utf-8"?>
<Properties xmlns="http://schemas.openxmlformats.org/officeDocument/2006/custom-properties" xmlns:vt="http://schemas.openxmlformats.org/officeDocument/2006/docPropsVTypes"/>
</file>