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625" w:rsidRPr="00F42720" w:rsidRDefault="0032662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/>
          <w:color w:val="000000" w:themeColor="text1"/>
          <w:sz w:val="28"/>
          <w:szCs w:val="28"/>
        </w:rPr>
        <w:t>程序編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碼</w:t>
      </w:r>
      <w:r w:rsidRPr="00F42720">
        <w:rPr>
          <w:rFonts w:ascii="標楷體" w:eastAsia="標楷體" w:hAnsi="標楷體"/>
          <w:color w:val="000000" w:themeColor="text1"/>
          <w:sz w:val="28"/>
          <w:szCs w:val="28"/>
        </w:rPr>
        <w:t>：</w:t>
      </w:r>
      <w:r w:rsidR="0044142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FA-</w:t>
      </w:r>
      <w:r w:rsidR="00EB6A9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工-SOP-008</w:t>
      </w:r>
    </w:p>
    <w:p w:rsidR="00326625" w:rsidRPr="00F42720" w:rsidRDefault="0032662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制訂單位：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行政院農業委員會漁業署</w:t>
      </w:r>
    </w:p>
    <w:p w:rsidR="00C03724" w:rsidRPr="00F42720" w:rsidRDefault="00326625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頒布日期文號：</w:t>
      </w:r>
      <w:r w:rsidR="00397DF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</w:p>
    <w:p w:rsidR="00C03724" w:rsidRPr="00F42720" w:rsidRDefault="00A93690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新細明體" w:hAnsi="新細明體" w:cs="新細明體"/>
          <w:color w:val="000000" w:themeColor="text1"/>
          <w:kern w:val="0"/>
        </w:rPr>
        <w:pict>
          <v:line id="_x0000_s1026" style="position:absolute;z-index:251657728" from="2.25pt,10.45pt" to="395.65pt,10.45pt" strokeweight="4.5pt">
            <v:stroke linestyle="thinThick"/>
          </v:line>
        </w:pict>
      </w:r>
    </w:p>
    <w:p w:rsidR="00F305E9" w:rsidRPr="00F42720" w:rsidRDefault="00E26571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目的：</w:t>
      </w:r>
    </w:p>
    <w:p w:rsidR="000A55A2" w:rsidRPr="00F42720" w:rsidRDefault="000A55A2" w:rsidP="000A55A2">
      <w:pPr>
        <w:pStyle w:val="a3"/>
        <w:widowControl/>
        <w:tabs>
          <w:tab w:val="right" w:pos="8647"/>
        </w:tabs>
        <w:overflowPunct w:val="0"/>
        <w:autoSpaceDE w:val="0"/>
        <w:autoSpaceDN w:val="0"/>
        <w:spacing w:line="440" w:lineRule="exact"/>
        <w:ind w:leftChars="116" w:left="27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本程序旨在建立標準化之作業程序，使驗收作業迅速而確實，並藉由驗收程序確實督促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限期改善缺失，以符合契約之要求。</w:t>
      </w:r>
    </w:p>
    <w:p w:rsidR="0027204B" w:rsidRPr="00F42720" w:rsidRDefault="0027204B" w:rsidP="00B87B82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ind w:leftChars="116" w:left="27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</w:p>
    <w:p w:rsidR="00F305E9" w:rsidRPr="00F42720" w:rsidRDefault="007E5BFF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範圍：</w:t>
      </w:r>
    </w:p>
    <w:p w:rsidR="000A55A2" w:rsidRPr="00F42720" w:rsidRDefault="000A55A2" w:rsidP="00FE5727">
      <w:pPr>
        <w:pStyle w:val="a3"/>
        <w:widowControl/>
        <w:tabs>
          <w:tab w:val="right" w:pos="8647"/>
        </w:tabs>
        <w:overflowPunct w:val="0"/>
        <w:autoSpaceDE w:val="0"/>
        <w:autoSpaceDN w:val="0"/>
        <w:spacing w:line="440" w:lineRule="exact"/>
        <w:ind w:left="425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適用於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發包之工程竣工及驗收事宜。</w:t>
      </w:r>
    </w:p>
    <w:p w:rsidR="007E5BFF" w:rsidRPr="00F42720" w:rsidRDefault="007E5BFF" w:rsidP="00934B45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</w:p>
    <w:p w:rsidR="00C4741D" w:rsidRPr="00F42720" w:rsidRDefault="007E5BFF" w:rsidP="00C4741D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定義：</w:t>
      </w:r>
    </w:p>
    <w:p w:rsidR="002609D5" w:rsidRPr="00F42720" w:rsidRDefault="00726859" w:rsidP="002609D5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="002609D5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:</w:t>
      </w:r>
    </w:p>
    <w:p w:rsidR="002609D5" w:rsidRPr="00F42720" w:rsidRDefault="002609D5" w:rsidP="002609D5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以下指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行政院農業委員會漁業署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9F7F53" w:rsidRPr="00F42720" w:rsidRDefault="009F7F53" w:rsidP="009F7F53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上級機關:</w:t>
      </w:r>
    </w:p>
    <w:p w:rsidR="009F7F53" w:rsidRPr="00F42720" w:rsidRDefault="009F7F53" w:rsidP="00644492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行政院農業委員會</w:t>
      </w:r>
    </w:p>
    <w:p w:rsidR="00FE5727" w:rsidRPr="00F42720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驗收：</w:t>
      </w:r>
    </w:p>
    <w:p w:rsidR="00FE5727" w:rsidRPr="00F42720" w:rsidRDefault="00F00C18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1D384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於完工時提送竣工報告書及文件，經監造單位竣工</w:t>
      </w:r>
      <w:r w:rsidR="009047C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檢</w:t>
      </w:r>
      <w:r w:rsidR="001D384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驗程序完成</w:t>
      </w:r>
      <w:r w:rsidR="00FE572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後，由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="00FE572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依契約規定</w:t>
      </w:r>
      <w:r w:rsidR="009047C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辦理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FE572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完</w:t>
      </w:r>
      <w:r w:rsidR="009047C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成項目及數量等之檢驗</w:t>
      </w:r>
      <w:r w:rsidR="00FE572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作業。</w:t>
      </w:r>
    </w:p>
    <w:p w:rsidR="000A2308" w:rsidRPr="00F42720" w:rsidRDefault="000A2308" w:rsidP="000A2308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部分驗收：</w:t>
      </w:r>
    </w:p>
    <w:p w:rsidR="000D0180" w:rsidRPr="00F42720" w:rsidRDefault="000A2308" w:rsidP="000A2308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工程縱使未達全部竣工階段，如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已按本契約規定完成某一單元或某一部分之工程並可資使用，而本署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認為有先行使用之必要時，針對該完成部分進行之驗收作業。</w:t>
      </w:r>
    </w:p>
    <w:p w:rsidR="000A2308" w:rsidRPr="00F42720" w:rsidRDefault="000A2308" w:rsidP="000A2308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減價收受:</w:t>
      </w:r>
    </w:p>
    <w:p w:rsidR="000A2308" w:rsidRPr="00F42720" w:rsidRDefault="000A2308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驗收結果與規定不符，而不妨礙安全及使用需求，亦無減少通常效用或契約預定效用，得於必要時辦理減價收受。</w:t>
      </w:r>
    </w:p>
    <w:p w:rsidR="00FE5727" w:rsidRPr="00F42720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保固期：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保固期為契約中所指定之保固期間，自正式驗收合格之日起算。部份驗收之保固期自部份驗收合格之日起算。</w:t>
      </w:r>
    </w:p>
    <w:p w:rsidR="00FE5727" w:rsidRPr="00F42720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竣工文件：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為工程竣工後，依契約規定，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除提送「竣工報告書」外，應提出</w:t>
      </w:r>
      <w:r w:rsidR="009047C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竣工</w:t>
      </w:r>
      <w:r w:rsidR="000D7E2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數量明細及竣工圖表</w:t>
      </w:r>
      <w:r w:rsidR="009047C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等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相關文件資料稱之。</w:t>
      </w:r>
    </w:p>
    <w:p w:rsidR="00FE5727" w:rsidRPr="00F42720" w:rsidRDefault="00130805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工程</w:t>
      </w:r>
      <w:r w:rsidR="003A3FF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.</w:t>
      </w:r>
      <w:r w:rsidR="00FE572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結算驗收證明書：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工程完工，驗收合格後由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所核發之證明書。</w:t>
      </w:r>
    </w:p>
    <w:p w:rsidR="00FE5727" w:rsidRPr="00F42720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會驗單位：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竣工後須移交其他單位使用或接管之工程，或其他機構委託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辦理之工程，於驗收時應函邀相關單位會同驗收，該相關之單位為會驗單位。</w:t>
      </w:r>
    </w:p>
    <w:p w:rsidR="00FE5727" w:rsidRPr="00F42720" w:rsidRDefault="00DC1A0C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監</w:t>
      </w:r>
      <w:r w:rsidR="00FE572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辦單位：</w:t>
      </w:r>
    </w:p>
    <w:p w:rsidR="000D0180" w:rsidRPr="00F42720" w:rsidRDefault="00FE5727" w:rsidP="000D0180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指「機關主會計及有關單位會同監辦採購辦法」第三條，政府採購法第十三條第一項所稱有關單位，由機關首長或其授權人員就機關內之政風、監查（察）、督察、檢核或稽核單位擇一指定之。</w:t>
      </w:r>
    </w:p>
    <w:p w:rsidR="00FE5727" w:rsidRPr="00F42720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不合格：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134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全部或部分工程之尺寸、數量或使用材料設備與契約規定不符或工程品質有缺陷。</w:t>
      </w:r>
    </w:p>
    <w:p w:rsidR="00FE5727" w:rsidRPr="00F42720" w:rsidRDefault="00FE5727" w:rsidP="00FE572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驗收人員：包含主驗人員、監驗人員、會驗人員及協驗人員。</w:t>
      </w:r>
    </w:p>
    <w:p w:rsidR="00FE5727" w:rsidRPr="00F42720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主驗人員：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主持驗收程序，抽查驗核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履約結果有無與契約、圖說或貨樣規定不符，並決定不符時之處置。</w:t>
      </w:r>
    </w:p>
    <w:p w:rsidR="00FE5727" w:rsidRPr="00F42720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監驗人員：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監視驗收程序之單位人員，如有疑義，得請主辦驗收人員說明。</w:t>
      </w:r>
    </w:p>
    <w:p w:rsidR="00FE5727" w:rsidRPr="00F42720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會驗人員：</w:t>
      </w:r>
    </w:p>
    <w:p w:rsidR="00FE5727" w:rsidRPr="00F42720" w:rsidRDefault="00FE5727" w:rsidP="00FE5727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接管單位或使用機關（或單位）人員；會同抽查驗核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履約結果有無與契約、圖說或貨樣規定不符。</w:t>
      </w:r>
    </w:p>
    <w:p w:rsidR="00FE5727" w:rsidRPr="00F42720" w:rsidRDefault="00FE5727" w:rsidP="00FE5727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協驗人員：</w:t>
      </w:r>
    </w:p>
    <w:p w:rsidR="00B76D29" w:rsidRPr="00F42720" w:rsidRDefault="00FE5727" w:rsidP="00B76D29">
      <w:pPr>
        <w:pStyle w:val="a3"/>
        <w:widowControl/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141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設計、監造、承辦採購單位人員或機關委託之專業人員或機構人員；協助辦理驗收有關作業。</w:t>
      </w:r>
    </w:p>
    <w:p w:rsidR="007E5BFF" w:rsidRPr="00F42720" w:rsidRDefault="007E5BFF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說明：</w:t>
      </w:r>
    </w:p>
    <w:p w:rsidR="007E5BFF" w:rsidRPr="00F42720" w:rsidRDefault="009033F6" w:rsidP="00C4741D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本作業程序詳如</w:t>
      </w:r>
      <w:r w:rsidR="003911FA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工程驗收</w:t>
      </w:r>
      <w:r w:rsidR="00FA4BE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FA4BE3" w:rsidRPr="00F42720">
        <w:rPr>
          <w:rFonts w:ascii="標楷體" w:eastAsia="標楷體" w:hAnsi="標楷體" w:hint="eastAsia"/>
          <w:color w:val="000000" w:themeColor="text1"/>
          <w:sz w:val="24"/>
          <w:szCs w:val="24"/>
        </w:rPr>
        <w:t>FA-工-SOP-008</w:t>
      </w:r>
      <w:r w:rsidR="00FA4BE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流程圖。</w:t>
      </w:r>
    </w:p>
    <w:p w:rsidR="00BD349B" w:rsidRPr="00F42720" w:rsidRDefault="00BD349B" w:rsidP="00BD349B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監造單位依照工程竣工確認流程，</w:t>
      </w:r>
      <w:r w:rsidR="00A91D1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核對符合契約約定竣工條件，「工程竣工報告書」核章後併竣工查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驗紀錄及竣工文件送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="00EF78B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後</w:t>
      </w:r>
      <w:r w:rsidR="009243D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，主辦</w:t>
      </w:r>
      <w:r w:rsidR="003A3FF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科會同監造</w:t>
      </w:r>
      <w:r w:rsidR="0030747E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單位及承攬廠商</w:t>
      </w:r>
      <w:r w:rsidR="009243D0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於7日內辦理現場竣工確認後，方可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辦理驗收。</w:t>
      </w:r>
    </w:p>
    <w:p w:rsidR="00BD349B" w:rsidRPr="00F42720" w:rsidRDefault="00BD349B" w:rsidP="00BD349B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除契約另有規定或因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之延誤外，工程驗收應在接獲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通知備驗或可得驗收之程序完成後3</w:t>
      </w:r>
      <w:r w:rsidRPr="00F42720">
        <w:rPr>
          <w:rFonts w:ascii="標楷體" w:eastAsia="標楷體" w:hAnsi="標楷體"/>
          <w:color w:val="000000" w:themeColor="text1"/>
          <w:sz w:val="28"/>
          <w:szCs w:val="28"/>
        </w:rPr>
        <w:t>0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日內辦理；驗收作業辦理程序如下： </w:t>
      </w:r>
    </w:p>
    <w:p w:rsidR="00BD349B" w:rsidRPr="00F42720" w:rsidRDefault="00D2014D" w:rsidP="00B43E4F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trike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契約訂有初驗程序之工程，應辦理初驗，初驗合格後20日內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檢附初驗紀錄</w:t>
      </w:r>
      <w:r w:rsidR="00132167" w:rsidRPr="00F42720">
        <w:rPr>
          <w:rFonts w:ascii="標楷體" w:eastAsia="標楷體" w:hAnsi="標楷體"/>
          <w:color w:val="000000" w:themeColor="text1"/>
          <w:sz w:val="28"/>
          <w:szCs w:val="28"/>
        </w:rPr>
        <w:t>（</w:t>
      </w:r>
      <w:r w:rsidR="0013216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附件</w:t>
      </w:r>
      <w:r w:rsidR="00132167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begin"/>
      </w:r>
      <w:r w:rsidR="00132167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13216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instrText>SEQ 附件 \* CHINESENUM3</w:instrText>
      </w:r>
      <w:r w:rsidR="00132167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132167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separate"/>
      </w:r>
      <w:r w:rsidR="00622B54" w:rsidRPr="00F42720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t>一</w:t>
      </w:r>
      <w:r w:rsidR="00132167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end"/>
      </w:r>
      <w:r w:rsidR="0013216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）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及相關</w:t>
      </w:r>
      <w:r w:rsidR="00475E05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竣工文件</w:t>
      </w:r>
      <w:r w:rsidR="008C392A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簽辦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驗收。</w:t>
      </w:r>
    </w:p>
    <w:p w:rsidR="008C392A" w:rsidRPr="00F42720" w:rsidRDefault="008C392A" w:rsidP="00B43E4F">
      <w:pPr>
        <w:pStyle w:val="a3"/>
        <w:widowControl/>
        <w:numPr>
          <w:ilvl w:val="3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trike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本署主辦科簽請核派主持驗收人員（以下稱主驗人員），並函知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、監造單位、會驗</w:t>
      </w:r>
      <w:r w:rsidR="00D2014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人員、協驗人員、監</w:t>
      </w:r>
      <w:r w:rsidR="00345AE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</w:t>
      </w:r>
      <w:r w:rsidR="00D2014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人員及有關單位訂期至現場辦理初驗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BD349B" w:rsidRPr="00F42720" w:rsidRDefault="00726859" w:rsidP="00B43E4F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主辦</w:t>
      </w:r>
      <w:r w:rsidR="00CA176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科</w:t>
      </w:r>
      <w:r w:rsidR="008C392A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簽請核派主驗人員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，並</w:t>
      </w:r>
      <w:r w:rsidR="00EC153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函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知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、監造單位、會驗人員、協驗人員、監</w:t>
      </w:r>
      <w:r w:rsidR="00345AE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人員及有關單位訂期至現場辦理驗收</w:t>
      </w:r>
      <w:r w:rsidR="0029376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（附件</w:t>
      </w:r>
      <w:r w:rsidR="00293767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begin"/>
      </w:r>
      <w:r w:rsidR="00293767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29376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instrText>SEQ 附件 \* CHINESENUM3</w:instrText>
      </w:r>
      <w:r w:rsidR="00293767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293767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separate"/>
      </w:r>
      <w:r w:rsidR="00622B54" w:rsidRPr="00F42720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t>二</w:t>
      </w:r>
      <w:r w:rsidR="00293767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end"/>
      </w:r>
      <w:r w:rsidR="0029376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）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查核金額以上工程辦理驗收時，應於5日</w:t>
      </w:r>
      <w:r w:rsidR="009B3DC5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(不含假日)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前</w:t>
      </w:r>
      <w:r w:rsidR="009B3DC5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檢附相關資料，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報請上級機關派員監驗</w:t>
      </w:r>
      <w:r w:rsidR="0043350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（附件</w:t>
      </w:r>
      <w:r w:rsidR="0043350C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begin"/>
      </w:r>
      <w:r w:rsidR="0043350C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43350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instrText>SEQ 附件 \* CHINESENUM3</w:instrText>
      </w:r>
      <w:r w:rsidR="0043350C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43350C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separate"/>
      </w:r>
      <w:r w:rsidR="00622B54" w:rsidRPr="00F42720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t>三</w:t>
      </w:r>
      <w:r w:rsidR="0043350C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end"/>
      </w:r>
      <w:r w:rsidR="0043350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）</w:t>
      </w:r>
      <w:r w:rsidR="00651BCD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BD349B" w:rsidRPr="00F42720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主驗人員視實際</w:t>
      </w:r>
      <w:r w:rsidR="009B3DC5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需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要及工程性質，於驗收前簽請</w:t>
      </w:r>
      <w:r w:rsidR="002F26A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長</w:t>
      </w:r>
      <w:r w:rsidR="00881CEE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或其授權人員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核派協助單位，奉派單位應指派人員配合辦理。</w:t>
      </w:r>
    </w:p>
    <w:p w:rsidR="00BD349B" w:rsidRPr="00F42720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驗收過程專任工程人員應隨時應驗收人員詢問提出說明，並於相關文件上簽認。</w:t>
      </w:r>
    </w:p>
    <w:p w:rsidR="00BD349B" w:rsidRPr="00F42720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主驗人員視須要召開驗收前會議決定下列事項：</w:t>
      </w:r>
    </w:p>
    <w:p w:rsidR="00BD349B" w:rsidRPr="00F42720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決定驗收項目及驗收作法，準備之配合儀器、工具及設備。</w:t>
      </w:r>
    </w:p>
    <w:p w:rsidR="00BD349B" w:rsidRPr="00F42720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驗收工作分派及進行方式。</w:t>
      </w:r>
    </w:p>
    <w:p w:rsidR="00BD349B" w:rsidRPr="00F42720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驗收之行政配合。</w:t>
      </w:r>
    </w:p>
    <w:p w:rsidR="00BD349B" w:rsidRPr="00F42720" w:rsidRDefault="00BD349B" w:rsidP="00E44F4A">
      <w:pPr>
        <w:pStyle w:val="a3"/>
        <w:widowControl/>
        <w:numPr>
          <w:ilvl w:val="0"/>
          <w:numId w:val="20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驗收當日時間分配。</w:t>
      </w:r>
    </w:p>
    <w:p w:rsidR="00BD349B" w:rsidRPr="00F42720" w:rsidRDefault="00A26A22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驗收作業時，無論採抽驗或逐項查驗方式進行，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收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人員應將查驗項目、地點及結果紀錄、簽署後交由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代表及專任工程人員簽認，於驗收作業結束後，送交主驗人員。</w:t>
      </w:r>
    </w:p>
    <w:p w:rsidR="00BD349B" w:rsidRPr="00F42720" w:rsidRDefault="00BD349B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驗收作業完成後，由驗收人員就查驗情形逐一與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確認、意見溝通、檢討及商定瑕疵改正期限，以主驗人員為最後裁定。</w:t>
      </w:r>
    </w:p>
    <w:p w:rsidR="00BD349B" w:rsidRPr="00F42720" w:rsidRDefault="00BD349B" w:rsidP="00B43E4F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與契約、圖說或貨樣規定不符時：視為驗收不合格，主驗人員應說明處置方式及載明改正期限，由主辦</w:t>
      </w:r>
      <w:r w:rsidR="00191A5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科</w:t>
      </w:r>
      <w:r w:rsidR="008A0C4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簽辦函請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8A0C4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及副知相關單位依「工程驗收紀錄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」</w:t>
      </w:r>
      <w:r w:rsidR="009966F2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（附件</w:t>
      </w:r>
      <w:r w:rsidR="009966F2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begin"/>
      </w:r>
      <w:r w:rsidR="009966F2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9966F2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instrText>SEQ 附件 \* CHINESENUM3</w:instrText>
      </w:r>
      <w:r w:rsidR="009966F2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9966F2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separate"/>
      </w:r>
      <w:r w:rsidR="00622B54" w:rsidRPr="00F42720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t>四</w:t>
      </w:r>
      <w:r w:rsidR="009966F2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end"/>
      </w:r>
      <w:r w:rsidR="009966F2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）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所載事項辦理。</w:t>
      </w:r>
    </w:p>
    <w:p w:rsidR="00BD349B" w:rsidRPr="00F42720" w:rsidRDefault="00BD349B" w:rsidP="00622B54">
      <w:pPr>
        <w:pStyle w:val="a3"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strike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驗收不合格時，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應依規定期限改正完成申請複驗，經監造單位確認改正完成後，報請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辦理驗收缺失複驗</w:t>
      </w:r>
      <w:r w:rsidR="00C05671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BD349B" w:rsidRPr="00F42720" w:rsidRDefault="00BD349B" w:rsidP="00622B54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經核定驗收合格後，由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="00EB23F2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主辦科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將「工程結算書」、「工程結算驗收證明書」</w:t>
      </w:r>
      <w:r w:rsidR="008A0C4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622B5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附件</w:t>
      </w:r>
      <w:r w:rsidR="00622B54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begin"/>
      </w:r>
      <w:r w:rsidR="00622B54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622B5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instrText>SEQ 附件 \* CHINESENUM3</w:instrText>
      </w:r>
      <w:r w:rsidR="00622B54" w:rsidRPr="00F42720">
        <w:rPr>
          <w:rFonts w:ascii="標楷體" w:eastAsia="標楷體" w:hAnsi="標楷體"/>
          <w:color w:val="000000" w:themeColor="text1"/>
          <w:sz w:val="28"/>
          <w:szCs w:val="28"/>
        </w:rPr>
        <w:instrText xml:space="preserve"> </w:instrText>
      </w:r>
      <w:r w:rsidR="00622B54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separate"/>
      </w:r>
      <w:r w:rsidR="00622B54" w:rsidRPr="00F42720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t>六</w:t>
      </w:r>
      <w:r w:rsidR="00622B54" w:rsidRPr="00F42720">
        <w:rPr>
          <w:rFonts w:ascii="標楷體" w:eastAsia="標楷體" w:hAnsi="標楷體"/>
          <w:color w:val="000000" w:themeColor="text1"/>
          <w:sz w:val="28"/>
          <w:szCs w:val="28"/>
        </w:rPr>
        <w:fldChar w:fldCharType="end"/>
      </w:r>
      <w:r w:rsidR="008A0C4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及必要文件簽會主驗人員及相關單位核章，經</w:t>
      </w:r>
      <w:r w:rsidR="00AD25D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長</w:t>
      </w:r>
      <w:r w:rsidR="00E5175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或授權人員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核定，依下列辦理：</w:t>
      </w:r>
    </w:p>
    <w:p w:rsidR="00BD349B" w:rsidRPr="00F42720" w:rsidRDefault="00547E2A" w:rsidP="00E44F4A">
      <w:pPr>
        <w:pStyle w:val="a3"/>
        <w:widowControl/>
        <w:numPr>
          <w:ilvl w:val="2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「工程結算驗收證明書」、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「工程結算書」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及「竣工圖」</w:t>
      </w:r>
      <w:r w:rsidR="00EA3EF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(及電子檔)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應送</w:t>
      </w:r>
      <w:r w:rsidR="00EF78B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計室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及政風室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一份作憑證之用存檔，</w:t>
      </w:r>
      <w:r w:rsidR="00EB23F2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主辦科</w:t>
      </w:r>
      <w:r w:rsidR="00AD649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、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2A3CA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、接管</w:t>
      </w:r>
      <w:r w:rsidR="00D459AA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或</w:t>
      </w:r>
      <w:r w:rsidR="002A3CA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使用單位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各一份</w:t>
      </w:r>
      <w:r w:rsidR="00AD649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，並視實際需要製作相當份數</w:t>
      </w:r>
      <w:r w:rsidR="00BD349B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EC1536" w:rsidRPr="00F42720" w:rsidRDefault="00921C7D" w:rsidP="00EC1536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結算時，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="00325B1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應依照『自辦工程結算書圖附件資料袋』(附件八)上規定</w:t>
      </w:r>
      <w:r w:rsidR="00603775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備齊文件</w:t>
      </w:r>
      <w:r w:rsidR="00325B13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BD349B" w:rsidRPr="00F42720" w:rsidRDefault="00BD349B" w:rsidP="00BD349B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除契約另有規定或歸屬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之責任外，驗收合格後，</w:t>
      </w:r>
      <w:r w:rsidR="00726859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本署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於</w:t>
      </w:r>
      <w:r w:rsidR="00F00C18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承攬廠商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繳交保固保證金後</w:t>
      </w:r>
      <w:r w:rsidR="00191A56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，一次無息結付尾款，併</w:t>
      </w: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發還剩餘之履約保證金、差額保證金之餘額。</w:t>
      </w:r>
    </w:p>
    <w:p w:rsidR="007E5BFF" w:rsidRPr="00F42720" w:rsidRDefault="000D0180" w:rsidP="00B87B82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附件</w:t>
      </w:r>
      <w:r w:rsidR="00C20D6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</w:p>
    <w:p w:rsidR="00B43E4F" w:rsidRPr="00F42720" w:rsidRDefault="00F04F2B" w:rsidP="00B43E4F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初驗紀錄</w:t>
      </w:r>
      <w:r w:rsidR="00087407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86251F" w:rsidRPr="00F42720" w:rsidRDefault="00B43E4F" w:rsidP="0086251F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通知驗收函</w:t>
      </w:r>
      <w:r w:rsidRPr="00F42720">
        <w:rPr>
          <w:rFonts w:ascii="標楷體" w:eastAsia="標楷體" w:hAnsi="標楷體"/>
          <w:color w:val="000000" w:themeColor="text1"/>
          <w:sz w:val="28"/>
          <w:szCs w:val="28"/>
        </w:rPr>
        <w:t>。</w:t>
      </w:r>
    </w:p>
    <w:p w:rsidR="00B43E4F" w:rsidRPr="00F42720" w:rsidRDefault="00B43E4F" w:rsidP="00B43E4F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通知上級機關</w:t>
      </w:r>
      <w:r w:rsidRPr="00F42720">
        <w:rPr>
          <w:rFonts w:ascii="標楷體" w:eastAsia="標楷體" w:hAnsi="標楷體"/>
          <w:color w:val="000000" w:themeColor="text1"/>
          <w:sz w:val="28"/>
          <w:szCs w:val="28"/>
        </w:rPr>
        <w:t>驗收函。</w:t>
      </w:r>
    </w:p>
    <w:p w:rsidR="000C3F76" w:rsidRPr="00F42720" w:rsidRDefault="000C3F76" w:rsidP="0008740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驗收紀錄。</w:t>
      </w:r>
    </w:p>
    <w:p w:rsidR="00AF0445" w:rsidRPr="00F42720" w:rsidRDefault="00AF0445" w:rsidP="00AF0445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工程結算驗收證明書。</w:t>
      </w:r>
    </w:p>
    <w:p w:rsidR="004C41C5" w:rsidRPr="00F42720" w:rsidRDefault="004C41C5" w:rsidP="00087407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結算明細表</w:t>
      </w:r>
    </w:p>
    <w:p w:rsidR="00AF0445" w:rsidRPr="00F42720" w:rsidRDefault="00AF0445" w:rsidP="00AF0445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工期統計表</w:t>
      </w:r>
      <w:r w:rsidR="00797E9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832AD1" w:rsidRPr="00F42720" w:rsidRDefault="00832AD1" w:rsidP="00832AD1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自辦工程結算書圖附件資料袋</w:t>
      </w:r>
      <w:r w:rsidR="00797E94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BB6DD0" w:rsidRPr="00F42720" w:rsidRDefault="00BB6DD0" w:rsidP="00832AD1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/>
          <w:color w:val="000000" w:themeColor="text1"/>
          <w:sz w:val="28"/>
          <w:szCs w:val="28"/>
        </w:rPr>
        <w:t>部分驗收簽範例</w:t>
      </w:r>
    </w:p>
    <w:p w:rsidR="00E7676C" w:rsidRDefault="00F42720" w:rsidP="00832AD1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993" w:hanging="568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7676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驗收簽範例</w:t>
      </w:r>
    </w:p>
    <w:p w:rsidR="00F42720" w:rsidRPr="00F42720" w:rsidRDefault="00F42720" w:rsidP="00F42720">
      <w:pPr>
        <w:pStyle w:val="a3"/>
        <w:widowControl/>
        <w:numPr>
          <w:ilvl w:val="1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bookmarkStart w:id="0" w:name="_GoBack"/>
      <w:bookmarkEnd w:id="0"/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漁港疏浚工程驗收處理原則說明書</w:t>
      </w:r>
    </w:p>
    <w:p w:rsidR="007E5BFF" w:rsidRPr="00F42720" w:rsidRDefault="007E5BFF" w:rsidP="00F305E9">
      <w:pPr>
        <w:pStyle w:val="a3"/>
        <w:widowControl/>
        <w:numPr>
          <w:ilvl w:val="0"/>
          <w:numId w:val="18"/>
        </w:numPr>
        <w:tabs>
          <w:tab w:val="clear" w:pos="4153"/>
          <w:tab w:val="clear" w:pos="8306"/>
        </w:tabs>
        <w:overflowPunct w:val="0"/>
        <w:autoSpaceDE w:val="0"/>
        <w:autoSpaceDN w:val="0"/>
        <w:adjustRightInd w:val="0"/>
        <w:spacing w:line="360" w:lineRule="auto"/>
        <w:ind w:left="283" w:hangingChars="101" w:hanging="283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參考文件</w:t>
      </w:r>
      <w:r w:rsidR="00C20D6C"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  <w:r w:rsidR="0075320D" w:rsidRPr="00F42720">
        <w:rPr>
          <w:rFonts w:ascii="標楷體" w:eastAsia="標楷體" w:hAnsi="標楷體"/>
          <w:color w:val="000000" w:themeColor="text1"/>
          <w:sz w:val="28"/>
          <w:szCs w:val="28"/>
        </w:rPr>
        <w:tab/>
      </w:r>
    </w:p>
    <w:p w:rsidR="00087407" w:rsidRPr="00F42720" w:rsidRDefault="00087407" w:rsidP="00087407">
      <w:pPr>
        <w:pStyle w:val="a3"/>
        <w:widowControl/>
        <w:numPr>
          <w:ilvl w:val="1"/>
          <w:numId w:val="18"/>
        </w:numPr>
        <w:tabs>
          <w:tab w:val="right" w:pos="8647"/>
        </w:tabs>
        <w:overflowPunct w:val="0"/>
        <w:autoSpaceDE w:val="0"/>
        <w:autoSpaceDN w:val="0"/>
        <w:spacing w:line="440" w:lineRule="exact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政府採購法及其相關子法。</w:t>
      </w:r>
    </w:p>
    <w:p w:rsidR="00356AE1" w:rsidRPr="00F42720" w:rsidRDefault="00356AE1" w:rsidP="00087407">
      <w:pPr>
        <w:pStyle w:val="a3"/>
        <w:widowControl/>
        <w:numPr>
          <w:ilvl w:val="1"/>
          <w:numId w:val="18"/>
        </w:numPr>
        <w:tabs>
          <w:tab w:val="right" w:pos="8647"/>
        </w:tabs>
        <w:overflowPunct w:val="0"/>
        <w:autoSpaceDE w:val="0"/>
        <w:autoSpaceDN w:val="0"/>
        <w:spacing w:line="440" w:lineRule="exact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  <w:r w:rsidRPr="00F42720">
        <w:rPr>
          <w:rFonts w:ascii="標楷體" w:eastAsia="標楷體" w:hAnsi="標楷體" w:hint="eastAsia"/>
          <w:color w:val="000000" w:themeColor="text1"/>
          <w:sz w:val="28"/>
          <w:szCs w:val="28"/>
        </w:rPr>
        <w:t>結算書之內容及裝訂順序。</w:t>
      </w:r>
    </w:p>
    <w:p w:rsidR="007E5BFF" w:rsidRPr="00F42720" w:rsidRDefault="007E5BFF" w:rsidP="00087407">
      <w:pPr>
        <w:pStyle w:val="a3"/>
        <w:widowControl/>
        <w:tabs>
          <w:tab w:val="right" w:pos="8647"/>
        </w:tabs>
        <w:overflowPunct w:val="0"/>
        <w:autoSpaceDE w:val="0"/>
        <w:autoSpaceDN w:val="0"/>
        <w:adjustRightInd w:val="0"/>
        <w:spacing w:line="360" w:lineRule="auto"/>
        <w:ind w:leftChars="100" w:left="240"/>
        <w:textAlignment w:val="bottom"/>
        <w:rPr>
          <w:rFonts w:ascii="標楷體" w:eastAsia="標楷體" w:hAnsi="標楷體"/>
          <w:color w:val="000000" w:themeColor="text1"/>
          <w:sz w:val="28"/>
          <w:szCs w:val="28"/>
        </w:rPr>
      </w:pPr>
    </w:p>
    <w:sectPr w:rsidR="007E5BFF" w:rsidRPr="00F42720" w:rsidSect="00B87B82">
      <w:headerReference w:type="even" r:id="rId8"/>
      <w:headerReference w:type="default" r:id="rId9"/>
      <w:pgSz w:w="11906" w:h="16838" w:code="9"/>
      <w:pgMar w:top="1440" w:right="1797" w:bottom="1440" w:left="1797" w:header="851" w:footer="992" w:gutter="4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690" w:rsidRDefault="00A93690">
      <w:r>
        <w:separator/>
      </w:r>
    </w:p>
  </w:endnote>
  <w:endnote w:type="continuationSeparator" w:id="0">
    <w:p w:rsidR="00A93690" w:rsidRDefault="00A9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690" w:rsidRDefault="00A93690">
      <w:r>
        <w:separator/>
      </w:r>
    </w:p>
  </w:footnote>
  <w:footnote w:type="continuationSeparator" w:id="0">
    <w:p w:rsidR="00A93690" w:rsidRDefault="00A9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97D" w:rsidRDefault="000B58E9" w:rsidP="00272F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497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497D" w:rsidRDefault="0066497D" w:rsidP="003266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B09" w:rsidRDefault="00726859" w:rsidP="00B87B82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cs="標楷體"/>
        <w:color w:val="000000"/>
        <w:kern w:val="0"/>
        <w:sz w:val="36"/>
        <w:szCs w:val="36"/>
      </w:rPr>
    </w:pPr>
    <w:r>
      <w:rPr>
        <w:rFonts w:ascii="標楷體" w:eastAsia="標楷體" w:cs="標楷體" w:hint="eastAsia"/>
        <w:color w:val="000000"/>
        <w:kern w:val="0"/>
        <w:sz w:val="36"/>
        <w:szCs w:val="36"/>
      </w:rPr>
      <w:t>行政院農業委員會漁業署</w:t>
    </w:r>
    <w:r w:rsidR="009E7600" w:rsidRPr="009E7600">
      <w:rPr>
        <w:rFonts w:ascii="標楷體" w:eastAsia="標楷體" w:cs="標楷體" w:hint="eastAsia"/>
        <w:color w:val="000000"/>
        <w:kern w:val="0"/>
        <w:sz w:val="36"/>
        <w:szCs w:val="36"/>
      </w:rPr>
      <w:t>標準作業程序</w:t>
    </w:r>
  </w:p>
  <w:p w:rsidR="0066497D" w:rsidRDefault="00A93690" w:rsidP="00B87B82">
    <w:pPr>
      <w:pStyle w:val="a3"/>
      <w:widowControl/>
      <w:tabs>
        <w:tab w:val="right" w:pos="8647"/>
      </w:tabs>
      <w:overflowPunct w:val="0"/>
      <w:autoSpaceDE w:val="0"/>
      <w:autoSpaceDN w:val="0"/>
      <w:jc w:val="center"/>
      <w:textAlignment w:val="bottom"/>
      <w:rPr>
        <w:rFonts w:ascii="標楷體" w:eastAsia="標楷體" w:hAnsi="標楷體"/>
      </w:rPr>
    </w:pPr>
    <w:r>
      <w:rPr>
        <w:rFonts w:ascii="標楷體" w:eastAsia="標楷體" w:hAnsi="標楷體"/>
        <w:noProof/>
        <w:color w:val="000000"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296.25pt;margin-top:9.85pt;width:119.05pt;height:20.2pt;z-index:251658240;mso-height-percent:200;mso-height-percent:200;mso-width-relative:margin;mso-height-relative:margin" filled="f" stroked="f">
          <v:textbox style="mso-next-textbox:#_x0000_s2053;mso-fit-shape-to-text:t">
            <w:txbxContent>
              <w:p w:rsidR="00426A3A" w:rsidRPr="00426A3A" w:rsidRDefault="00426A3A" w:rsidP="00426A3A">
                <w:pPr>
                  <w:pStyle w:val="a3"/>
                  <w:widowControl/>
                  <w:tabs>
                    <w:tab w:val="right" w:pos="8647"/>
                  </w:tabs>
                  <w:wordWrap w:val="0"/>
                  <w:overflowPunct w:val="0"/>
                  <w:autoSpaceDE w:val="0"/>
                  <w:autoSpaceDN w:val="0"/>
                  <w:jc w:val="right"/>
                  <w:textAlignment w:val="bottom"/>
                  <w:rPr>
                    <w:rFonts w:ascii="標楷體" w:eastAsia="標楷體" w:hAnsi="標楷體"/>
                  </w:rPr>
                </w:pP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="000B58E9" w:rsidRPr="00426A3A">
                  <w:rPr>
                    <w:rFonts w:ascii="標楷體" w:eastAsia="標楷體" w:hAnsi="標楷體"/>
                  </w:rPr>
                  <w:fldChar w:fldCharType="begin"/>
                </w:r>
                <w:r w:rsidRPr="00426A3A">
                  <w:rPr>
                    <w:rFonts w:ascii="標楷體" w:eastAsia="標楷體" w:hAnsi="標楷體"/>
                  </w:rPr>
                  <w:instrText>PAGE</w:instrText>
                </w:r>
                <w:r w:rsidR="000B58E9" w:rsidRPr="00426A3A">
                  <w:rPr>
                    <w:rFonts w:ascii="標楷體" w:eastAsia="標楷體" w:hAnsi="標楷體"/>
                  </w:rPr>
                  <w:fldChar w:fldCharType="separate"/>
                </w:r>
                <w:r w:rsidR="00840E89">
                  <w:rPr>
                    <w:rFonts w:ascii="標楷體" w:eastAsia="標楷體" w:hAnsi="標楷體"/>
                    <w:noProof/>
                  </w:rPr>
                  <w:t>6</w:t>
                </w:r>
                <w:r w:rsidR="000B58E9" w:rsidRPr="00426A3A">
                  <w:rPr>
                    <w:rFonts w:ascii="標楷體" w:eastAsia="標楷體" w:hAnsi="標楷體"/>
                  </w:rPr>
                  <w:fldChar w:fldCharType="end"/>
                </w: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Pr="00426A3A">
                  <w:rPr>
                    <w:rFonts w:ascii="標楷體" w:eastAsia="標楷體" w:hAnsi="標楷體" w:hint="eastAsia"/>
                  </w:rPr>
                  <w:t>頁共</w:t>
                </w: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="00353C9D">
                  <w:rPr>
                    <w:rFonts w:ascii="標楷體" w:eastAsia="標楷體" w:hAnsi="標楷體" w:hint="eastAsia"/>
                  </w:rPr>
                  <w:t>6</w:t>
                </w:r>
                <w:r w:rsidRPr="00426A3A">
                  <w:rPr>
                    <w:rFonts w:ascii="標楷體" w:eastAsia="標楷體" w:hAnsi="標楷體"/>
                  </w:rPr>
                  <w:t xml:space="preserve"> </w:t>
                </w:r>
                <w:r w:rsidRPr="00426A3A">
                  <w:rPr>
                    <w:rFonts w:ascii="標楷體" w:eastAsia="標楷體" w:hAnsi="標楷體" w:hint="eastAsia"/>
                  </w:rPr>
                  <w:t>頁</w:t>
                </w:r>
              </w:p>
            </w:txbxContent>
          </v:textbox>
        </v:shape>
      </w:pict>
    </w:r>
    <w:r w:rsidR="002763D0" w:rsidRPr="00B14A99">
      <w:rPr>
        <w:rFonts w:ascii="標楷體" w:eastAsia="標楷體" w:hAnsi="標楷體" w:hint="eastAsia"/>
        <w:color w:val="000000"/>
        <w:sz w:val="36"/>
        <w:szCs w:val="36"/>
      </w:rPr>
      <w:t>工</w:t>
    </w:r>
    <w:r w:rsidR="00415847">
      <w:rPr>
        <w:rFonts w:ascii="標楷體" w:eastAsia="標楷體" w:hAnsi="標楷體" w:hint="eastAsia"/>
        <w:color w:val="000000"/>
        <w:sz w:val="36"/>
        <w:szCs w:val="36"/>
      </w:rPr>
      <w:t>程驗收</w:t>
    </w:r>
    <w:r w:rsidR="002763D0">
      <w:rPr>
        <w:rFonts w:ascii="標楷體" w:eastAsia="標楷體" w:hAnsi="標楷體" w:hint="eastAsia"/>
        <w:color w:val="000000"/>
        <w:sz w:val="36"/>
        <w:szCs w:val="36"/>
      </w:rPr>
      <w:t xml:space="preserve"> </w:t>
    </w:r>
    <w:r w:rsidR="0066497D">
      <w:rPr>
        <w:rFonts w:ascii="標楷體" w:eastAsia="標楷體" w:hAnsi="標楷體" w:hint="eastAsia"/>
        <w:color w:val="000000"/>
        <w:sz w:val="36"/>
        <w:szCs w:val="36"/>
      </w:rPr>
      <w:t>標準作業書</w:t>
    </w:r>
  </w:p>
  <w:p w:rsidR="0066497D" w:rsidRDefault="00A93690" w:rsidP="00326625">
    <w:pPr>
      <w:pStyle w:val="a3"/>
      <w:widowControl/>
      <w:tabs>
        <w:tab w:val="right" w:pos="8647"/>
      </w:tabs>
      <w:overflowPunct w:val="0"/>
      <w:autoSpaceDE w:val="0"/>
      <w:autoSpaceDN w:val="0"/>
      <w:jc w:val="right"/>
      <w:textAlignment w:val="bottom"/>
    </w:pPr>
    <w:r>
      <w:rPr>
        <w:noProof/>
      </w:rPr>
      <w:pict>
        <v:line id="_x0000_s2052" style="position:absolute;left:0;text-align:left;flip:x;z-index:251657216" from="0,10.95pt" to="393.25pt,10.95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6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14660E"/>
    <w:multiLevelType w:val="multilevel"/>
    <w:tmpl w:val="F61067DE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59"/>
        </w:tabs>
        <w:ind w:left="9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97"/>
        </w:tabs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5"/>
        </w:tabs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34"/>
        </w:tabs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73"/>
        </w:tabs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72"/>
        </w:tabs>
        <w:ind w:left="6472" w:hanging="2160"/>
      </w:pPr>
      <w:rPr>
        <w:rFonts w:hint="default"/>
      </w:rPr>
    </w:lvl>
  </w:abstractNum>
  <w:abstractNum w:abstractNumId="2" w15:restartNumberingAfterBreak="0">
    <w:nsid w:val="1DD10238"/>
    <w:multiLevelType w:val="hybridMultilevel"/>
    <w:tmpl w:val="1B722C7A"/>
    <w:lvl w:ilvl="0" w:tplc="3266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A852AC"/>
    <w:multiLevelType w:val="multilevel"/>
    <w:tmpl w:val="963C04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4" w15:restartNumberingAfterBreak="0">
    <w:nsid w:val="26860CA4"/>
    <w:multiLevelType w:val="multilevel"/>
    <w:tmpl w:val="564C3B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5" w15:restartNumberingAfterBreak="0">
    <w:nsid w:val="280D3888"/>
    <w:multiLevelType w:val="singleLevel"/>
    <w:tmpl w:val="DA2C4AC2"/>
    <w:lvl w:ilvl="0">
      <w:start w:val="1"/>
      <w:numFmt w:val="decimal"/>
      <w:lvlText w:val="6.%1 "/>
      <w:legacy w:legacy="1" w:legacySpace="0" w:legacyIndent="425"/>
      <w:lvlJc w:val="left"/>
      <w:pPr>
        <w:ind w:left="964" w:hanging="425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82848A1"/>
    <w:multiLevelType w:val="multilevel"/>
    <w:tmpl w:val="12744810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eastAsia"/>
      </w:rPr>
    </w:lvl>
  </w:abstractNum>
  <w:abstractNum w:abstractNumId="7" w15:restartNumberingAfterBreak="0">
    <w:nsid w:val="3AF75B1A"/>
    <w:multiLevelType w:val="hybridMultilevel"/>
    <w:tmpl w:val="5B7AAF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BF44E1"/>
    <w:multiLevelType w:val="hybridMultilevel"/>
    <w:tmpl w:val="144E5C62"/>
    <w:lvl w:ilvl="0" w:tplc="FB242356">
      <w:start w:val="1"/>
      <w:numFmt w:val="decimal"/>
      <w:lvlText w:val="（%1）"/>
      <w:lvlJc w:val="left"/>
      <w:pPr>
        <w:ind w:left="1914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9" w15:restartNumberingAfterBreak="0">
    <w:nsid w:val="42E80A40"/>
    <w:multiLevelType w:val="hybridMultilevel"/>
    <w:tmpl w:val="BD9A496E"/>
    <w:lvl w:ilvl="0" w:tplc="A99C5858">
      <w:start w:val="1"/>
      <w:numFmt w:val="decimal"/>
      <w:lvlText w:val="(%1.)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201A8E"/>
    <w:multiLevelType w:val="singleLevel"/>
    <w:tmpl w:val="E48EA762"/>
    <w:lvl w:ilvl="0">
      <w:start w:val="8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46224C81"/>
    <w:multiLevelType w:val="singleLevel"/>
    <w:tmpl w:val="4F1EC6DE"/>
    <w:lvl w:ilvl="0">
      <w:start w:val="1"/>
      <w:numFmt w:val="decimal"/>
      <w:lvlText w:val="5.%1"/>
      <w:legacy w:legacy="1" w:legacySpace="0" w:legacyIndent="425"/>
      <w:lvlJc w:val="left"/>
    </w:lvl>
  </w:abstractNum>
  <w:abstractNum w:abstractNumId="12" w15:restartNumberingAfterBreak="0">
    <w:nsid w:val="4BC34692"/>
    <w:multiLevelType w:val="multilevel"/>
    <w:tmpl w:val="82CA0E30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cs="Times New Roman"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標楷體" w:eastAsia="標楷體" w:hAnsi="標楷體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ascii="標楷體" w:eastAsia="標楷體" w:hAnsi="標楷體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E740313"/>
    <w:multiLevelType w:val="multilevel"/>
    <w:tmpl w:val="CEBEDDA8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."/>
      <w:lvlJc w:val="left"/>
      <w:pPr>
        <w:ind w:left="1021" w:hanging="596"/>
      </w:pPr>
      <w:rPr>
        <w:rFonts w:ascii="標楷體" w:eastAsia="標楷體" w:hAnsi="標楷體" w:hint="eastAsia"/>
        <w:sz w:val="28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ascii="標楷體" w:eastAsia="標楷體" w:hAnsi="標楷體" w:hint="eastAsia"/>
        <w:sz w:val="28"/>
      </w:rPr>
    </w:lvl>
    <w:lvl w:ilvl="3">
      <w:start w:val="1"/>
      <w:numFmt w:val="decimal"/>
      <w:lvlText w:val="%1.%2.%3.%4."/>
      <w:lvlJc w:val="left"/>
      <w:pPr>
        <w:ind w:left="2495" w:hanging="1219"/>
      </w:pPr>
      <w:rPr>
        <w:rFonts w:ascii="標楷體" w:eastAsia="標楷體" w:hAnsi="標楷體" w:hint="eastAsia"/>
        <w:sz w:val="28"/>
      </w:rPr>
    </w:lvl>
    <w:lvl w:ilvl="4">
      <w:start w:val="1"/>
      <w:numFmt w:val="decimal"/>
      <w:lvlText w:val="%1.%2.%3.%4.%5."/>
      <w:lvlJc w:val="left"/>
      <w:pPr>
        <w:ind w:left="3459" w:hanging="1758"/>
      </w:pPr>
      <w:rPr>
        <w:rFonts w:ascii="標楷體" w:eastAsia="標楷體" w:hAnsi="標楷體" w:hint="eastAsia"/>
        <w:sz w:val="2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2DE5DA9"/>
    <w:multiLevelType w:val="multilevel"/>
    <w:tmpl w:val="1192558A"/>
    <w:lvl w:ilvl="0">
      <w:start w:val="1"/>
      <w:numFmt w:val="decimal"/>
      <w:lvlText w:val="%1."/>
      <w:lvlJc w:val="left"/>
      <w:pPr>
        <w:ind w:left="425" w:hanging="425"/>
      </w:pPr>
      <w:rPr>
        <w:rFonts w:ascii="標楷體" w:eastAsia="標楷體" w:hAnsi="標楷體" w:hint="eastAsia"/>
        <w:sz w:val="28"/>
      </w:rPr>
    </w:lvl>
    <w:lvl w:ilvl="1">
      <w:start w:val="1"/>
      <w:numFmt w:val="decimal"/>
      <w:lvlText w:val="%1.%2"/>
      <w:lvlJc w:val="left"/>
      <w:pPr>
        <w:ind w:left="1134" w:hanging="709"/>
      </w:pPr>
      <w:rPr>
        <w:rFonts w:hint="eastAsia"/>
        <w:strike w:val="0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trike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trike w:val="0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3180671"/>
    <w:multiLevelType w:val="singleLevel"/>
    <w:tmpl w:val="7C74E444"/>
    <w:lvl w:ilvl="0">
      <w:start w:val="1"/>
      <w:numFmt w:val="decimal"/>
      <w:lvlText w:val="3.%1"/>
      <w:legacy w:legacy="1" w:legacySpace="0" w:legacyIndent="425"/>
      <w:lvlJc w:val="left"/>
    </w:lvl>
  </w:abstractNum>
  <w:abstractNum w:abstractNumId="16" w15:restartNumberingAfterBreak="0">
    <w:nsid w:val="5C491449"/>
    <w:multiLevelType w:val="multilevel"/>
    <w:tmpl w:val="D73002D6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7" w15:restartNumberingAfterBreak="0">
    <w:nsid w:val="6C6953D9"/>
    <w:multiLevelType w:val="multilevel"/>
    <w:tmpl w:val="FE1E48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18" w15:restartNumberingAfterBreak="0">
    <w:nsid w:val="71F50A3B"/>
    <w:multiLevelType w:val="singleLevel"/>
    <w:tmpl w:val="63AAF2F0"/>
    <w:lvl w:ilvl="0">
      <w:start w:val="1"/>
      <w:numFmt w:val="decimal"/>
      <w:lvlText w:val="3.%1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7AD33E66"/>
    <w:multiLevelType w:val="singleLevel"/>
    <w:tmpl w:val="FC504E8C"/>
    <w:lvl w:ilvl="0">
      <w:start w:val="1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18"/>
    <w:lvlOverride w:ilvl="0">
      <w:lvl w:ilvl="0">
        <w:start w:val="3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8"/>
    <w:lvlOverride w:ilvl="0">
      <w:lvl w:ilvl="0">
        <w:start w:val="6"/>
        <w:numFmt w:val="decimal"/>
        <w:lvlText w:val="3.%1 "/>
        <w:legacy w:legacy="1" w:legacySpace="0" w:legacyIndent="425"/>
        <w:lvlJc w:val="left"/>
        <w:pPr>
          <w:ind w:left="96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6"/>
  </w:num>
  <w:num w:numId="10">
    <w:abstractNumId w:val="1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7"/>
  </w:num>
  <w:num w:numId="16">
    <w:abstractNumId w:val="0"/>
  </w:num>
  <w:num w:numId="17">
    <w:abstractNumId w:val="2"/>
  </w:num>
  <w:num w:numId="18">
    <w:abstractNumId w:val="14"/>
  </w:num>
  <w:num w:numId="19">
    <w:abstractNumId w:val="13"/>
  </w:num>
  <w:num w:numId="20">
    <w:abstractNumId w:val="9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566"/>
    <w:rsid w:val="00001053"/>
    <w:rsid w:val="00033C8C"/>
    <w:rsid w:val="0004246E"/>
    <w:rsid w:val="00046508"/>
    <w:rsid w:val="00056E03"/>
    <w:rsid w:val="0007025A"/>
    <w:rsid w:val="00081C78"/>
    <w:rsid w:val="000857AA"/>
    <w:rsid w:val="00087407"/>
    <w:rsid w:val="00087E92"/>
    <w:rsid w:val="00090FA8"/>
    <w:rsid w:val="00096351"/>
    <w:rsid w:val="000A2308"/>
    <w:rsid w:val="000A55A2"/>
    <w:rsid w:val="000A63C2"/>
    <w:rsid w:val="000B1A80"/>
    <w:rsid w:val="000B25D0"/>
    <w:rsid w:val="000B5739"/>
    <w:rsid w:val="000B58E9"/>
    <w:rsid w:val="000C3F76"/>
    <w:rsid w:val="000D0180"/>
    <w:rsid w:val="000D7E24"/>
    <w:rsid w:val="001043E1"/>
    <w:rsid w:val="0010790E"/>
    <w:rsid w:val="00130805"/>
    <w:rsid w:val="00132167"/>
    <w:rsid w:val="00132EA8"/>
    <w:rsid w:val="0013517A"/>
    <w:rsid w:val="00155574"/>
    <w:rsid w:val="001813B6"/>
    <w:rsid w:val="001874CF"/>
    <w:rsid w:val="00191A56"/>
    <w:rsid w:val="001A7F89"/>
    <w:rsid w:val="001B7821"/>
    <w:rsid w:val="001C5652"/>
    <w:rsid w:val="001C69AB"/>
    <w:rsid w:val="001C7DEB"/>
    <w:rsid w:val="001D3843"/>
    <w:rsid w:val="001E7B09"/>
    <w:rsid w:val="001F47D5"/>
    <w:rsid w:val="00227A6A"/>
    <w:rsid w:val="00240370"/>
    <w:rsid w:val="002609D5"/>
    <w:rsid w:val="002615E1"/>
    <w:rsid w:val="002666E5"/>
    <w:rsid w:val="0027204B"/>
    <w:rsid w:val="00272F43"/>
    <w:rsid w:val="00273449"/>
    <w:rsid w:val="002763D0"/>
    <w:rsid w:val="00293767"/>
    <w:rsid w:val="00293B7C"/>
    <w:rsid w:val="00296FA1"/>
    <w:rsid w:val="002A3CA4"/>
    <w:rsid w:val="002B28FF"/>
    <w:rsid w:val="002B482D"/>
    <w:rsid w:val="002D73C7"/>
    <w:rsid w:val="002E17B3"/>
    <w:rsid w:val="002E44B9"/>
    <w:rsid w:val="002F25C6"/>
    <w:rsid w:val="002F2671"/>
    <w:rsid w:val="002F26A9"/>
    <w:rsid w:val="002F6517"/>
    <w:rsid w:val="00301775"/>
    <w:rsid w:val="0030747E"/>
    <w:rsid w:val="003078D0"/>
    <w:rsid w:val="00325B13"/>
    <w:rsid w:val="00326625"/>
    <w:rsid w:val="00327323"/>
    <w:rsid w:val="00345AE3"/>
    <w:rsid w:val="00350921"/>
    <w:rsid w:val="00353C9D"/>
    <w:rsid w:val="00356AE1"/>
    <w:rsid w:val="00356E0C"/>
    <w:rsid w:val="00360FE5"/>
    <w:rsid w:val="003911FA"/>
    <w:rsid w:val="00393E21"/>
    <w:rsid w:val="00397DF6"/>
    <w:rsid w:val="003A06EB"/>
    <w:rsid w:val="003A3FF8"/>
    <w:rsid w:val="003A5EC4"/>
    <w:rsid w:val="003A6276"/>
    <w:rsid w:val="003B5EB2"/>
    <w:rsid w:val="003C6842"/>
    <w:rsid w:val="003C780F"/>
    <w:rsid w:val="003D4702"/>
    <w:rsid w:val="003E0C49"/>
    <w:rsid w:val="003E105A"/>
    <w:rsid w:val="003F75D2"/>
    <w:rsid w:val="00401A61"/>
    <w:rsid w:val="004041A9"/>
    <w:rsid w:val="00405FA8"/>
    <w:rsid w:val="00406B9F"/>
    <w:rsid w:val="00410A61"/>
    <w:rsid w:val="0041171E"/>
    <w:rsid w:val="004144F1"/>
    <w:rsid w:val="00415847"/>
    <w:rsid w:val="00426A3A"/>
    <w:rsid w:val="0043350C"/>
    <w:rsid w:val="0043694E"/>
    <w:rsid w:val="0044142C"/>
    <w:rsid w:val="00457553"/>
    <w:rsid w:val="00471A0A"/>
    <w:rsid w:val="00471F8C"/>
    <w:rsid w:val="00474B36"/>
    <w:rsid w:val="00475E05"/>
    <w:rsid w:val="00481291"/>
    <w:rsid w:val="00494288"/>
    <w:rsid w:val="004C41C5"/>
    <w:rsid w:val="004C5CDF"/>
    <w:rsid w:val="00511EE2"/>
    <w:rsid w:val="00535AB8"/>
    <w:rsid w:val="005450A2"/>
    <w:rsid w:val="00545AE2"/>
    <w:rsid w:val="00547E2A"/>
    <w:rsid w:val="005505CC"/>
    <w:rsid w:val="00551DD0"/>
    <w:rsid w:val="00552E00"/>
    <w:rsid w:val="00554422"/>
    <w:rsid w:val="00557884"/>
    <w:rsid w:val="00572655"/>
    <w:rsid w:val="005811E4"/>
    <w:rsid w:val="00586AD6"/>
    <w:rsid w:val="00591428"/>
    <w:rsid w:val="00592F3A"/>
    <w:rsid w:val="005A42A2"/>
    <w:rsid w:val="005A6B6A"/>
    <w:rsid w:val="005B13EB"/>
    <w:rsid w:val="005B5416"/>
    <w:rsid w:val="005D1F3E"/>
    <w:rsid w:val="005E6D18"/>
    <w:rsid w:val="005F4231"/>
    <w:rsid w:val="005F43CF"/>
    <w:rsid w:val="00603775"/>
    <w:rsid w:val="00607A69"/>
    <w:rsid w:val="0061292E"/>
    <w:rsid w:val="00614C1E"/>
    <w:rsid w:val="00622B54"/>
    <w:rsid w:val="006273F5"/>
    <w:rsid w:val="00641309"/>
    <w:rsid w:val="00644492"/>
    <w:rsid w:val="00650150"/>
    <w:rsid w:val="00651BCD"/>
    <w:rsid w:val="006574C5"/>
    <w:rsid w:val="00660D8F"/>
    <w:rsid w:val="00661EE5"/>
    <w:rsid w:val="0066497D"/>
    <w:rsid w:val="006872F9"/>
    <w:rsid w:val="006B2BAF"/>
    <w:rsid w:val="006D1BDA"/>
    <w:rsid w:val="006D50C2"/>
    <w:rsid w:val="006D795D"/>
    <w:rsid w:val="006E2564"/>
    <w:rsid w:val="006E3E88"/>
    <w:rsid w:val="006E75EE"/>
    <w:rsid w:val="006F488B"/>
    <w:rsid w:val="006F655E"/>
    <w:rsid w:val="00701F6A"/>
    <w:rsid w:val="007079E1"/>
    <w:rsid w:val="00726859"/>
    <w:rsid w:val="007272EF"/>
    <w:rsid w:val="0073631E"/>
    <w:rsid w:val="0075320D"/>
    <w:rsid w:val="0076703E"/>
    <w:rsid w:val="0077231D"/>
    <w:rsid w:val="007806E5"/>
    <w:rsid w:val="00797E94"/>
    <w:rsid w:val="007C1EBB"/>
    <w:rsid w:val="007C33CE"/>
    <w:rsid w:val="007C3847"/>
    <w:rsid w:val="007E4762"/>
    <w:rsid w:val="007E5BFF"/>
    <w:rsid w:val="007F2600"/>
    <w:rsid w:val="007F6A92"/>
    <w:rsid w:val="00804A85"/>
    <w:rsid w:val="00806650"/>
    <w:rsid w:val="008073A4"/>
    <w:rsid w:val="00816A65"/>
    <w:rsid w:val="00831536"/>
    <w:rsid w:val="00832AD1"/>
    <w:rsid w:val="00840E89"/>
    <w:rsid w:val="00844001"/>
    <w:rsid w:val="0086251F"/>
    <w:rsid w:val="008655B3"/>
    <w:rsid w:val="008802D9"/>
    <w:rsid w:val="00881CEE"/>
    <w:rsid w:val="00891D82"/>
    <w:rsid w:val="008954D2"/>
    <w:rsid w:val="00896438"/>
    <w:rsid w:val="008A0C46"/>
    <w:rsid w:val="008A48A6"/>
    <w:rsid w:val="008A4E09"/>
    <w:rsid w:val="008B050E"/>
    <w:rsid w:val="008B77EA"/>
    <w:rsid w:val="008C392A"/>
    <w:rsid w:val="008C76A5"/>
    <w:rsid w:val="008D148C"/>
    <w:rsid w:val="008E246F"/>
    <w:rsid w:val="008F29B6"/>
    <w:rsid w:val="009033F6"/>
    <w:rsid w:val="009047C0"/>
    <w:rsid w:val="00906DEE"/>
    <w:rsid w:val="00907F7F"/>
    <w:rsid w:val="009128C5"/>
    <w:rsid w:val="00912966"/>
    <w:rsid w:val="00914A8C"/>
    <w:rsid w:val="00915405"/>
    <w:rsid w:val="00921C7D"/>
    <w:rsid w:val="009243D0"/>
    <w:rsid w:val="00934B45"/>
    <w:rsid w:val="0093656E"/>
    <w:rsid w:val="00950BD2"/>
    <w:rsid w:val="009638CA"/>
    <w:rsid w:val="009966F2"/>
    <w:rsid w:val="00996D44"/>
    <w:rsid w:val="009A1626"/>
    <w:rsid w:val="009A4C36"/>
    <w:rsid w:val="009B1E43"/>
    <w:rsid w:val="009B3DC5"/>
    <w:rsid w:val="009B701D"/>
    <w:rsid w:val="009C1D6C"/>
    <w:rsid w:val="009E1BAB"/>
    <w:rsid w:val="009E7600"/>
    <w:rsid w:val="009F74B6"/>
    <w:rsid w:val="009F79F8"/>
    <w:rsid w:val="009F7F53"/>
    <w:rsid w:val="00A01003"/>
    <w:rsid w:val="00A01A05"/>
    <w:rsid w:val="00A04F16"/>
    <w:rsid w:val="00A06484"/>
    <w:rsid w:val="00A26A22"/>
    <w:rsid w:val="00A351A9"/>
    <w:rsid w:val="00A456E1"/>
    <w:rsid w:val="00A46B11"/>
    <w:rsid w:val="00A608A5"/>
    <w:rsid w:val="00A82EA5"/>
    <w:rsid w:val="00A875EB"/>
    <w:rsid w:val="00A91D16"/>
    <w:rsid w:val="00A93690"/>
    <w:rsid w:val="00A94012"/>
    <w:rsid w:val="00A96585"/>
    <w:rsid w:val="00AB0FFB"/>
    <w:rsid w:val="00AB1968"/>
    <w:rsid w:val="00AB6020"/>
    <w:rsid w:val="00AD0080"/>
    <w:rsid w:val="00AD25D7"/>
    <w:rsid w:val="00AD646D"/>
    <w:rsid w:val="00AD6499"/>
    <w:rsid w:val="00AE0D6E"/>
    <w:rsid w:val="00AF0445"/>
    <w:rsid w:val="00AF1EBC"/>
    <w:rsid w:val="00B102E9"/>
    <w:rsid w:val="00B21EA5"/>
    <w:rsid w:val="00B21FFB"/>
    <w:rsid w:val="00B316FB"/>
    <w:rsid w:val="00B42959"/>
    <w:rsid w:val="00B43E4F"/>
    <w:rsid w:val="00B45E7D"/>
    <w:rsid w:val="00B76D29"/>
    <w:rsid w:val="00B7752A"/>
    <w:rsid w:val="00B801E5"/>
    <w:rsid w:val="00B87B82"/>
    <w:rsid w:val="00B9320F"/>
    <w:rsid w:val="00BB128C"/>
    <w:rsid w:val="00BB6DD0"/>
    <w:rsid w:val="00BC20FE"/>
    <w:rsid w:val="00BC5AF1"/>
    <w:rsid w:val="00BD349B"/>
    <w:rsid w:val="00BD6FEF"/>
    <w:rsid w:val="00BE12CB"/>
    <w:rsid w:val="00BF4F09"/>
    <w:rsid w:val="00C03724"/>
    <w:rsid w:val="00C05671"/>
    <w:rsid w:val="00C07948"/>
    <w:rsid w:val="00C150A2"/>
    <w:rsid w:val="00C15DCF"/>
    <w:rsid w:val="00C20D6C"/>
    <w:rsid w:val="00C40FFF"/>
    <w:rsid w:val="00C4741D"/>
    <w:rsid w:val="00C62C4C"/>
    <w:rsid w:val="00C6401C"/>
    <w:rsid w:val="00C73DAC"/>
    <w:rsid w:val="00C7695E"/>
    <w:rsid w:val="00C773FD"/>
    <w:rsid w:val="00CA1769"/>
    <w:rsid w:val="00CA3410"/>
    <w:rsid w:val="00CC4E62"/>
    <w:rsid w:val="00CC7B38"/>
    <w:rsid w:val="00CE4359"/>
    <w:rsid w:val="00CE612C"/>
    <w:rsid w:val="00CF2001"/>
    <w:rsid w:val="00D026D3"/>
    <w:rsid w:val="00D14AE8"/>
    <w:rsid w:val="00D2014D"/>
    <w:rsid w:val="00D206EC"/>
    <w:rsid w:val="00D2649B"/>
    <w:rsid w:val="00D40CFA"/>
    <w:rsid w:val="00D459AA"/>
    <w:rsid w:val="00D46CFB"/>
    <w:rsid w:val="00D46F44"/>
    <w:rsid w:val="00D55E49"/>
    <w:rsid w:val="00D56F7C"/>
    <w:rsid w:val="00D62958"/>
    <w:rsid w:val="00D66DFB"/>
    <w:rsid w:val="00D67327"/>
    <w:rsid w:val="00D76C60"/>
    <w:rsid w:val="00D82B57"/>
    <w:rsid w:val="00D90EC6"/>
    <w:rsid w:val="00D91456"/>
    <w:rsid w:val="00D93C4A"/>
    <w:rsid w:val="00DC0311"/>
    <w:rsid w:val="00DC1A0C"/>
    <w:rsid w:val="00DC2398"/>
    <w:rsid w:val="00DC2A1C"/>
    <w:rsid w:val="00DC670F"/>
    <w:rsid w:val="00DD41FE"/>
    <w:rsid w:val="00E0022D"/>
    <w:rsid w:val="00E021B4"/>
    <w:rsid w:val="00E05566"/>
    <w:rsid w:val="00E10F17"/>
    <w:rsid w:val="00E207B9"/>
    <w:rsid w:val="00E26571"/>
    <w:rsid w:val="00E30166"/>
    <w:rsid w:val="00E43D52"/>
    <w:rsid w:val="00E44F4A"/>
    <w:rsid w:val="00E5175C"/>
    <w:rsid w:val="00E55A81"/>
    <w:rsid w:val="00E71D7A"/>
    <w:rsid w:val="00E7676C"/>
    <w:rsid w:val="00E87121"/>
    <w:rsid w:val="00E91931"/>
    <w:rsid w:val="00E920E1"/>
    <w:rsid w:val="00EA3AB7"/>
    <w:rsid w:val="00EA3EF9"/>
    <w:rsid w:val="00EA462D"/>
    <w:rsid w:val="00EA6491"/>
    <w:rsid w:val="00EB1657"/>
    <w:rsid w:val="00EB1F2B"/>
    <w:rsid w:val="00EB23F2"/>
    <w:rsid w:val="00EB6A96"/>
    <w:rsid w:val="00EC1536"/>
    <w:rsid w:val="00EF7863"/>
    <w:rsid w:val="00EF78BC"/>
    <w:rsid w:val="00F0064D"/>
    <w:rsid w:val="00F00C18"/>
    <w:rsid w:val="00F02D20"/>
    <w:rsid w:val="00F04F2B"/>
    <w:rsid w:val="00F062D9"/>
    <w:rsid w:val="00F103EE"/>
    <w:rsid w:val="00F13D70"/>
    <w:rsid w:val="00F2381F"/>
    <w:rsid w:val="00F243C7"/>
    <w:rsid w:val="00F305B0"/>
    <w:rsid w:val="00F305E9"/>
    <w:rsid w:val="00F34A6D"/>
    <w:rsid w:val="00F37325"/>
    <w:rsid w:val="00F406DA"/>
    <w:rsid w:val="00F42720"/>
    <w:rsid w:val="00F44899"/>
    <w:rsid w:val="00F459AD"/>
    <w:rsid w:val="00F52498"/>
    <w:rsid w:val="00F55D32"/>
    <w:rsid w:val="00F606C6"/>
    <w:rsid w:val="00F61654"/>
    <w:rsid w:val="00F62275"/>
    <w:rsid w:val="00FA198D"/>
    <w:rsid w:val="00FA4BE3"/>
    <w:rsid w:val="00FB4D68"/>
    <w:rsid w:val="00FC42A0"/>
    <w:rsid w:val="00FE5727"/>
    <w:rsid w:val="00FE6108"/>
    <w:rsid w:val="00FF1DB6"/>
    <w:rsid w:val="00FF499C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5CA511D2"/>
  <w15:docId w15:val="{3B77691B-E668-4373-920B-4A8CBA7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8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326625"/>
  </w:style>
  <w:style w:type="paragraph" w:styleId="a6">
    <w:name w:val="footer"/>
    <w:basedOn w:val="a"/>
    <w:rsid w:val="00326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Normal Indent"/>
    <w:basedOn w:val="a"/>
    <w:rsid w:val="00326625"/>
    <w:pPr>
      <w:ind w:left="480"/>
    </w:pPr>
    <w:rPr>
      <w:szCs w:val="20"/>
    </w:rPr>
  </w:style>
  <w:style w:type="paragraph" w:customStyle="1" w:styleId="SOP">
    <w:name w:val="SOP內文"/>
    <w:rsid w:val="00326625"/>
    <w:pPr>
      <w:widowControl w:val="0"/>
      <w:adjustRightInd w:val="0"/>
      <w:spacing w:before="240" w:line="360" w:lineRule="atLeast"/>
      <w:jc w:val="both"/>
      <w:textAlignment w:val="baseline"/>
    </w:pPr>
    <w:rPr>
      <w:rFonts w:ascii="華康中黑體" w:eastAsia="華康中黑體"/>
      <w:sz w:val="24"/>
    </w:rPr>
  </w:style>
  <w:style w:type="paragraph" w:customStyle="1" w:styleId="1">
    <w:name w:val="1.標題"/>
    <w:basedOn w:val="a"/>
    <w:rsid w:val="00326625"/>
    <w:pPr>
      <w:adjustRightInd w:val="0"/>
      <w:spacing w:before="120" w:after="120" w:line="360" w:lineRule="atLeast"/>
      <w:ind w:firstLine="180"/>
      <w:textAlignment w:val="baseline"/>
    </w:pPr>
    <w:rPr>
      <w:b/>
      <w:kern w:val="0"/>
      <w:szCs w:val="20"/>
    </w:rPr>
  </w:style>
  <w:style w:type="paragraph" w:customStyle="1" w:styleId="10">
    <w:name w:val="1內文"/>
    <w:basedOn w:val="a"/>
    <w:rsid w:val="00326625"/>
    <w:pPr>
      <w:adjustRightInd w:val="0"/>
      <w:spacing w:line="360" w:lineRule="atLeast"/>
      <w:ind w:left="964" w:right="412" w:hanging="425"/>
      <w:jc w:val="both"/>
      <w:textAlignment w:val="baseline"/>
    </w:pPr>
    <w:rPr>
      <w:kern w:val="0"/>
      <w:szCs w:val="20"/>
    </w:rPr>
  </w:style>
  <w:style w:type="paragraph" w:customStyle="1" w:styleId="SOP2">
    <w:name w:val="SOP目2"/>
    <w:basedOn w:val="SOP"/>
    <w:rsid w:val="00326625"/>
    <w:pPr>
      <w:tabs>
        <w:tab w:val="left" w:pos="1260"/>
      </w:tabs>
      <w:ind w:left="540"/>
    </w:pPr>
    <w:rPr>
      <w:sz w:val="20"/>
    </w:rPr>
  </w:style>
  <w:style w:type="paragraph" w:customStyle="1" w:styleId="SOP20">
    <w:name w:val="SOP文2"/>
    <w:basedOn w:val="SOP"/>
    <w:rsid w:val="00326625"/>
    <w:pPr>
      <w:ind w:left="1260"/>
    </w:pPr>
    <w:rPr>
      <w:rFonts w:ascii="細明體" w:eastAsia="細明體"/>
      <w:sz w:val="20"/>
    </w:rPr>
  </w:style>
  <w:style w:type="paragraph" w:customStyle="1" w:styleId="11">
    <w:name w:val="1.1內文"/>
    <w:basedOn w:val="a"/>
    <w:rsid w:val="00326625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  <w:szCs w:val="20"/>
    </w:rPr>
  </w:style>
  <w:style w:type="table" w:styleId="a8">
    <w:name w:val="Table Grid"/>
    <w:basedOn w:val="a1"/>
    <w:rsid w:val="00326625"/>
    <w:pPr>
      <w:widowControl w:val="0"/>
    </w:pPr>
    <w:rPr>
      <w:rFonts w:eastAsia="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1.0"/>
    <w:basedOn w:val="a"/>
    <w:rsid w:val="00E26571"/>
    <w:pPr>
      <w:tabs>
        <w:tab w:val="left" w:pos="482"/>
      </w:tabs>
      <w:adjustRightInd w:val="0"/>
      <w:spacing w:before="480" w:after="240" w:line="0" w:lineRule="atLeast"/>
      <w:ind w:left="480" w:right="335" w:hanging="480"/>
      <w:textAlignment w:val="baseline"/>
    </w:pPr>
    <w:rPr>
      <w:rFonts w:eastAsia="細明體"/>
      <w:kern w:val="0"/>
      <w:szCs w:val="20"/>
    </w:rPr>
  </w:style>
  <w:style w:type="paragraph" w:customStyle="1" w:styleId="101">
    <w:name w:val="1.0內文"/>
    <w:basedOn w:val="a"/>
    <w:rsid w:val="00E26571"/>
    <w:pPr>
      <w:adjustRightInd w:val="0"/>
      <w:spacing w:line="360" w:lineRule="atLeast"/>
      <w:ind w:left="480"/>
      <w:jc w:val="both"/>
      <w:textAlignment w:val="baseline"/>
    </w:pPr>
    <w:rPr>
      <w:rFonts w:eastAsia="細明體"/>
      <w:kern w:val="0"/>
      <w:szCs w:val="20"/>
    </w:rPr>
  </w:style>
  <w:style w:type="paragraph" w:customStyle="1" w:styleId="110">
    <w:name w:val="1.1標題"/>
    <w:basedOn w:val="a"/>
    <w:rsid w:val="00E26571"/>
    <w:pPr>
      <w:adjustRightInd w:val="0"/>
      <w:spacing w:before="60" w:after="60" w:line="360" w:lineRule="atLeast"/>
      <w:ind w:left="1049" w:right="391" w:hanging="510"/>
      <w:jc w:val="both"/>
      <w:textAlignment w:val="baseline"/>
    </w:pPr>
    <w:rPr>
      <w:kern w:val="0"/>
      <w:szCs w:val="20"/>
    </w:rPr>
  </w:style>
  <w:style w:type="character" w:styleId="a9">
    <w:name w:val="Hyperlink"/>
    <w:rsid w:val="00E26571"/>
    <w:rPr>
      <w:color w:val="0000FF"/>
      <w:u w:val="single"/>
    </w:rPr>
  </w:style>
  <w:style w:type="paragraph" w:styleId="aa">
    <w:name w:val="Body Text Indent"/>
    <w:basedOn w:val="a"/>
    <w:rsid w:val="00F2381F"/>
    <w:pPr>
      <w:ind w:leftChars="225" w:left="542" w:hanging="2"/>
      <w:jc w:val="both"/>
    </w:pPr>
    <w:rPr>
      <w:rFonts w:eastAsia="標楷體"/>
      <w:sz w:val="32"/>
    </w:rPr>
  </w:style>
  <w:style w:type="paragraph" w:customStyle="1" w:styleId="SOP1">
    <w:name w:val="SOP目1"/>
    <w:basedOn w:val="SOP"/>
    <w:next w:val="SOP10"/>
    <w:rsid w:val="007E5BFF"/>
    <w:pPr>
      <w:pBdr>
        <w:top w:val="single" w:sz="6" w:space="1" w:color="auto"/>
      </w:pBdr>
      <w:tabs>
        <w:tab w:val="left" w:pos="540"/>
      </w:tabs>
    </w:pPr>
    <w:rPr>
      <w:rFonts w:ascii="Times New Roman"/>
      <w:sz w:val="20"/>
    </w:rPr>
  </w:style>
  <w:style w:type="paragraph" w:customStyle="1" w:styleId="SOP10">
    <w:name w:val="SOP文1"/>
    <w:basedOn w:val="SOP"/>
    <w:rsid w:val="007E5BFF"/>
    <w:pPr>
      <w:ind w:left="540"/>
    </w:pPr>
    <w:rPr>
      <w:rFonts w:ascii="細明體" w:eastAsia="細明體"/>
      <w:sz w:val="20"/>
    </w:rPr>
  </w:style>
  <w:style w:type="paragraph" w:customStyle="1" w:styleId="32">
    <w:name w:val="3.2"/>
    <w:basedOn w:val="a"/>
    <w:rsid w:val="007E5BFF"/>
    <w:pPr>
      <w:tabs>
        <w:tab w:val="left" w:pos="480"/>
        <w:tab w:val="left" w:pos="960"/>
        <w:tab w:val="left" w:pos="7200"/>
      </w:tabs>
      <w:adjustRightInd w:val="0"/>
      <w:spacing w:line="360" w:lineRule="atLeast"/>
      <w:ind w:left="964" w:hanging="482"/>
      <w:textAlignment w:val="baseline"/>
    </w:pPr>
    <w:rPr>
      <w:rFonts w:eastAsia="細明體"/>
      <w:kern w:val="0"/>
      <w:szCs w:val="20"/>
    </w:rPr>
  </w:style>
  <w:style w:type="paragraph" w:customStyle="1" w:styleId="10X">
    <w:name w:val="1.0X"/>
    <w:basedOn w:val="a"/>
    <w:rsid w:val="007E5BFF"/>
    <w:pPr>
      <w:tabs>
        <w:tab w:val="left" w:pos="480"/>
        <w:tab w:val="left" w:pos="7200"/>
      </w:tabs>
      <w:adjustRightInd w:val="0"/>
      <w:spacing w:line="360" w:lineRule="atLeast"/>
      <w:ind w:left="482" w:hanging="482"/>
      <w:textAlignment w:val="baseline"/>
    </w:pPr>
    <w:rPr>
      <w:rFonts w:eastAsia="細明體"/>
      <w:kern w:val="0"/>
      <w:szCs w:val="20"/>
    </w:rPr>
  </w:style>
  <w:style w:type="paragraph" w:customStyle="1" w:styleId="320">
    <w:name w:val="3.2ｘ"/>
    <w:basedOn w:val="32"/>
    <w:rsid w:val="007E5BFF"/>
    <w:pPr>
      <w:tabs>
        <w:tab w:val="clear" w:pos="960"/>
      </w:tabs>
      <w:ind w:left="960" w:firstLine="0"/>
    </w:pPr>
  </w:style>
  <w:style w:type="paragraph" w:customStyle="1" w:styleId="322">
    <w:name w:val="3.2.2"/>
    <w:basedOn w:val="a"/>
    <w:rsid w:val="007E5BFF"/>
    <w:pPr>
      <w:tabs>
        <w:tab w:val="left" w:pos="7200"/>
      </w:tabs>
      <w:adjustRightInd w:val="0"/>
      <w:spacing w:line="360" w:lineRule="atLeast"/>
      <w:ind w:left="1560" w:hanging="600"/>
      <w:textAlignment w:val="baseline"/>
    </w:pPr>
    <w:rPr>
      <w:rFonts w:eastAsia="細明體"/>
      <w:kern w:val="0"/>
      <w:szCs w:val="20"/>
    </w:rPr>
  </w:style>
  <w:style w:type="character" w:customStyle="1" w:styleId="a4">
    <w:name w:val="頁首 字元"/>
    <w:basedOn w:val="a0"/>
    <w:link w:val="a3"/>
    <w:rsid w:val="00426A3A"/>
    <w:rPr>
      <w:kern w:val="2"/>
    </w:rPr>
  </w:style>
  <w:style w:type="paragraph" w:styleId="ab">
    <w:name w:val="Salutation"/>
    <w:basedOn w:val="a"/>
    <w:next w:val="a"/>
    <w:link w:val="ac"/>
    <w:rsid w:val="00FE5727"/>
    <w:rPr>
      <w:rFonts w:ascii="標楷體" w:eastAsia="標楷體" w:hAnsi="標楷體"/>
      <w:color w:val="000000"/>
      <w:sz w:val="28"/>
      <w:szCs w:val="28"/>
    </w:rPr>
  </w:style>
  <w:style w:type="character" w:customStyle="1" w:styleId="ac">
    <w:name w:val="問候 字元"/>
    <w:basedOn w:val="a0"/>
    <w:link w:val="ab"/>
    <w:rsid w:val="00FE5727"/>
    <w:rPr>
      <w:rFonts w:ascii="標楷體" w:eastAsia="標楷體" w:hAnsi="標楷體"/>
      <w:color w:val="000000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8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087E92"/>
    <w:rPr>
      <w:rFonts w:ascii="細明體" w:eastAsia="細明體" w:hAnsi="細明體" w:cs="細明體"/>
      <w:sz w:val="24"/>
      <w:szCs w:val="24"/>
    </w:rPr>
  </w:style>
  <w:style w:type="paragraph" w:styleId="ad">
    <w:name w:val="caption"/>
    <w:basedOn w:val="a"/>
    <w:next w:val="a"/>
    <w:unhideWhenUsed/>
    <w:qFormat/>
    <w:rsid w:val="0043350C"/>
    <w:rPr>
      <w:rFonts w:eastAsia="標楷體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98A4D-3E61-47CE-A0B2-2159FE1E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350</Words>
  <Characters>1999</Characters>
  <Application>Microsoft Office Word</Application>
  <DocSecurity>0</DocSecurity>
  <Lines>16</Lines>
  <Paragraphs>4</Paragraphs>
  <ScaleCrop>false</ScaleCrop>
  <Company>no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程序編碼：SWCB-08050（ISO-08050）</dc:title>
  <dc:creator>hp</dc:creator>
  <cp:lastModifiedBy>呂俊逸</cp:lastModifiedBy>
  <cp:revision>139</cp:revision>
  <cp:lastPrinted>2005-06-28T03:53:00Z</cp:lastPrinted>
  <dcterms:created xsi:type="dcterms:W3CDTF">2013-05-14T06:16:00Z</dcterms:created>
  <dcterms:modified xsi:type="dcterms:W3CDTF">2016-04-14T08:07:00Z</dcterms:modified>
</cp:coreProperties>
</file>