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Signal</w:t>
      </w:r>
      <w:r>
        <w:t xml:space="preserve"> </w:t>
      </w:r>
      <w:r>
        <w:t xml:space="preserve">&amp;</w:t>
      </w:r>
      <w:r>
        <w:t xml:space="preserve"> </w:t>
      </w:r>
      <w:r>
        <w:t xml:space="preserve">Story:</w:t>
      </w:r>
      <w:r>
        <w:t xml:space="preserve"> </w:t>
      </w:r>
      <w:r>
        <w:t xml:space="preserve">authorship</w:t>
      </w:r>
      <w:r>
        <w:t xml:space="preserve"> </w:t>
      </w:r>
      <w:r>
        <w:t xml:space="preserve">and</w:t>
      </w:r>
      <w:r>
        <w:t xml:space="preserve"> </w:t>
      </w:r>
      <w:r>
        <w:t xml:space="preserve">investment</w:t>
      </w:r>
      <w:r>
        <w:t xml:space="preserve"> </w:t>
      </w:r>
      <w:r>
        <w:t xml:space="preserve">decision</w:t>
      </w:r>
      <w:r>
        <w:t xml:space="preserve"> </w:t>
      </w:r>
      <w:r>
        <w:t xml:space="preserve">guide</w:t>
      </w:r>
    </w:p>
    <w:p>
      <w:pPr>
        <w:pStyle w:val="Author"/>
      </w:pPr>
      <w:r>
        <w:t xml:space="preserve">Student</w:t>
      </w:r>
      <w:r>
        <w:t xml:space="preserve"> </w:t>
      </w:r>
      <w:r>
        <w:t xml:space="preserve">ID</w:t>
      </w:r>
      <w:r>
        <w:t xml:space="preserve"> </w:t>
      </w:r>
      <w:r>
        <w:t xml:space="preserve">z5529169</w:t>
      </w:r>
    </w:p>
    <w:p>
      <w:pPr>
        <w:pStyle w:val="Date"/>
      </w:pPr>
      <w:r>
        <w:t xml:space="preserve">Evidence</w:t>
      </w:r>
      <w:r>
        <w:t xml:space="preserve"> </w:t>
      </w:r>
      <w:r>
        <w:t xml:space="preserve">base:</w:t>
      </w:r>
      <w:r>
        <w:t xml:space="preserve"> </w:t>
      </w:r>
      <w:r>
        <w:t xml:space="preserve">regenerated</w:t>
      </w:r>
      <w:r>
        <w:t xml:space="preserve"> </w:t>
      </w:r>
      <w:r>
        <w:t xml:space="preserve">Project</w:t>
      </w:r>
      <w:r>
        <w:t xml:space="preserve"> </w:t>
      </w:r>
      <w:r>
        <w:t xml:space="preserve">B</w:t>
      </w:r>
      <w:r>
        <w:t xml:space="preserve"> </w:t>
      </w:r>
      <w:r>
        <w:t xml:space="preserve">artifacts,</w:t>
      </w:r>
      <w:r>
        <w:t xml:space="preserve"> </w:t>
      </w:r>
      <w:r>
        <w:t xml:space="preserve">live</w:t>
      </w:r>
      <w:r>
        <w:t xml:space="preserve"> </w:t>
      </w:r>
      <w:r>
        <w:t xml:space="preserve">period</w:t>
      </w:r>
      <w:r>
        <w:t xml:space="preserve"> </w:t>
      </w:r>
      <w:r>
        <w:t xml:space="preserve">31</w:t>
      </w:r>
      <w:r>
        <w:t xml:space="preserve"> </w:t>
      </w:r>
      <w:r>
        <w:t xml:space="preserve">December</w:t>
      </w:r>
      <w:r>
        <w:t xml:space="preserve"> </w:t>
      </w:r>
      <w:r>
        <w:t xml:space="preserve">2020</w:t>
      </w:r>
      <w:r>
        <w:t xml:space="preserve"> </w:t>
      </w:r>
      <w:r>
        <w:t xml:space="preserve">to</w:t>
      </w:r>
      <w:r>
        <w:t xml:space="preserve"> </w:t>
      </w:r>
      <w:r>
        <w:t xml:space="preserve">31</w:t>
      </w:r>
      <w:r>
        <w:t xml:space="preserve"> </w:t>
      </w:r>
      <w:r>
        <w:t xml:space="preserve">December</w:t>
      </w:r>
      <w:r>
        <w:t xml:space="preserve"> </w:t>
      </w:r>
      <w:r>
        <w:t xml:space="preserve">2023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This is a study and decision workbook, not text to submit unchanged as your own writing. Read the</w:t>
      </w:r>
      <w:r>
        <w:t xml:space="preserve"> </w:t>
      </w:r>
      <w:r>
        <w:t xml:space="preserve">evidence, record your own answers, then rewrite the final interpretation in your own voice. A</w:t>
      </w:r>
      <w:r>
        <w:t xml:space="preserve"> </w:t>
      </w:r>
      <w:r>
        <w:t xml:space="preserve">backtest is historical evidence, not a forecast or personal financial recommendation.</w:t>
      </w:r>
    </w:p>
    <w:bookmarkStart w:id="20" w:name="the-authorship-issue-in-plain-language"/>
    <w:p>
      <w:pPr>
        <w:pStyle w:val="Heading2"/>
        <w:keepNext/>
      </w:pPr>
      <w:r>
        <w:t xml:space="preserve">1. The authorship issue in plain language</w:t>
      </w:r>
    </w:p>
    <w:p>
      <w:pPr>
        <w:pStyle w:val="FirstParagraph"/>
      </w:pPr>
      <w:r>
        <w:t xml:space="preserve">The computer can establish whether formulas ran, files agree and constraints were obeyed. It cannot</w:t>
      </w:r>
      <w:r>
        <w:t xml:space="preserve"> </w:t>
      </w:r>
      <w:r>
        <w:t xml:space="preserve">decide your investment objective, your tolerance for loss or whether the economic explanation is</w:t>
      </w:r>
      <w:r>
        <w:t xml:space="preserve"> </w:t>
      </w:r>
      <w:r>
        <w:t xml:space="preserve">genuinely yours. Your authorship is demonstrated when you can:</w:t>
      </w:r>
    </w:p>
    <w:p>
      <w:pPr>
        <w:numPr>
          <w:ilvl w:val="0"/>
          <w:numId w:val="1001"/>
        </w:numPr>
        <w:pStyle w:val="Compact"/>
      </w:pPr>
      <w:r>
        <w:t xml:space="preserve">define each metric without reading a script;</w:t>
      </w:r>
    </w:p>
    <w:p>
      <w:pPr>
        <w:numPr>
          <w:ilvl w:val="0"/>
          <w:numId w:val="1001"/>
        </w:numPr>
        <w:pStyle w:val="Compact"/>
      </w:pPr>
      <w:r>
        <w:t xml:space="preserve">identify which direction is desirable and why metrics can conflict;</w:t>
      </w:r>
    </w:p>
    <w:p>
      <w:pPr>
        <w:numPr>
          <w:ilvl w:val="0"/>
          <w:numId w:val="1001"/>
        </w:numPr>
        <w:pStyle w:val="Compact"/>
      </w:pPr>
      <w:r>
        <w:t xml:space="preserve">compare the ten funds using actual evidence;</w:t>
      </w:r>
    </w:p>
    <w:p>
      <w:pPr>
        <w:numPr>
          <w:ilvl w:val="0"/>
          <w:numId w:val="1001"/>
        </w:numPr>
        <w:pStyle w:val="Compact"/>
      </w:pPr>
      <w:r>
        <w:t xml:space="preserve">separate a functioning model from a commercially investable product;</w:t>
      </w:r>
    </w:p>
    <w:p>
      <w:pPr>
        <w:numPr>
          <w:ilvl w:val="0"/>
          <w:numId w:val="1001"/>
        </w:numPr>
        <w:pStyle w:val="Compact"/>
      </w:pPr>
      <w:r>
        <w:t xml:space="preserve">state a hypothesis before interpreting a result;</w:t>
      </w:r>
    </w:p>
    <w:p>
      <w:pPr>
        <w:numPr>
          <w:ilvl w:val="0"/>
          <w:numId w:val="1001"/>
        </w:numPr>
        <w:pStyle w:val="Compact"/>
      </w:pPr>
      <w:r>
        <w:t xml:space="preserve">reject or qualify claims that the evidence does not support; and</w:t>
      </w:r>
    </w:p>
    <w:p>
      <w:pPr>
        <w:numPr>
          <w:ilvl w:val="0"/>
          <w:numId w:val="1001"/>
        </w:numPr>
        <w:pStyle w:val="Compact"/>
      </w:pPr>
      <w:r>
        <w:t xml:space="preserve">explain your design choices, weaknesses and next test.</w:t>
      </w:r>
    </w:p>
    <w:p>
      <w:pPr>
        <w:pStyle w:val="FirstParagraph"/>
      </w:pPr>
      <w:r>
        <w:t xml:space="preserve">Use this response scale throughout:</w:t>
      </w:r>
      <w:r>
        <w:t xml:space="preserve"> </w:t>
      </w:r>
      <w:r>
        <w:rPr>
          <w:bCs/>
          <w:b/>
        </w:rPr>
        <w:t xml:space="preserve">[ ] Yes [ ] No [ ] Unsure</w:t>
      </w:r>
      <w:r>
        <w:t xml:space="preserve">.</w:t>
      </w:r>
      <w:r>
        <w:t xml:space="preserve"> </w:t>
      </w:r>
      <w:r>
        <w:t xml:space="preserve">“</w:t>
      </w:r>
      <w:r>
        <w:t xml:space="preserve">Unsure</w:t>
      </w:r>
      <w:r>
        <w:t xml:space="preserve">”</w:t>
      </w:r>
      <w:r>
        <w:t xml:space="preserve"> </w:t>
      </w:r>
      <w:r>
        <w:t xml:space="preserve">is an acceptable</w:t>
      </w:r>
      <w:r>
        <w:t xml:space="preserve"> </w:t>
      </w:r>
      <w:r>
        <w:t xml:space="preserve">answer. It identifies what you must investigate before approval.</w:t>
      </w:r>
    </w:p>
    <w:bookmarkEnd w:id="20"/>
    <w:bookmarkStart w:id="31" w:name="X1eebb126d33153c58f6fb7b517a44c3e361519c"/>
    <w:p>
      <w:pPr>
        <w:pStyle w:val="Heading2"/>
        <w:keepNext/>
      </w:pPr>
      <w:r>
        <w:t xml:space="preserve">2. From first principles: what every output means</w:t>
      </w:r>
    </w:p>
    <w:bookmarkStart w:id="21" w:name="daily-net-return"/>
    <w:p>
      <w:pPr>
        <w:pStyle w:val="Heading3"/>
        <w:keepNext/>
      </w:pPr>
      <w:r>
        <w:t xml:space="preserve">2.1 Daily net return</w:t>
      </w:r>
    </w:p>
    <w:p>
      <w:pPr>
        <w:pStyle w:val="FirstParagraph"/>
      </w:pPr>
      <w:r>
        <w:t xml:space="preserve">The fund return for day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is the weighted sum of asset returns, less the assumed trading cost:</w:t>
      </w:r>
    </w:p>
    <w:p>
      <w:pPr>
        <w:pStyle w:val="BodyText"/>
      </w:pPr>
      <w:r>
        <w:rPr>
          <w:rStyle w:val="VerbatimChar"/>
        </w:rPr>
        <w:t xml:space="preserve">net return_t = sum(weight_i,t × asset return_i,t) - 0.001 × one-way turnover_t</w:t>
      </w:r>
    </w:p>
    <w:p>
      <w:pPr>
        <w:pStyle w:val="BodyText"/>
      </w:pPr>
      <w:r>
        <w:t xml:space="preserve">The 0.001 is 10 basis points. Weights applied on day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are estimated only from observations before</w:t>
      </w:r>
      <w:r>
        <w:t xml:space="preserve"> </w:t>
      </w:r>
      <w:r>
        <w:t xml:space="preserve">day</w:t>
      </w:r>
      <w:r>
        <w:t xml:space="preserve"> </w:t>
      </w:r>
      <w:r>
        <w:rPr>
          <w:iCs/>
          <w:i/>
        </w:rPr>
        <w:t xml:space="preserve">t</w:t>
      </w:r>
      <w:r>
        <w:t xml:space="preserve">. A positive daily return means the modeled fund gained value that day. It does not mean the</w:t>
      </w:r>
      <w:r>
        <w:t xml:space="preserve"> </w:t>
      </w:r>
      <w:r>
        <w:t xml:space="preserve">fund met a long-term objective.</w:t>
      </w:r>
    </w:p>
    <w:bookmarkEnd w:id="21"/>
    <w:bookmarkStart w:id="22" w:name="growth-of-one-dollar-and-ending-value"/>
    <w:p>
      <w:pPr>
        <w:pStyle w:val="Heading3"/>
        <w:keepNext/>
      </w:pPr>
      <w:r>
        <w:t xml:space="preserve">2.2 Growth of one dollar and ending value</w:t>
      </w:r>
    </w:p>
    <w:p>
      <w:pPr>
        <w:pStyle w:val="FirstParagraph"/>
      </w:pPr>
      <w:r>
        <w:t xml:space="preserve">Growth compounds the daily net returns. An ending value of 1.45 means a modeled dollar became about</w:t>
      </w:r>
      <w:r>
        <w:t xml:space="preserve"> </w:t>
      </w:r>
      <w:r>
        <w:t xml:space="preserve">$1.45 during the live sample. It is intuitive, but it depends strongly on the sample start and end</w:t>
      </w:r>
      <w:r>
        <w:t xml:space="preserve"> </w:t>
      </w:r>
      <w:r>
        <w:t xml:space="preserve">dates. It is not an annual rate and does not show the path or pain experienced in between.</w:t>
      </w:r>
    </w:p>
    <w:bookmarkEnd w:id="22"/>
    <w:bookmarkStart w:id="23" w:name="annualised-geometric-return"/>
    <w:p>
      <w:pPr>
        <w:pStyle w:val="Heading3"/>
        <w:keepNext/>
      </w:pPr>
      <w:r>
        <w:t xml:space="preserve">2.3 Annualised geometric return</w:t>
      </w:r>
    </w:p>
    <w:p>
      <w:pPr>
        <w:pStyle w:val="FirstParagraph"/>
      </w:pPr>
      <w:r>
        <w:t xml:space="preserve">Annualised return converts the compounded live result to an equivalent yearly growth rate. Higher is</w:t>
      </w:r>
      <w:r>
        <w:t xml:space="preserve"> </w:t>
      </w:r>
      <w:r>
        <w:t xml:space="preserve">desirable only if the extra risk, concentration and costs are acceptable. It is not an expected future</w:t>
      </w:r>
      <w:r>
        <w:t xml:space="preserve"> </w:t>
      </w:r>
      <w:r>
        <w:t xml:space="preserve">return. The project uses 252 periods per year for equity and combined funds, and 365 for crypto funds.</w:t>
      </w:r>
    </w:p>
    <w:bookmarkEnd w:id="23"/>
    <w:bookmarkStart w:id="24" w:name="annualised-volatility"/>
    <w:p>
      <w:pPr>
        <w:pStyle w:val="Heading3"/>
        <w:keepNext/>
      </w:pPr>
      <w:r>
        <w:t xml:space="preserve">2.4 Annualised volatility</w:t>
      </w:r>
    </w:p>
    <w:p>
      <w:pPr>
        <w:pStyle w:val="FirstParagraph"/>
      </w:pPr>
      <w:r>
        <w:t xml:space="preserve">Volatility is the standard deviation of daily returns multiplied by the square root of 252 or 365.</w:t>
      </w:r>
      <w:r>
        <w:t xml:space="preserve"> </w:t>
      </w:r>
      <w:r>
        <w:t xml:space="preserve">Lower means a smoother historical return path, not protection from every loss. It treats upward and</w:t>
      </w:r>
      <w:r>
        <w:t xml:space="preserve"> </w:t>
      </w:r>
      <w:r>
        <w:t xml:space="preserve">downward surprises symmetrically and does not measure liquidity, custody, model or regulatory risk.</w:t>
      </w:r>
    </w:p>
    <w:bookmarkEnd w:id="24"/>
    <w:bookmarkStart w:id="25" w:name="sharpe-ratio"/>
    <w:p>
      <w:pPr>
        <w:pStyle w:val="Heading3"/>
        <w:keepNext/>
      </w:pPr>
      <w:r>
        <w:t xml:space="preserve">2.5 Sharpe ratio</w:t>
      </w:r>
    </w:p>
    <w:p>
      <w:pPr>
        <w:pStyle w:val="FirstParagraph"/>
      </w:pPr>
      <w:r>
        <w:t xml:space="preserve">The project assumes a zero risk-free rate:</w:t>
      </w:r>
    </w:p>
    <w:p>
      <w:pPr>
        <w:pStyle w:val="BodyText"/>
      </w:pPr>
      <w:r>
        <w:rPr>
          <w:rStyle w:val="VerbatimChar"/>
        </w:rPr>
        <w:t xml:space="preserve">Sharpe = average daily return ÷ daily volatility × square root(periods per year)</w:t>
      </w:r>
    </w:p>
    <w:p>
      <w:pPr>
        <w:pStyle w:val="BodyText"/>
      </w:pPr>
      <w:r>
        <w:t xml:space="preserve">It measures historical return per unit of total volatility. Higher is better when comparing funds over</w:t>
      </w:r>
      <w:r>
        <w:t xml:space="preserve"> </w:t>
      </w:r>
      <w:r>
        <w:t xml:space="preserve">the same sample and with consistent assumptions. A Sharpe of 1.01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mean a 101% return, a</w:t>
      </w:r>
      <w:r>
        <w:t xml:space="preserve"> </w:t>
      </w:r>
      <w:r>
        <w:t xml:space="preserve">1% risk or a guarantee. It means the annualised average excess-return estimate was roughly one unit</w:t>
      </w:r>
      <w:r>
        <w:t xml:space="preserve"> </w:t>
      </w:r>
      <w:r>
        <w:t xml:space="preserve">for each unit of annualised volatility. It can look attractive while maximum drawdown is severe.</w:t>
      </w:r>
    </w:p>
    <w:bookmarkEnd w:id="25"/>
    <w:bookmarkStart w:id="26" w:name="maximum-drawdown"/>
    <w:p>
      <w:pPr>
        <w:pStyle w:val="Heading3"/>
        <w:keepNext/>
      </w:pPr>
      <w:r>
        <w:t xml:space="preserve">2.6 Maximum drawdown</w:t>
      </w:r>
    </w:p>
    <w:p>
      <w:pPr>
        <w:pStyle w:val="FirstParagraph"/>
      </w:pPr>
      <w:r>
        <w:t xml:space="preserve">Drawdown is the percentage fall from the previous growth peak. Maximum drawdown is the worst such</w:t>
      </w:r>
      <w:r>
        <w:t xml:space="preserve"> </w:t>
      </w:r>
      <w:r>
        <w:t xml:space="preserve">fall in the live sample. A value of -72.99% means a modeled investor at the prior peak temporarily lost</w:t>
      </w:r>
      <w:r>
        <w:t xml:space="preserve"> </w:t>
      </w:r>
      <w:r>
        <w:t xml:space="preserve">almost three quarters of value. Less negative is desirable. It is often more intuitive than volatility,</w:t>
      </w:r>
      <w:r>
        <w:t xml:space="preserve"> </w:t>
      </w:r>
      <w:r>
        <w:t xml:space="preserve">but it records only one historical path and may understate a future loss.</w:t>
      </w:r>
    </w:p>
    <w:bookmarkEnd w:id="26"/>
    <w:bookmarkStart w:id="27" w:name="turnover-and-transaction-costs"/>
    <w:p>
      <w:pPr>
        <w:pStyle w:val="Heading3"/>
        <w:keepNext/>
      </w:pPr>
      <w:r>
        <w:t xml:space="preserve">2.7 Turnover and transaction costs</w:t>
      </w:r>
    </w:p>
    <w:p>
      <w:pPr>
        <w:pStyle w:val="FirstParagraph"/>
      </w:pPr>
      <w:r>
        <w:t xml:space="preserve">One-way turnover measures how much the target portfolio changes when it rebalances. Higher turnover</w:t>
      </w:r>
      <w:r>
        <w:t xml:space="preserve"> </w:t>
      </w:r>
      <w:r>
        <w:t xml:space="preserve">usually means more trading, operational burden, tax consequences and implementation cost. The model</w:t>
      </w:r>
      <w:r>
        <w:t xml:space="preserve"> </w:t>
      </w:r>
      <w:r>
        <w:t xml:space="preserve">charges 10 bps per unit of turnover, but this is a common sensitivity assumption, not a calibrated</w:t>
      </w:r>
      <w:r>
        <w:t xml:space="preserve"> </w:t>
      </w:r>
      <w:r>
        <w:t xml:space="preserve">brokerage, spread or market-impact model.</w:t>
      </w:r>
    </w:p>
    <w:bookmarkEnd w:id="27"/>
    <w:bookmarkStart w:id="28" w:name="X30dcfe252c64d8b6495b323d072502001d6c2ed"/>
    <w:p>
      <w:pPr>
        <w:pStyle w:val="Heading3"/>
        <w:keepNext/>
      </w:pPr>
      <w:r>
        <w:t xml:space="preserve">2.8 Current target holdings and concentration</w:t>
      </w:r>
    </w:p>
    <w:p>
      <w:pPr>
        <w:pStyle w:val="FirstParagraph"/>
      </w:pPr>
      <w:r>
        <w:t xml:space="preserve">Holdings are the most recent model weights, not proof that orders could be filled at those prices.</w:t>
      </w:r>
      <w:r>
        <w:t xml:space="preserve"> </w:t>
      </w:r>
      <w:r>
        <w:t xml:space="preserve">Maximum weight, top-five weight and the Herfindahl index reveal concentration. Caps limit single-name</w:t>
      </w:r>
      <w:r>
        <w:t xml:space="preserve"> </w:t>
      </w:r>
      <w:r>
        <w:t xml:space="preserve">exposure but do not remove sector, factor or asset-class concentration.</w:t>
      </w:r>
    </w:p>
    <w:bookmarkEnd w:id="28"/>
    <w:bookmarkStart w:id="29" w:name="out-of-sample-and-walk-forward"/>
    <w:p>
      <w:pPr>
        <w:pStyle w:val="Heading3"/>
        <w:keepNext/>
      </w:pPr>
      <w:r>
        <w:t xml:space="preserve">2.9 Out-of-sample and walk-forward</w:t>
      </w:r>
    </w:p>
    <w:p>
      <w:pPr>
        <w:pStyle w:val="FirstParagraph"/>
      </w:pPr>
      <w:r>
        <w:t xml:space="preserve">Out-of-sample means each live weight uses only earlier observations. It reduces look-ahead bias. It</w:t>
      </w:r>
      <w:r>
        <w:t xml:space="preserve"> </w:t>
      </w:r>
      <w:r>
        <w:t xml:space="preserve">does not make the 2020-2023 sample independent of every design choice. Choosing methods after seeing</w:t>
      </w:r>
      <w:r>
        <w:t xml:space="preserve"> </w:t>
      </w:r>
      <w:r>
        <w:t xml:space="preserve">the final results can still create selection bias.</w:t>
      </w:r>
    </w:p>
    <w:bookmarkEnd w:id="29"/>
    <w:bookmarkStart w:id="30" w:name="sentiment-coverage-and-fusion"/>
    <w:p>
      <w:pPr>
        <w:pStyle w:val="Heading3"/>
        <w:keepNext/>
      </w:pPr>
      <w:r>
        <w:t xml:space="preserve">2.10 Sentiment, coverage and fusion</w:t>
      </w:r>
    </w:p>
    <w:p>
      <w:pPr>
        <w:pStyle w:val="FirstParagraph"/>
      </w:pPr>
      <w:r>
        <w:t xml:space="preserve">VADER maps headline language to a score. The finance extension changes scores for 18 disclosed terms.</w:t>
      </w:r>
      <w:r>
        <w:t xml:space="preserve"> </w:t>
      </w:r>
      <w:r>
        <w:t xml:space="preserve">Ticker-day scores are equal-weighted within sectors. No-news ticker-days are assigned zero, and an</w:t>
      </w:r>
      <w:r>
        <w:t xml:space="preserve"> </w:t>
      </w:r>
      <w:r>
        <w:t xml:space="preserve">observed-only sensitivity is reported. The investment signal is lagged one equity trading day. The</w:t>
      </w:r>
      <w:r>
        <w:t xml:space="preserve"> </w:t>
      </w:r>
      <w:r>
        <w:t xml:space="preserve">reliability gate reduces the tilt when coverage or publisher evidence is weak. Headline tone remains a</w:t>
      </w:r>
      <w:r>
        <w:t xml:space="preserve"> </w:t>
      </w:r>
      <w:r>
        <w:t xml:space="preserve">noisy proxy, not a direct measure of fundamentals or future return.</w:t>
      </w:r>
    </w:p>
    <w:bookmarkEnd w:id="30"/>
    <w:bookmarkEnd w:id="31"/>
    <w:bookmarkStart w:id="33" w:name="Xc23967c5360704cde93377a498ae3c3cd3792a5"/>
    <w:p>
      <w:pPr>
        <w:pStyle w:val="Heading2"/>
        <w:keepNext/>
      </w:pPr>
      <w:r>
        <w:t xml:space="preserve">3. Your ten funds: exact regenerated evidence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Fund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Return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Volatility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Sharpe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Combined Equal 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15.10%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21.24%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0.77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Combined Minimum Variance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5.99%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12.62%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0.52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Combined Risk Parity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13.29%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16.17%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0.85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Crypto Equal 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33.63%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80.39%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0.77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Crypto Minimum Variance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60.04%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72.94%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1.01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Crypto Risk Parity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37.94%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78.63%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0.81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Equity Equal 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12.87%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16.16%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0.83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Equity Minimum Variance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5.57%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12.64%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0.49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Equity Risk Parity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10.15%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14.92%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0.72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Equity Reliability-Gated Sentiment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6.09%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12.64%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0.53</w:t>
            </w:r>
          </w:p>
        </w:tc>
      </w:tr>
    </w:tbl>
    <w:p/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Fund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Max drawdown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Ending $1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Turnover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Combined Equal 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-28.75%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$1.52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1.00x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Combined Minimum Variance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-15.77%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$1.19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9.86x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Combined Risk Parity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-20.47%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$1.45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1.96x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Crypto Equal 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-81.60%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$2.39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1.00x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Crypto Minimum Variance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-72.99%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$4.10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6.64x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Crypto Risk Parity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-80.22%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$2.63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2.03x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Equity Equal 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-20.32%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$1.44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1.00x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Equity Minimum Variance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-15.59%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$1.18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10.19x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Equity Risk Parity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-18.93%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$1.34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1.88x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Equity Reliability-Gated Sentiment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-15.62%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$1.19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11.19x</w:t>
            </w:r>
          </w:p>
        </w:tc>
      </w:tr>
    </w:tbl>
    <w:bookmarkStart w:id="32" w:name="there-is-no-universal-best-fund"/>
    <w:p>
      <w:pPr>
        <w:pStyle w:val="Heading3"/>
        <w:keepNext/>
      </w:pPr>
      <w:r>
        <w:t xml:space="preserve">3.1 There is no universal</w:t>
      </w:r>
      <w:r>
        <w:t xml:space="preserve"> </w:t>
      </w:r>
      <w:r>
        <w:t xml:space="preserve">“</w:t>
      </w:r>
      <w:r>
        <w:t xml:space="preserve">best</w:t>
      </w:r>
      <w:r>
        <w:t xml:space="preserve">”</w:t>
      </w:r>
      <w:r>
        <w:t xml:space="preserve"> </w:t>
      </w:r>
      <w:r>
        <w:t xml:space="preserve">fund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Desired outcome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Strongest sample candidate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Why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Principal drawback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Highest return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Crypto Minimum Variance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60.04% annualised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-72.99% drawdown, 72.94% volatility and high concentration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Highest Sharpe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Crypto Minimum Variance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1.01, the highest return per unit of volatility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Sharpe does not neutralise catastrophic loss severity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Lowest volatility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Combined Minimum Variance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12.62%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Only 5.99% return, 0.52 Sharpe and 9.86x turnover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Shallowest drawdown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Equity Minimum Variance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-15.59%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Lowest return and Sharpe among the ten base funds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Best diversified balance in this sample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Combined Risk Parity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13.29% return, 16.17% volatility, 0.85 Sharpe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Still lost 20.47% from peak and latest crypto weight is only 8.15%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Simplicity and low turnover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Equity Equal Weight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1.00x turnover, 12.87% return and 0.83 Sharpe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Ignores risk differences and had a -20.32% drawdown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Demonstrated news extension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Reliability-Gated Sentiment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Return and Sharpe improved modestly over Equity Minimum Variance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Nearly identical path, slightly worse drawdown and higher turnover</w:t>
            </w:r>
          </w:p>
        </w:tc>
      </w:tr>
    </w:tbl>
    <w:p>
      <w:pPr>
        <w:pStyle w:val="BodyText"/>
      </w:pPr>
      <w:r>
        <w:t xml:space="preserve">The appropriate</w:t>
      </w:r>
      <w:r>
        <w:t xml:space="preserve"> </w:t>
      </w:r>
      <w:r>
        <w:t xml:space="preserve">“</w:t>
      </w:r>
      <w:r>
        <w:t xml:space="preserve">desired output</w:t>
      </w:r>
      <w:r>
        <w:t xml:space="preserve">”</w:t>
      </w:r>
      <w:r>
        <w:t xml:space="preserve"> </w:t>
      </w:r>
      <w:r>
        <w:t xml:space="preserve">must therefore be stated as an objective. A capital-stability client,</w:t>
      </w:r>
      <w:r>
        <w:t xml:space="preserve"> </w:t>
      </w:r>
      <w:r>
        <w:t xml:space="preserve">a growth-seeking client and an innovation-focused marker should not receive the same answer.</w:t>
      </w:r>
    </w:p>
    <w:bookmarkEnd w:id="32"/>
    <w:bookmarkEnd w:id="33"/>
    <w:bookmarkStart w:id="40" w:name="Xfea372689440878034f558f31e4aff959babdeb"/>
    <w:p>
      <w:pPr>
        <w:pStyle w:val="Heading2"/>
        <w:keepNext/>
      </w:pPr>
      <w:r>
        <w:t xml:space="preserve">4. Hypotheses, tests and evidence-based inferences</w:t>
      </w:r>
    </w:p>
    <w:bookmarkStart w:id="34" w:name="Xaf6cca99f8174ba338b9abdc89fa62f75cc9b67"/>
    <w:p>
      <w:pPr>
        <w:pStyle w:val="Heading3"/>
        <w:keepNext/>
      </w:pPr>
      <w:r>
        <w:t xml:space="preserve">H1. Adding crypto improves a fund’s risk-adjusted performance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compare each combined method with its equity counterpart over the common live dates.</w:t>
      </w:r>
    </w:p>
    <w:p>
      <w:pPr>
        <w:numPr>
          <w:ilvl w:val="0"/>
          <w:numId w:val="1002"/>
        </w:numPr>
        <w:pStyle w:val="Compact"/>
      </w:pPr>
      <w:r>
        <w:t xml:space="preserve">Equal weight: return rises from 12.87% to 15.10%, but Sharpe falls from 0.83 to 0.77 and drawdown</w:t>
      </w:r>
      <w:r>
        <w:t xml:space="preserve"> </w:t>
      </w:r>
      <w:r>
        <w:t xml:space="preserve">worsens from -20.32% to -28.75%.</w:t>
      </w:r>
    </w:p>
    <w:p>
      <w:pPr>
        <w:numPr>
          <w:ilvl w:val="0"/>
          <w:numId w:val="1002"/>
        </w:numPr>
        <w:pStyle w:val="Compact"/>
      </w:pPr>
      <w:r>
        <w:t xml:space="preserve">Minimum variance: Sharpe rises from 0.49 to 0.52, but the latest combined fund holds only 2.65% in</w:t>
      </w:r>
      <w:r>
        <w:t xml:space="preserve"> </w:t>
      </w:r>
      <w:r>
        <w:t xml:space="preserve">crypto and its drawdown is slightly worse.</w:t>
      </w:r>
    </w:p>
    <w:p>
      <w:pPr>
        <w:numPr>
          <w:ilvl w:val="0"/>
          <w:numId w:val="1002"/>
        </w:numPr>
        <w:pStyle w:val="Compact"/>
      </w:pPr>
      <w:r>
        <w:t xml:space="preserve">Risk parity: return rises from 10.15% to 13.29%, Sharpe rises from 0.72 to 0.85, volatility rises</w:t>
      </w:r>
      <w:r>
        <w:t xml:space="preserve"> </w:t>
      </w:r>
      <w:r>
        <w:t xml:space="preserve">from 14.92% to 16.17%, and drawdown worsens from -18.93% to -20.47%.</w:t>
      </w:r>
    </w:p>
    <w:p>
      <w:pPr>
        <w:pStyle w:val="FirstParagraph"/>
      </w:pPr>
      <w:r>
        <w:rPr>
          <w:bCs/>
          <w:b/>
        </w:rPr>
        <w:t xml:space="preserve">Inference:</w:t>
      </w:r>
      <w:r>
        <w:t xml:space="preserve"> </w:t>
      </w:r>
      <w:r>
        <w:t xml:space="preserve">partially supported. The strongest evidence is for Combined Risk Parity, but adding</w:t>
      </w:r>
      <w:r>
        <w:t xml:space="preserve"> </w:t>
      </w:r>
      <w:r>
        <w:t xml:space="preserve">crypto does not improve every method or every risk measure.</w:t>
      </w:r>
    </w:p>
    <w:bookmarkEnd w:id="34"/>
    <w:bookmarkStart w:id="35" w:name="X877e6b29aafc8b80b046d3a9cf133f9454e3b97"/>
    <w:p>
      <w:pPr>
        <w:pStyle w:val="Heading3"/>
        <w:keepNext/>
      </w:pPr>
      <w:r>
        <w:t xml:space="preserve">H2. Optimisation beats the transparent equal-weight baseline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compare minimum variance and risk parity with equal weight inside each family.</w:t>
      </w:r>
    </w:p>
    <w:p>
      <w:pPr>
        <w:numPr>
          <w:ilvl w:val="0"/>
          <w:numId w:val="1003"/>
        </w:numPr>
        <w:pStyle w:val="Compact"/>
      </w:pPr>
      <w:r>
        <w:t xml:space="preserve">Equity: optimisation reduces volatility and drawdown, but both optimised funds have lower Sharpe</w:t>
      </w:r>
      <w:r>
        <w:t xml:space="preserve"> </w:t>
      </w:r>
      <w:r>
        <w:t xml:space="preserve">and return than equal weight.</w:t>
      </w:r>
    </w:p>
    <w:p>
      <w:pPr>
        <w:numPr>
          <w:ilvl w:val="0"/>
          <w:numId w:val="1003"/>
        </w:numPr>
        <w:pStyle w:val="Compact"/>
      </w:pPr>
      <w:r>
        <w:t xml:space="preserve">Crypto: minimum variance dominates the other crypto variants on return, volatility, Sharpe and</w:t>
      </w:r>
      <w:r>
        <w:t xml:space="preserve"> </w:t>
      </w:r>
      <w:r>
        <w:t xml:space="preserve">drawdown inside this sample, but it concentrates 90% in BTC, ETH and TRX at the latest rebalance.</w:t>
      </w:r>
    </w:p>
    <w:p>
      <w:pPr>
        <w:numPr>
          <w:ilvl w:val="0"/>
          <w:numId w:val="1003"/>
        </w:numPr>
        <w:pStyle w:val="Compact"/>
      </w:pPr>
      <w:r>
        <w:t xml:space="preserve">Combined: risk parity improves Sharpe and downside control relative to equal weight, while minimum</w:t>
      </w:r>
      <w:r>
        <w:t xml:space="preserve"> </w:t>
      </w:r>
      <w:r>
        <w:t xml:space="preserve">variance sacrifices substantial return for a smoother path.</w:t>
      </w:r>
    </w:p>
    <w:p>
      <w:pPr>
        <w:pStyle w:val="FirstParagraph"/>
      </w:pPr>
      <w:r>
        <w:rPr>
          <w:bCs/>
          <w:b/>
        </w:rPr>
        <w:t xml:space="preserve">Inference:</w:t>
      </w:r>
      <w:r>
        <w:t xml:space="preserve"> </w:t>
      </w:r>
      <w:r>
        <w:t xml:space="preserve">supported only conditionally. Optimisation changes the trade-off; it does not</w:t>
      </w:r>
      <w:r>
        <w:t xml:space="preserve"> </w:t>
      </w:r>
      <w:r>
        <w:t xml:space="preserve">automatically improve every outcome.</w:t>
      </w:r>
    </w:p>
    <w:bookmarkEnd w:id="35"/>
    <w:bookmarkStart w:id="36" w:name="Xd4544f42c2030ce4686178294e4d6d230c20759"/>
    <w:p>
      <w:pPr>
        <w:pStyle w:val="Heading3"/>
        <w:keepNext/>
      </w:pPr>
      <w:r>
        <w:t xml:space="preserve">H3. The sentiment extension adds investment value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compare the same Equity Minimum Variance base before and after the reliability-gated tilt.</w:t>
      </w:r>
    </w:p>
    <w:p>
      <w:pPr>
        <w:numPr>
          <w:ilvl w:val="0"/>
          <w:numId w:val="1004"/>
        </w:numPr>
        <w:pStyle w:val="Compact"/>
      </w:pPr>
      <w:r>
        <w:t xml:space="preserve">Annualised return increases by 0.52 percentage points, from 5.57% to 6.09%.</w:t>
      </w:r>
    </w:p>
    <w:p>
      <w:pPr>
        <w:numPr>
          <w:ilvl w:val="0"/>
          <w:numId w:val="1004"/>
        </w:numPr>
        <w:pStyle w:val="Compact"/>
      </w:pPr>
      <w:r>
        <w:t xml:space="preserve">Sharpe increases by 0.039, from 0.492 to 0.531.</w:t>
      </w:r>
    </w:p>
    <w:p>
      <w:pPr>
        <w:numPr>
          <w:ilvl w:val="0"/>
          <w:numId w:val="1004"/>
        </w:numPr>
        <w:pStyle w:val="Compact"/>
      </w:pPr>
      <w:r>
        <w:t xml:space="preserve">Maximum drawdown is 0.028 percentage points worse, from -15.593% to -15.621%.</w:t>
      </w:r>
    </w:p>
    <w:p>
      <w:pPr>
        <w:numPr>
          <w:ilvl w:val="0"/>
          <w:numId w:val="1004"/>
        </w:numPr>
        <w:pStyle w:val="Compact"/>
      </w:pPr>
      <w:r>
        <w:t xml:space="preserve">Total turnover increases by about 1.00x, from 10.19x to 11.19x.</w:t>
      </w:r>
    </w:p>
    <w:p>
      <w:pPr>
        <w:numPr>
          <w:ilvl w:val="0"/>
          <w:numId w:val="1004"/>
        </w:numPr>
        <w:pStyle w:val="Compact"/>
      </w:pPr>
      <w:r>
        <w:t xml:space="preserve">The two daily return paths correlate at 0.998.</w:t>
      </w:r>
    </w:p>
    <w:p>
      <w:pPr>
        <w:pStyle w:val="FirstParagraph"/>
      </w:pPr>
      <w:r>
        <w:rPr>
          <w:bCs/>
          <w:b/>
        </w:rPr>
        <w:t xml:space="preserve">Inference:</w:t>
      </w:r>
      <w:r>
        <w:t xml:space="preserve"> </w:t>
      </w:r>
      <w:r>
        <w:t xml:space="preserve">weak, positive in-sample-of-the-live-backtest evidence, not a new return engine. The</w:t>
      </w:r>
      <w:r>
        <w:t xml:space="preserve"> </w:t>
      </w:r>
      <w:r>
        <w:t xml:space="preserve">extension is more defensible as a transparent, look-ahead-safe product experiment than as proof that</w:t>
      </w:r>
      <w:r>
        <w:t xml:space="preserve"> </w:t>
      </w:r>
      <w:r>
        <w:t xml:space="preserve">headline sentiment predicts returns.</w:t>
      </w:r>
    </w:p>
    <w:bookmarkEnd w:id="36"/>
    <w:bookmarkStart w:id="37" w:name="Xe49ea68cb19c3278bb23902e2976c30a9a36774"/>
    <w:p>
      <w:pPr>
        <w:pStyle w:val="Heading3"/>
        <w:keepNext/>
      </w:pPr>
      <w:r>
        <w:t xml:space="preserve">H4. Minimum variance provides capital protection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compare volatility and drawdown, not the method name.</w:t>
      </w:r>
    </w:p>
    <w:p>
      <w:pPr>
        <w:pStyle w:val="BodyText"/>
      </w:pPr>
      <w:r>
        <w:rPr>
          <w:bCs/>
          <w:b/>
        </w:rPr>
        <w:t xml:space="preserve">Inference:</w:t>
      </w:r>
      <w:r>
        <w:t xml:space="preserve"> </w:t>
      </w:r>
      <w:r>
        <w:t xml:space="preserve">relatively supported within the sample. Equity and Combined Minimum Variance have the</w:t>
      </w:r>
      <w:r>
        <w:t xml:space="preserve"> </w:t>
      </w:r>
      <w:r>
        <w:t xml:space="preserve">lowest volatility and shallowest drawdowns. It is not absolute protection: losses still reached about</w:t>
      </w:r>
      <w:r>
        <w:t xml:space="preserve"> </w:t>
      </w:r>
      <w:r>
        <w:t xml:space="preserve">15.6%, and covariance estimates can change outside the sample.</w:t>
      </w:r>
    </w:p>
    <w:bookmarkEnd w:id="37"/>
    <w:bookmarkStart w:id="38" w:name="X8b385bdefb9363f211afddfb6d93289db591226"/>
    <w:p>
      <w:pPr>
        <w:pStyle w:val="Heading3"/>
        <w:keepNext/>
      </w:pPr>
      <w:r>
        <w:t xml:space="preserve">H5. The combined funds are meaningfully multi-asset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inspect latest asset-class weights.</w:t>
      </w:r>
    </w:p>
    <w:p>
      <w:pPr>
        <w:numPr>
          <w:ilvl w:val="0"/>
          <w:numId w:val="1005"/>
        </w:numPr>
        <w:pStyle w:val="Compact"/>
      </w:pPr>
      <w:r>
        <w:t xml:space="preserve">Combined Equal Weight: 16.67% crypto.</w:t>
      </w:r>
    </w:p>
    <w:p>
      <w:pPr>
        <w:numPr>
          <w:ilvl w:val="0"/>
          <w:numId w:val="1005"/>
        </w:numPr>
        <w:pStyle w:val="Compact"/>
      </w:pPr>
      <w:r>
        <w:t xml:space="preserve">Combined Risk Parity: 8.15% crypto.</w:t>
      </w:r>
    </w:p>
    <w:p>
      <w:pPr>
        <w:numPr>
          <w:ilvl w:val="0"/>
          <w:numId w:val="1005"/>
        </w:numPr>
        <w:pStyle w:val="Compact"/>
      </w:pPr>
      <w:r>
        <w:t xml:space="preserve">Combined Minimum Variance: 2.65% crypto.</w:t>
      </w:r>
    </w:p>
    <w:p>
      <w:pPr>
        <w:pStyle w:val="FirstParagraph"/>
      </w:pPr>
      <w:r>
        <w:rPr>
          <w:bCs/>
          <w:b/>
        </w:rPr>
        <w:t xml:space="preserve">Inference:</w:t>
      </w:r>
      <w:r>
        <w:t xml:space="preserve"> </w:t>
      </w:r>
      <w:r>
        <w:t xml:space="preserve">true by construction, but economically weak for Combined Minimum Variance.</w:t>
      </w:r>
      <w:r>
        <w:t xml:space="preserve"> </w:t>
      </w:r>
      <w:r>
        <w:t xml:space="preserve">“</w:t>
      </w:r>
      <w:r>
        <w:t xml:space="preserve">Combined</w:t>
      </w:r>
      <w:r>
        <w:t xml:space="preserve">”</w:t>
      </w:r>
      <w:r>
        <w:t xml:space="preserve"> </w:t>
      </w:r>
      <w:r>
        <w:t xml:space="preserve">should not be presented as an equal asset-class balance.</w:t>
      </w:r>
    </w:p>
    <w:bookmarkEnd w:id="38"/>
    <w:bookmarkStart w:id="39" w:name="h6.-the-funds-are-investable-now"/>
    <w:p>
      <w:pPr>
        <w:pStyle w:val="Heading3"/>
        <w:keepNext/>
      </w:pPr>
      <w:r>
        <w:t xml:space="preserve">H6. The funds are investable now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separate model implementability from production readiness.</w:t>
      </w:r>
    </w:p>
    <w:p>
      <w:pPr>
        <w:pStyle w:val="BodyText"/>
      </w:pPr>
      <w:r>
        <w:rPr>
          <w:bCs/>
          <w:b/>
        </w:rPr>
        <w:t xml:space="preserve">Inference:</w:t>
      </w:r>
      <w:r>
        <w:t xml:space="preserve"> </w:t>
      </w:r>
      <w:r>
        <w:t xml:space="preserve">the rules are implementable as a prototype because they are long-only, capped,</w:t>
      </w:r>
      <w:r>
        <w:t xml:space="preserve"> </w:t>
      </w:r>
      <w:r>
        <w:t xml:space="preserve">monthly, cost-adjusted and produce current target weights. They are not yet production-investable.</w:t>
      </w:r>
      <w:r>
        <w:t xml:space="preserve"> </w:t>
      </w:r>
      <w:r>
        <w:t xml:space="preserve">There is no live execution evidence, calibrated slippage, capacity analysis, custody design, fee model,</w:t>
      </w:r>
      <w:r>
        <w:t xml:space="preserve"> </w:t>
      </w:r>
      <w:r>
        <w:t xml:space="preserve">tax treatment, regulatory approval, client suitability process or post-2023 validation.</w:t>
      </w:r>
    </w:p>
    <w:bookmarkEnd w:id="39"/>
    <w:bookmarkEnd w:id="40"/>
    <w:bookmarkStart w:id="41" w:name="Xefb7f646c81732135c6831aab5c2a4718c916ab"/>
    <w:p>
      <w:pPr>
        <w:pStyle w:val="Heading2"/>
        <w:keepNext/>
      </w:pPr>
      <w:r>
        <w:t xml:space="preserve">5. Concentration and diversification evidence</w:t>
      </w:r>
    </w:p>
    <w:p>
      <w:pPr>
        <w:numPr>
          <w:ilvl w:val="0"/>
          <w:numId w:val="1006"/>
        </w:numPr>
        <w:pStyle w:val="Compact"/>
      </w:pPr>
      <w:r>
        <w:t xml:space="preserve">Combined Minimum Variance has 57.16% in its five largest latest holdings and only 2.65% in crypto.</w:t>
      </w:r>
    </w:p>
    <w:p>
      <w:pPr>
        <w:numPr>
          <w:ilvl w:val="0"/>
          <w:numId w:val="1006"/>
        </w:numPr>
        <w:pStyle w:val="Compact"/>
      </w:pPr>
      <w:r>
        <w:t xml:space="preserve">Equity Minimum Variance has 60.89% in its five largest latest holdings.</w:t>
      </w:r>
    </w:p>
    <w:p>
      <w:pPr>
        <w:numPr>
          <w:ilvl w:val="0"/>
          <w:numId w:val="1006"/>
        </w:numPr>
        <w:pStyle w:val="Compact"/>
      </w:pPr>
      <w:r>
        <w:t xml:space="preserve">Crypto Minimum Variance has 90.00% in BTC, ETH and TRX, and 96.80% in its top five holdings.</w:t>
      </w:r>
    </w:p>
    <w:p>
      <w:pPr>
        <w:numPr>
          <w:ilvl w:val="0"/>
          <w:numId w:val="1006"/>
        </w:numPr>
        <w:pStyle w:val="Compact"/>
      </w:pPr>
      <w:r>
        <w:t xml:space="preserve">Combined Risk Parity has 13.71% in its top five latest holdings, the broadest combined candidate.</w:t>
      </w:r>
    </w:p>
    <w:p>
      <w:pPr>
        <w:numPr>
          <w:ilvl w:val="0"/>
          <w:numId w:val="1006"/>
        </w:numPr>
        <w:pStyle w:val="Compact"/>
      </w:pPr>
      <w:r>
        <w:t xml:space="preserve">Equity Risk Parity has 14.93% in its top five latest holdings.</w:t>
      </w:r>
    </w:p>
    <w:p>
      <w:pPr>
        <w:numPr>
          <w:ilvl w:val="0"/>
          <w:numId w:val="1006"/>
        </w:numPr>
        <w:pStyle w:val="Compact"/>
      </w:pPr>
      <w:r>
        <w:t xml:space="preserve">The three crypto fund return paths correlate between 0.966 and 0.999 in the live sample. Owning</w:t>
      </w:r>
      <w:r>
        <w:t xml:space="preserve"> </w:t>
      </w:r>
      <w:r>
        <w:t xml:space="preserve">several crypto funds therefore adds little independent diversification.</w:t>
      </w:r>
    </w:p>
    <w:p>
      <w:pPr>
        <w:numPr>
          <w:ilvl w:val="0"/>
          <w:numId w:val="1006"/>
        </w:numPr>
        <w:pStyle w:val="Compact"/>
      </w:pPr>
      <w:r>
        <w:t xml:space="preserve">Equity Minimum Variance and its sentiment extension correlate at 0.998. Treating them as two</w:t>
      </w:r>
      <w:r>
        <w:t xml:space="preserve"> </w:t>
      </w:r>
      <w:r>
        <w:t xml:space="preserve">independent funds in the allocation lab would overstate diversification.</w:t>
      </w:r>
    </w:p>
    <w:bookmarkEnd w:id="41"/>
    <w:bookmarkStart w:id="42" w:name="what-the-model-is-working-must-mean"/>
    <w:p>
      <w:pPr>
        <w:pStyle w:val="Heading2"/>
        <w:keepNext/>
      </w:pPr>
      <w:r>
        <w:t xml:space="preserve">6. What</w:t>
      </w:r>
      <w:r>
        <w:t xml:space="preserve"> </w:t>
      </w:r>
      <w:r>
        <w:t xml:space="preserve">“</w:t>
      </w:r>
      <w:r>
        <w:t xml:space="preserve">the model is working</w:t>
      </w:r>
      <w:r>
        <w:t xml:space="preserve">”</w:t>
      </w:r>
      <w:r>
        <w:t xml:space="preserve"> </w:t>
      </w:r>
      <w:r>
        <w:t xml:space="preserve">must mean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Level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Current conclusion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Evidence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What is still missing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Code function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Pipeline completes; all required artifacts regenerate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Continued maintenance on another machine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Mechanical correctness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Yes, within tested rules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Past-only weights, caps, sums, lags and filenames pass tests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Independent code review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Course compliance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Substantially yes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Ten funds, OOS fact sheets, sector index, fusion, six exhibits and app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Public repo and deployment remain student actions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Economic usefulness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Mixed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Several coherent trade-offs; Combined Risk Parity is balanced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Longer and rolling validation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Sentiment value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Modest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Small return/Sharpe improvement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Labelled accuracy test and stronger out-of-sample regimes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Production investability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Prototype assumptions only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Execution, capacity, fees, governance, legal and operations</w:t>
            </w:r>
          </w:p>
        </w:tc>
      </w:tr>
    </w:tbl>
    <w:bookmarkEnd w:id="42"/>
    <w:bookmarkStart w:id="53" w:name="full-yesnounsure-decision-checklist"/>
    <w:p>
      <w:pPr>
        <w:pStyle w:val="Heading2"/>
        <w:keepNext/>
      </w:pPr>
      <w:r>
        <w:t xml:space="preserve">7. Full Yes/No/Unsure decision checklist</w:t>
      </w:r>
    </w:p>
    <w:p>
      <w:pPr>
        <w:pStyle w:val="FirstParagraph"/>
      </w:pPr>
      <w:r>
        <w:t xml:space="preserve">Write one sentence after every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Unsure</w:t>
      </w:r>
      <w:r>
        <w:t xml:space="preserve"> </w:t>
      </w:r>
      <w:r>
        <w:t xml:space="preserve">explaining what evidence would change your answer.</w:t>
      </w:r>
    </w:p>
    <w:bookmarkStart w:id="43" w:name="a.-metric-understanding"/>
    <w:p>
      <w:pPr>
        <w:pStyle w:val="Heading3"/>
        <w:keepNext/>
      </w:pPr>
      <w:r>
        <w:t xml:space="preserve">A. Metric understanding</w:t>
      </w:r>
    </w:p>
    <w:p>
      <w:pPr>
        <w:numPr>
          <w:ilvl w:val="0"/>
          <w:numId w:val="1007"/>
        </w:numPr>
        <w:pStyle w:val="Compact"/>
      </w:pPr>
      <w:r>
        <w:t xml:space="preserve">☐ Yes [ ] No [ ] Unsure — I can explain why annualised return is not the same as total return.</w:t>
      </w:r>
    </w:p>
    <w:p>
      <w:pPr>
        <w:numPr>
          <w:ilvl w:val="0"/>
          <w:numId w:val="1007"/>
        </w:numPr>
        <w:pStyle w:val="Compact"/>
      </w:pPr>
      <w:r>
        <w:t xml:space="preserve">☐ Yes [ ] No [ ] Unsure — I understand why geometric compounding is used for the annualised return.</w:t>
      </w:r>
    </w:p>
    <w:p>
      <w:pPr>
        <w:numPr>
          <w:ilvl w:val="0"/>
          <w:numId w:val="1007"/>
        </w:numPr>
        <w:pStyle w:val="Compact"/>
      </w:pPr>
      <w:r>
        <w:t xml:space="preserve">☐ Yes [ ] No [ ] Unsure — I can explain why equity uses 252 and crypto uses 365 periods.</w:t>
      </w:r>
    </w:p>
    <w:p>
      <w:pPr>
        <w:numPr>
          <w:ilvl w:val="0"/>
          <w:numId w:val="1007"/>
        </w:numPr>
        <w:pStyle w:val="Compact"/>
      </w:pPr>
      <w:r>
        <w:t xml:space="preserve">☐ Yes [ ] No [ ] Unsure — I understand that volatility measures variation, not only losses.</w:t>
      </w:r>
    </w:p>
    <w:p>
      <w:pPr>
        <w:numPr>
          <w:ilvl w:val="0"/>
          <w:numId w:val="1007"/>
        </w:numPr>
        <w:pStyle w:val="Compact"/>
      </w:pPr>
      <w:r>
        <w:t xml:space="preserve">☐ Yes [ ] No [ ] Unsure — I can calculate the direction of a Sharpe change when return rises and volatility stays constant.</w:t>
      </w:r>
    </w:p>
    <w:p>
      <w:pPr>
        <w:numPr>
          <w:ilvl w:val="0"/>
          <w:numId w:val="1007"/>
        </w:numPr>
        <w:pStyle w:val="Compact"/>
      </w:pPr>
      <w:r>
        <w:t xml:space="preserve">☐ Yes [ ] No [ ] Unsure — I understand that a Sharpe above another fund is a relative sample result, not a guarantee.</w:t>
      </w:r>
    </w:p>
    <w:p>
      <w:pPr>
        <w:numPr>
          <w:ilvl w:val="0"/>
          <w:numId w:val="1007"/>
        </w:numPr>
        <w:pStyle w:val="Compact"/>
      </w:pPr>
      <w:r>
        <w:t xml:space="preserve">☐ Yes [ ] No [ ] Unsure — I can explain maximum drawdown using peak, trough and recovery.</w:t>
      </w:r>
    </w:p>
    <w:p>
      <w:pPr>
        <w:numPr>
          <w:ilvl w:val="0"/>
          <w:numId w:val="1007"/>
        </w:numPr>
        <w:pStyle w:val="Compact"/>
      </w:pPr>
      <w:r>
        <w:t xml:space="preserve">☐ Yes [ ] No [ ] Unsure — I understand why -15% is a shallower drawdown than -73%.</w:t>
      </w:r>
    </w:p>
    <w:p>
      <w:pPr>
        <w:numPr>
          <w:ilvl w:val="0"/>
          <w:numId w:val="1007"/>
        </w:numPr>
        <w:pStyle w:val="Compact"/>
      </w:pPr>
      <w:r>
        <w:t xml:space="preserve">☐ Yes [ ] No [ ] Unsure — I can explain why turnover creates cost and operational risk.</w:t>
      </w:r>
    </w:p>
    <w:p>
      <w:pPr>
        <w:numPr>
          <w:ilvl w:val="0"/>
          <w:numId w:val="1007"/>
        </w:numPr>
        <w:pStyle w:val="Compact"/>
      </w:pPr>
      <w:r>
        <w:t xml:space="preserve">☐ Yes [ ] No [ ] Unsure — I understand that the 10 bps cost is an assumption rather than observed execution cost.</w:t>
      </w:r>
    </w:p>
    <w:p>
      <w:pPr>
        <w:numPr>
          <w:ilvl w:val="0"/>
          <w:numId w:val="1007"/>
        </w:numPr>
        <w:pStyle w:val="Compact"/>
      </w:pPr>
      <w:r>
        <w:t xml:space="preserve">☐ Yes [ ] No [ ] Unsure — I understand what an ending value of $1.45 means.</w:t>
      </w:r>
    </w:p>
    <w:p>
      <w:pPr>
        <w:numPr>
          <w:ilvl w:val="0"/>
          <w:numId w:val="1007"/>
        </w:numPr>
        <w:pStyle w:val="Compact"/>
      </w:pPr>
      <w:r>
        <w:t xml:space="preserve">☐ Yes [ ] No [ ] Unsure — I can explain why one attractive metric cannot define</w:t>
      </w:r>
      <w:r>
        <w:t xml:space="preserve"> </w:t>
      </w:r>
      <w:r>
        <w:t xml:space="preserve">“</w:t>
      </w:r>
      <w:r>
        <w:t xml:space="preserve">best</w:t>
      </w:r>
      <w:r>
        <w:t xml:space="preserve">”</w:t>
      </w:r>
      <w:r>
        <w:t xml:space="preserve">.</w:t>
      </w:r>
    </w:p>
    <w:bookmarkEnd w:id="43"/>
    <w:bookmarkStart w:id="44" w:name="b.-backtest-design-and-leakage"/>
    <w:p>
      <w:pPr>
        <w:pStyle w:val="Heading3"/>
        <w:keepNext/>
      </w:pPr>
      <w:r>
        <w:t xml:space="preserve">B. Backtest design and leakage</w:t>
      </w:r>
    </w:p>
    <w:p>
      <w:pPr>
        <w:numPr>
          <w:ilvl w:val="0"/>
          <w:numId w:val="1008"/>
        </w:numPr>
        <w:pStyle w:val="Compact"/>
      </w:pPr>
      <w:r>
        <w:t xml:space="preserve">☐ Yes [ ] No [ ] Unsure — I understand that every live weight uses only earlier returns.</w:t>
      </w:r>
    </w:p>
    <w:p>
      <w:pPr>
        <w:numPr>
          <w:ilvl w:val="0"/>
          <w:numId w:val="1008"/>
        </w:numPr>
        <w:pStyle w:val="Compact"/>
      </w:pPr>
      <w:r>
        <w:t xml:space="preserve">☐ Yes [ ] No [ ] Unsure — I can explain why the first live date is after the estimation window.</w:t>
      </w:r>
    </w:p>
    <w:p>
      <w:pPr>
        <w:numPr>
          <w:ilvl w:val="0"/>
          <w:numId w:val="1008"/>
        </w:numPr>
        <w:pStyle w:val="Compact"/>
      </w:pPr>
      <w:r>
        <w:t xml:space="preserve">☐ Yes [ ] No [ ] Unsure — I understand monthly rebalancing and when a target becomes active.</w:t>
      </w:r>
    </w:p>
    <w:p>
      <w:pPr>
        <w:numPr>
          <w:ilvl w:val="0"/>
          <w:numId w:val="1008"/>
        </w:numPr>
        <w:pStyle w:val="Compact"/>
      </w:pPr>
      <w:r>
        <w:t xml:space="preserve">☐ Yes [ ] No [ ] Unsure — I can explain why crypto returns are calculated on the seven-day calendar first.</w:t>
      </w:r>
    </w:p>
    <w:p>
      <w:pPr>
        <w:numPr>
          <w:ilvl w:val="0"/>
          <w:numId w:val="1008"/>
        </w:numPr>
        <w:pStyle w:val="Compact"/>
      </w:pPr>
      <w:r>
        <w:t xml:space="preserve">☐ Yes [ ] No [ ] Unsure — I understand why combined funds use the equity decision calendar.</w:t>
      </w:r>
    </w:p>
    <w:p>
      <w:pPr>
        <w:numPr>
          <w:ilvl w:val="0"/>
          <w:numId w:val="1008"/>
        </w:numPr>
        <w:pStyle w:val="Compact"/>
      </w:pPr>
      <w:r>
        <w:t xml:space="preserve">☐ Yes [ ] No [ ] Unsure — I can distinguish look-ahead bias from selection bias.</w:t>
      </w:r>
    </w:p>
    <w:p>
      <w:pPr>
        <w:numPr>
          <w:ilvl w:val="0"/>
          <w:numId w:val="1008"/>
        </w:numPr>
        <w:pStyle w:val="Compact"/>
      </w:pPr>
      <w:r>
        <w:t xml:space="preserve">☐ Yes [ ] No [ ] Unsure — I accept the zero risk-free-rate assumption for this course analysis.</w:t>
      </w:r>
    </w:p>
    <w:p>
      <w:pPr>
        <w:numPr>
          <w:ilvl w:val="0"/>
          <w:numId w:val="1008"/>
        </w:numPr>
        <w:pStyle w:val="Compact"/>
      </w:pPr>
      <w:r>
        <w:t xml:space="preserve">☐ Yes [ ] No [ ] Unsure — I accept a one-year rolling estimation window as my design choice.</w:t>
      </w:r>
    </w:p>
    <w:p>
      <w:pPr>
        <w:numPr>
          <w:ilvl w:val="0"/>
          <w:numId w:val="1008"/>
        </w:numPr>
        <w:pStyle w:val="Compact"/>
      </w:pPr>
      <w:r>
        <w:t xml:space="preserve">☐ Yes [ ] No [ ] Unsure — I understand covariance shrinkage and why it is used for minimum variance.</w:t>
      </w:r>
    </w:p>
    <w:p>
      <w:pPr>
        <w:numPr>
          <w:ilvl w:val="0"/>
          <w:numId w:val="1008"/>
        </w:numPr>
        <w:pStyle w:val="Compact"/>
      </w:pPr>
      <w:r>
        <w:t xml:space="preserve">☐ Yes [ ] No [ ] Unsure — I will call the implemented risk parity</w:t>
      </w:r>
      <w:r>
        <w:t xml:space="preserve"> </w:t>
      </w:r>
      <w:r>
        <w:t xml:space="preserve">“</w:t>
      </w:r>
      <w:r>
        <w:t xml:space="preserve">inverse-volatility risk parity</w:t>
      </w:r>
      <w:r>
        <w:t xml:space="preserve">”</w:t>
      </w:r>
      <w:r>
        <w:t xml:space="preserve">, not full-covariance equal-risk contribution.</w:t>
      </w:r>
    </w:p>
    <w:bookmarkEnd w:id="44"/>
    <w:bookmarkStart w:id="45" w:name="X1b2dd96848b133a7efe3966ecb385a1a937302b"/>
    <w:p>
      <w:pPr>
        <w:pStyle w:val="Heading3"/>
        <w:keepNext/>
      </w:pPr>
      <w:r>
        <w:t xml:space="preserve">C. Fund objective and personal preference</w:t>
      </w:r>
    </w:p>
    <w:p>
      <w:pPr>
        <w:numPr>
          <w:ilvl w:val="0"/>
          <w:numId w:val="1009"/>
        </w:numPr>
        <w:pStyle w:val="Compact"/>
      </w:pPr>
      <w:r>
        <w:t xml:space="preserve">☐ Yes [ ] No [ ] Unsure — My primary objective is capital stability rather than maximum growth.</w:t>
      </w:r>
    </w:p>
    <w:p>
      <w:pPr>
        <w:numPr>
          <w:ilvl w:val="0"/>
          <w:numId w:val="1009"/>
        </w:numPr>
        <w:pStyle w:val="Compact"/>
      </w:pPr>
      <w:r>
        <w:t xml:space="preserve">☐ Yes [ ] No [ ] Unsure — I would accept a modeled 20% peak-to-trough loss for higher return.</w:t>
      </w:r>
    </w:p>
    <w:p>
      <w:pPr>
        <w:numPr>
          <w:ilvl w:val="0"/>
          <w:numId w:val="1009"/>
        </w:numPr>
        <w:pStyle w:val="Compact"/>
      </w:pPr>
      <w:r>
        <w:t xml:space="preserve">☐ Yes [ ] No [ ] Unsure — I would accept a modeled 73% peak-to-trough loss for the crypto return opportunity.</w:t>
      </w:r>
    </w:p>
    <w:p>
      <w:pPr>
        <w:numPr>
          <w:ilvl w:val="0"/>
          <w:numId w:val="1009"/>
        </w:numPr>
        <w:pStyle w:val="Compact"/>
      </w:pPr>
      <w:r>
        <w:t xml:space="preserve">☐ Yes [ ] No [ ] Unsure — I prefer a simple equal-weight rule to an estimate-sensitive optimiser.</w:t>
      </w:r>
    </w:p>
    <w:p>
      <w:pPr>
        <w:numPr>
          <w:ilvl w:val="0"/>
          <w:numId w:val="1009"/>
        </w:numPr>
        <w:pStyle w:val="Compact"/>
      </w:pPr>
      <w:r>
        <w:t xml:space="preserve">☐ Yes [ ] No [ ] Unsure — I value low turnover enough to reject a small return improvement.</w:t>
      </w:r>
    </w:p>
    <w:p>
      <w:pPr>
        <w:numPr>
          <w:ilvl w:val="0"/>
          <w:numId w:val="1009"/>
        </w:numPr>
        <w:pStyle w:val="Compact"/>
      </w:pPr>
      <w:r>
        <w:t xml:space="preserve">☐ Yes [ ] No [ ] Unsure — I require meaningful crypto exposure in a fund labelled combined.</w:t>
      </w:r>
    </w:p>
    <w:p>
      <w:pPr>
        <w:numPr>
          <w:ilvl w:val="0"/>
          <w:numId w:val="1009"/>
        </w:numPr>
        <w:pStyle w:val="Compact"/>
      </w:pPr>
      <w:r>
        <w:t xml:space="preserve">☐ Yes [ ] No [ ] Unsure — I consider an 8.15% latest crypto weight meaningful for Combined Risk Parity.</w:t>
      </w:r>
    </w:p>
    <w:p>
      <w:pPr>
        <w:numPr>
          <w:ilvl w:val="0"/>
          <w:numId w:val="1009"/>
        </w:numPr>
        <w:pStyle w:val="Compact"/>
      </w:pPr>
      <w:r>
        <w:t xml:space="preserve">☐ Yes [ ] No [ ] Unsure — I consider a 2.65% latest crypto weight meaningful for Combined Minimum Variance.</w:t>
      </w:r>
    </w:p>
    <w:p>
      <w:pPr>
        <w:numPr>
          <w:ilvl w:val="0"/>
          <w:numId w:val="1009"/>
        </w:numPr>
        <w:pStyle w:val="Compact"/>
      </w:pPr>
      <w:r>
        <w:t xml:space="preserve">☐ Yes [ ] No [ ] Unsure — I would select Combined Risk Parity as the balanced flagship fund.</w:t>
      </w:r>
    </w:p>
    <w:p>
      <w:pPr>
        <w:numPr>
          <w:ilvl w:val="0"/>
          <w:numId w:val="1009"/>
        </w:numPr>
        <w:pStyle w:val="Compact"/>
      </w:pPr>
      <w:r>
        <w:t xml:space="preserve">☐ Yes [ ] No [ ] Unsure — I would keep Combined Minimum Variance as a lower-volatility alternative.</w:t>
      </w:r>
    </w:p>
    <w:p>
      <w:pPr>
        <w:numPr>
          <w:ilvl w:val="0"/>
          <w:numId w:val="1009"/>
        </w:numPr>
        <w:pStyle w:val="Compact"/>
      </w:pPr>
      <w:r>
        <w:t xml:space="preserve">☐ Yes [ ] No [ ] Unsure — I would keep Equity Equal Weight as the simple transparent benchmark.</w:t>
      </w:r>
    </w:p>
    <w:p>
      <w:pPr>
        <w:numPr>
          <w:ilvl w:val="0"/>
          <w:numId w:val="1009"/>
        </w:numPr>
        <w:pStyle w:val="Compact"/>
      </w:pPr>
      <w:r>
        <w:t xml:space="preserve">☐ Yes [ ] No [ ] Unsure — I would label every crypto-only fund high risk regardless of Sharpe.</w:t>
      </w:r>
    </w:p>
    <w:bookmarkEnd w:id="45"/>
    <w:bookmarkStart w:id="46" w:name="d.-reading-the-actual-fund-evidence"/>
    <w:p>
      <w:pPr>
        <w:pStyle w:val="Heading3"/>
        <w:keepNext/>
      </w:pPr>
      <w:r>
        <w:t xml:space="preserve">D. Reading the actual fund evidence</w:t>
      </w:r>
    </w:p>
    <w:p>
      <w:pPr>
        <w:numPr>
          <w:ilvl w:val="0"/>
          <w:numId w:val="1010"/>
        </w:numPr>
        <w:pStyle w:val="Compact"/>
      </w:pPr>
      <w:r>
        <w:t xml:space="preserve">☐ Yes [ ] No [ ] Unsure — I can explain why Crypto Minimum Variance has the best Sharpe but is not the safest fund.</w:t>
      </w:r>
    </w:p>
    <w:p>
      <w:pPr>
        <w:numPr>
          <w:ilvl w:val="0"/>
          <w:numId w:val="1010"/>
        </w:numPr>
        <w:pStyle w:val="Compact"/>
      </w:pPr>
      <w:r>
        <w:t xml:space="preserve">☐ Yes [ ] No [ ] Unsure — I can explain why Equity Minimum Variance reduces risk but has weak return efficiency.</w:t>
      </w:r>
    </w:p>
    <w:p>
      <w:pPr>
        <w:numPr>
          <w:ilvl w:val="0"/>
          <w:numId w:val="1010"/>
        </w:numPr>
        <w:pStyle w:val="Compact"/>
      </w:pPr>
      <w:r>
        <w:t xml:space="preserve">☐ Yes [ ] No [ ] Unsure — I can explain why Combined Risk Parity is preferred over Combined Equal Weight for balance.</w:t>
      </w:r>
    </w:p>
    <w:p>
      <w:pPr>
        <w:numPr>
          <w:ilvl w:val="0"/>
          <w:numId w:val="1010"/>
        </w:numPr>
        <w:pStyle w:val="Compact"/>
      </w:pPr>
      <w:r>
        <w:t xml:space="preserve">☐ Yes [ ] No [ ] Unsure — I understand that Combined Equal Weight delivered more return but a worse drawdown than Combined Risk Parity.</w:t>
      </w:r>
    </w:p>
    <w:p>
      <w:pPr>
        <w:numPr>
          <w:ilvl w:val="0"/>
          <w:numId w:val="1010"/>
        </w:numPr>
        <w:pStyle w:val="Compact"/>
      </w:pPr>
      <w:r>
        <w:t xml:space="preserve">☐ Yes [ ] No [ ] Unsure — I understand that the strongest crypto result may be regime-specific.</w:t>
      </w:r>
    </w:p>
    <w:p>
      <w:pPr>
        <w:numPr>
          <w:ilvl w:val="0"/>
          <w:numId w:val="1010"/>
        </w:numPr>
        <w:pStyle w:val="Compact"/>
      </w:pPr>
      <w:r>
        <w:t xml:space="preserve">☐ Yes [ ] No [ ] Unsure — I accept that three live years are insufficient to establish persistent superiority.</w:t>
      </w:r>
    </w:p>
    <w:p>
      <w:pPr>
        <w:numPr>
          <w:ilvl w:val="0"/>
          <w:numId w:val="1010"/>
        </w:numPr>
        <w:pStyle w:val="Compact"/>
      </w:pPr>
      <w:r>
        <w:t xml:space="preserve">☐ Yes [ ] No [ ] Unsure — I can identify the best fund under at least three different objectives.</w:t>
      </w:r>
    </w:p>
    <w:p>
      <w:pPr>
        <w:numPr>
          <w:ilvl w:val="0"/>
          <w:numId w:val="1010"/>
        </w:numPr>
        <w:pStyle w:val="Compact"/>
      </w:pPr>
      <w:r>
        <w:t xml:space="preserve">☐ Yes [ ] No [ ] Unsure — I will not describe a historical rank as an expected future rank.</w:t>
      </w:r>
    </w:p>
    <w:bookmarkEnd w:id="46"/>
    <w:bookmarkStart w:id="47" w:name="e.-holdings-and-concentration"/>
    <w:p>
      <w:pPr>
        <w:pStyle w:val="Heading3"/>
        <w:keepNext/>
      </w:pPr>
      <w:r>
        <w:t xml:space="preserve">E. Holdings and concentration</w:t>
      </w:r>
    </w:p>
    <w:p>
      <w:pPr>
        <w:numPr>
          <w:ilvl w:val="0"/>
          <w:numId w:val="1011"/>
        </w:numPr>
        <w:pStyle w:val="Compact"/>
      </w:pPr>
      <w:r>
        <w:t xml:space="preserve">☐ Yes [ ] No [ ] Unsure — I have inspected the latest holdings for all funds in the app.</w:t>
      </w:r>
    </w:p>
    <w:p>
      <w:pPr>
        <w:numPr>
          <w:ilvl w:val="0"/>
          <w:numId w:val="1011"/>
        </w:numPr>
        <w:pStyle w:val="Compact"/>
      </w:pPr>
      <w:r>
        <w:t xml:space="preserve">☐ Yes [ ] No [ ] Unsure — I accept 60.89% top-five concentration in Equity Minimum Variance.</w:t>
      </w:r>
    </w:p>
    <w:p>
      <w:pPr>
        <w:numPr>
          <w:ilvl w:val="0"/>
          <w:numId w:val="1011"/>
        </w:numPr>
        <w:pStyle w:val="Compact"/>
      </w:pPr>
      <w:r>
        <w:t xml:space="preserve">☐ Yes [ ] No [ ] Unsure — I accept 90% concentration in the top three Crypto Minimum Variance holdings.</w:t>
      </w:r>
    </w:p>
    <w:p>
      <w:pPr>
        <w:numPr>
          <w:ilvl w:val="0"/>
          <w:numId w:val="1011"/>
        </w:numPr>
        <w:pStyle w:val="Compact"/>
      </w:pPr>
      <w:r>
        <w:t xml:space="preserve">☐ Yes [ ] No [ ] Unsure — I understand that a single-name cap does not guarantee broad diversification.</w:t>
      </w:r>
    </w:p>
    <w:p>
      <w:pPr>
        <w:numPr>
          <w:ilvl w:val="0"/>
          <w:numId w:val="1011"/>
        </w:numPr>
        <w:pStyle w:val="Compact"/>
      </w:pPr>
      <w:r>
        <w:t xml:space="preserve">☐ Yes [ ] No [ ] Unsure — I understand that owning two highly correlated offered funds can duplicate exposure.</w:t>
      </w:r>
    </w:p>
    <w:p>
      <w:pPr>
        <w:numPr>
          <w:ilvl w:val="0"/>
          <w:numId w:val="1011"/>
        </w:numPr>
        <w:pStyle w:val="Compact"/>
      </w:pPr>
      <w:r>
        <w:t xml:space="preserve">☐ Yes [ ] No [ ] Unsure — I would warn users when an allocation includes overlapping underlying holdings.</w:t>
      </w:r>
    </w:p>
    <w:p>
      <w:pPr>
        <w:numPr>
          <w:ilvl w:val="0"/>
          <w:numId w:val="1011"/>
        </w:numPr>
        <w:pStyle w:val="Compact"/>
      </w:pPr>
      <w:r>
        <w:t xml:space="preserve">☐ Yes [ ] No [ ] Unsure — I can explain why risk parity is more broadly spread than minimum variance here.</w:t>
      </w:r>
    </w:p>
    <w:p>
      <w:pPr>
        <w:numPr>
          <w:ilvl w:val="0"/>
          <w:numId w:val="1011"/>
        </w:numPr>
        <w:pStyle w:val="Compact"/>
      </w:pPr>
      <w:r>
        <w:t xml:space="preserve">☐ Yes [ ] No [ ] Unsure — I accept the chosen 20%, 30% and 15% position caps.</w:t>
      </w:r>
    </w:p>
    <w:bookmarkEnd w:id="47"/>
    <w:bookmarkStart w:id="48" w:name="f.-sentiment-model-and-fusion"/>
    <w:p>
      <w:pPr>
        <w:pStyle w:val="Heading3"/>
        <w:keepNext/>
      </w:pPr>
      <w:r>
        <w:t xml:space="preserve">F. Sentiment model and fusion</w:t>
      </w:r>
    </w:p>
    <w:p>
      <w:pPr>
        <w:numPr>
          <w:ilvl w:val="0"/>
          <w:numId w:val="1012"/>
        </w:numPr>
        <w:pStyle w:val="Compact"/>
      </w:pPr>
      <w:r>
        <w:t xml:space="preserve">☐ Yes [ ] No [ ] Unsure — I can explain why headline casing, punctuation and negation are retained for VADER.</w:t>
      </w:r>
    </w:p>
    <w:p>
      <w:pPr>
        <w:numPr>
          <w:ilvl w:val="0"/>
          <w:numId w:val="1012"/>
        </w:numPr>
        <w:pStyle w:val="Compact"/>
      </w:pPr>
      <w:r>
        <w:t xml:space="preserve">☐ Yes [ ] No [ ] Unsure — I understand why a weekend headline is mapped forward and then lagged again.</w:t>
      </w:r>
    </w:p>
    <w:p>
      <w:pPr>
        <w:numPr>
          <w:ilvl w:val="0"/>
          <w:numId w:val="1012"/>
        </w:numPr>
        <w:pStyle w:val="Compact"/>
      </w:pPr>
      <w:r>
        <w:t xml:space="preserve">☐ Yes [ ] No [ ] Unsure — I accept neutral zero as the primary no-news rule.</w:t>
      </w:r>
    </w:p>
    <w:p>
      <w:pPr>
        <w:numPr>
          <w:ilvl w:val="0"/>
          <w:numId w:val="1012"/>
        </w:numPr>
        <w:pStyle w:val="Compact"/>
      </w:pPr>
      <w:r>
        <w:t xml:space="preserve">☐ Yes [ ] No [ ] Unsure — I understand the observed-only sensitivity and the 0.0356 mean absolute difference.</w:t>
      </w:r>
    </w:p>
    <w:p>
      <w:pPr>
        <w:numPr>
          <w:ilvl w:val="0"/>
          <w:numId w:val="1012"/>
        </w:numPr>
        <w:pStyle w:val="Compact"/>
      </w:pPr>
      <w:r>
        <w:t xml:space="preserve">☐ Yes [ ] No [ ] Unsure — I can explain the purpose of the 18-term finance lexicon.</w:t>
      </w:r>
    </w:p>
    <w:p>
      <w:pPr>
        <w:numPr>
          <w:ilvl w:val="0"/>
          <w:numId w:val="1012"/>
        </w:numPr>
        <w:pStyle w:val="Compact"/>
      </w:pPr>
      <w:r>
        <w:t xml:space="preserve">☐ Yes [ ] No [ ] Unsure — I accept that the lexicon was defined transparently but not independently labelled and validated.</w:t>
      </w:r>
    </w:p>
    <w:p>
      <w:pPr>
        <w:numPr>
          <w:ilvl w:val="0"/>
          <w:numId w:val="1012"/>
        </w:numPr>
        <w:pStyle w:val="Compact"/>
      </w:pPr>
      <w:r>
        <w:t xml:space="preserve">☐ Yes [ ] No [ ] Unsure — I understand that finance augmentation changes the sign of only 2.48% of headlines.</w:t>
      </w:r>
    </w:p>
    <w:p>
      <w:pPr>
        <w:numPr>
          <w:ilvl w:val="0"/>
          <w:numId w:val="1012"/>
        </w:numPr>
        <w:pStyle w:val="Compact"/>
      </w:pPr>
      <w:r>
        <w:t xml:space="preserve">☐ Yes [ ] No [ ] Unsure — I understand that 46.83% of augmented scores remain exactly neutral.</w:t>
      </w:r>
    </w:p>
    <w:p>
      <w:pPr>
        <w:numPr>
          <w:ilvl w:val="0"/>
          <w:numId w:val="1012"/>
        </w:numPr>
        <w:pStyle w:val="Compact"/>
      </w:pPr>
      <w:r>
        <w:t xml:space="preserve">☐ Yes [ ] No [ ] Unsure — I can explain why publisher missingness weakens reliability assessment.</w:t>
      </w:r>
    </w:p>
    <w:p>
      <w:pPr>
        <w:numPr>
          <w:ilvl w:val="0"/>
          <w:numId w:val="1012"/>
        </w:numPr>
        <w:pStyle w:val="Compact"/>
      </w:pPr>
      <w:r>
        <w:t xml:space="preserve">☐ Yes [ ] No [ ] Unsure — I will describe the fusion result as modest and non-causal.</w:t>
      </w:r>
    </w:p>
    <w:p>
      <w:pPr>
        <w:numPr>
          <w:ilvl w:val="0"/>
          <w:numId w:val="1012"/>
        </w:numPr>
        <w:pStyle w:val="Compact"/>
      </w:pPr>
      <w:r>
        <w:t xml:space="preserve">☐ Yes [ ] No [ ] Unsure — I consider a 0.52 percentage-point return increase worth about 1.00x extra turnover.</w:t>
      </w:r>
    </w:p>
    <w:p>
      <w:pPr>
        <w:numPr>
          <w:ilvl w:val="0"/>
          <w:numId w:val="1012"/>
        </w:numPr>
        <w:pStyle w:val="Compact"/>
      </w:pPr>
      <w:r>
        <w:t xml:space="preserve">☐ Yes [ ] No [ ] Unsure — I understand why 0.998 correlation means the augmented fund is not a distinct return source.</w:t>
      </w:r>
    </w:p>
    <w:bookmarkEnd w:id="48"/>
    <w:bookmarkStart w:id="49" w:name="g.-data-and-model-limitations"/>
    <w:p>
      <w:pPr>
        <w:pStyle w:val="Heading3"/>
        <w:keepNext/>
      </w:pPr>
      <w:r>
        <w:t xml:space="preserve">G. Data and model limitations</w:t>
      </w:r>
    </w:p>
    <w:p>
      <w:pPr>
        <w:numPr>
          <w:ilvl w:val="0"/>
          <w:numId w:val="1013"/>
        </w:numPr>
        <w:pStyle w:val="Compact"/>
      </w:pPr>
      <w:r>
        <w:t xml:space="preserve">☐ Yes [ ] No [ ] Unsure — I understand why adjusted close, not all OHLC columns, drives return estimation.</w:t>
      </w:r>
    </w:p>
    <w:p>
      <w:pPr>
        <w:numPr>
          <w:ilvl w:val="0"/>
          <w:numId w:val="1013"/>
        </w:numPr>
        <w:pStyle w:val="Compact"/>
      </w:pPr>
      <w:r>
        <w:t xml:space="preserve">☐ Yes [ ] No [ ] Unsure — I can explain the diagnostic role of OHLCV, publisher and URL fields.</w:t>
      </w:r>
    </w:p>
    <w:p>
      <w:pPr>
        <w:numPr>
          <w:ilvl w:val="0"/>
          <w:numId w:val="1013"/>
        </w:numPr>
        <w:pStyle w:val="Compact"/>
      </w:pPr>
      <w:r>
        <w:t xml:space="preserve">☐ Yes [ ] No [ ] Unsure — I understand why 2,847 duplicate headlines were removed.</w:t>
      </w:r>
    </w:p>
    <w:p>
      <w:pPr>
        <w:numPr>
          <w:ilvl w:val="0"/>
          <w:numId w:val="1013"/>
        </w:numPr>
        <w:pStyle w:val="Compact"/>
      </w:pPr>
      <w:r>
        <w:t xml:space="preserve">☐ Yes [ ] No [ ] Unsure — I understand why ten crypto rows after 31 December 2023 were excluded.</w:t>
      </w:r>
    </w:p>
    <w:p>
      <w:pPr>
        <w:numPr>
          <w:ilvl w:val="0"/>
          <w:numId w:val="1013"/>
        </w:numPr>
        <w:pStyle w:val="Compact"/>
      </w:pPr>
      <w:r>
        <w:t xml:space="preserve">☐ Yes [ ] No [ ] Unsure — I accept retaining plausible extreme market returns rather than silently deleting them.</w:t>
      </w:r>
    </w:p>
    <w:p>
      <w:pPr>
        <w:numPr>
          <w:ilvl w:val="0"/>
          <w:numId w:val="1013"/>
        </w:numPr>
        <w:pStyle w:val="Compact"/>
      </w:pPr>
      <w:r>
        <w:t xml:space="preserve">☐ Yes [ ] No [ ] Unsure — I recognise survivorship and universe-selection risk in the supplied sample.</w:t>
      </w:r>
    </w:p>
    <w:p>
      <w:pPr>
        <w:numPr>
          <w:ilvl w:val="0"/>
          <w:numId w:val="1013"/>
        </w:numPr>
        <w:pStyle w:val="Compact"/>
      </w:pPr>
      <w:r>
        <w:t xml:space="preserve">☐ Yes [ ] No [ ] Unsure — I recognise covariance estimation error in a short rolling window.</w:t>
      </w:r>
    </w:p>
    <w:p>
      <w:pPr>
        <w:numPr>
          <w:ilvl w:val="0"/>
          <w:numId w:val="1013"/>
        </w:numPr>
        <w:pStyle w:val="Compact"/>
      </w:pPr>
      <w:r>
        <w:t xml:space="preserve">☐ Yes [ ] No [ ] Unsure — I recognise that one historical regime cannot establish robustness.</w:t>
      </w:r>
    </w:p>
    <w:p>
      <w:pPr>
        <w:numPr>
          <w:ilvl w:val="0"/>
          <w:numId w:val="1013"/>
        </w:numPr>
        <w:pStyle w:val="Compact"/>
      </w:pPr>
      <w:r>
        <w:t xml:space="preserve">☐ Yes [ ] No [ ] Unsure — I would test rolling subperiods and later data before commercial use.</w:t>
      </w:r>
    </w:p>
    <w:p>
      <w:pPr>
        <w:numPr>
          <w:ilvl w:val="0"/>
          <w:numId w:val="1013"/>
        </w:numPr>
        <w:pStyle w:val="Compact"/>
      </w:pPr>
      <w:r>
        <w:t xml:space="preserve">☐ Yes [ ] No [ ] Unsure — I would test higher transaction costs, spread and market impact before commercial use.</w:t>
      </w:r>
    </w:p>
    <w:bookmarkEnd w:id="49"/>
    <w:bookmarkStart w:id="50" w:name="h.-investability-and-product-governance"/>
    <w:p>
      <w:pPr>
        <w:pStyle w:val="Heading3"/>
        <w:keepNext/>
      </w:pPr>
      <w:r>
        <w:t xml:space="preserve">H. Investability and product governance</w:t>
      </w:r>
    </w:p>
    <w:p>
      <w:pPr>
        <w:numPr>
          <w:ilvl w:val="0"/>
          <w:numId w:val="1014"/>
        </w:numPr>
        <w:pStyle w:val="Compact"/>
      </w:pPr>
      <w:r>
        <w:t xml:space="preserve">☐ Yes [ ] No [ ] Unsure — I distinguish an investable fund concept from a production-ready financial product.</w:t>
      </w:r>
    </w:p>
    <w:p>
      <w:pPr>
        <w:numPr>
          <w:ilvl w:val="0"/>
          <w:numId w:val="1014"/>
        </w:numPr>
        <w:pStyle w:val="Compact"/>
      </w:pPr>
      <w:r>
        <w:t xml:space="preserve">☐ Yes [ ] No [ ] Unsure — I understand that no live trades or fills validate the modeled weights.</w:t>
      </w:r>
    </w:p>
    <w:p>
      <w:pPr>
        <w:numPr>
          <w:ilvl w:val="0"/>
          <w:numId w:val="1014"/>
        </w:numPr>
        <w:pStyle w:val="Compact"/>
      </w:pPr>
      <w:r>
        <w:t xml:space="preserve">☐ Yes [ ] No [ ] Unsure — I understand that backtested liquidity proxies do not prove execution capacity.</w:t>
      </w:r>
    </w:p>
    <w:p>
      <w:pPr>
        <w:numPr>
          <w:ilvl w:val="0"/>
          <w:numId w:val="1014"/>
        </w:numPr>
        <w:pStyle w:val="Compact"/>
      </w:pPr>
      <w:r>
        <w:t xml:space="preserve">☐ Yes [ ] No [ ] Unsure — I would define management fees before showing net client returns.</w:t>
      </w:r>
    </w:p>
    <w:p>
      <w:pPr>
        <w:numPr>
          <w:ilvl w:val="0"/>
          <w:numId w:val="1014"/>
        </w:numPr>
        <w:pStyle w:val="Compact"/>
      </w:pPr>
      <w:r>
        <w:t xml:space="preserve">☐ Yes [ ] No [ ] Unsure — I would define custody and venue rules for crypto assets.</w:t>
      </w:r>
    </w:p>
    <w:p>
      <w:pPr>
        <w:numPr>
          <w:ilvl w:val="0"/>
          <w:numId w:val="1014"/>
        </w:numPr>
        <w:pStyle w:val="Compact"/>
      </w:pPr>
      <w:r>
        <w:t xml:space="preserve">☐ Yes [ ] No [ ] Unsure — I would include tax, legal, regulatory and client-suitability review.</w:t>
      </w:r>
    </w:p>
    <w:p>
      <w:pPr>
        <w:numPr>
          <w:ilvl w:val="0"/>
          <w:numId w:val="1014"/>
        </w:numPr>
        <w:pStyle w:val="Compact"/>
      </w:pPr>
      <w:r>
        <w:t xml:space="preserve">☐ Yes [ ] No [ ] Unsure — I would establish rebalance controls and exception handling.</w:t>
      </w:r>
    </w:p>
    <w:p>
      <w:pPr>
        <w:numPr>
          <w:ilvl w:val="0"/>
          <w:numId w:val="1014"/>
        </w:numPr>
        <w:pStyle w:val="Compact"/>
      </w:pPr>
      <w:r>
        <w:t xml:space="preserve">☐ Yes [ ] No [ ] Unsure — I would monitor realised slippage against the 10 bps assumption.</w:t>
      </w:r>
    </w:p>
    <w:p>
      <w:pPr>
        <w:numPr>
          <w:ilvl w:val="0"/>
          <w:numId w:val="1014"/>
        </w:numPr>
        <w:pStyle w:val="Compact"/>
      </w:pPr>
      <w:r>
        <w:t xml:space="preserve">☐ Yes [ ] No [ ] Unsure — I would monitor concentration, turnover and drawdown limits after launch.</w:t>
      </w:r>
    </w:p>
    <w:p>
      <w:pPr>
        <w:numPr>
          <w:ilvl w:val="0"/>
          <w:numId w:val="1014"/>
        </w:numPr>
        <w:pStyle w:val="Compact"/>
      </w:pPr>
      <w:r>
        <w:t xml:space="preserve">☐ Yes [ ] No [ ] Unsure — I would pause or review a fund after a predeclared governance trigger.</w:t>
      </w:r>
    </w:p>
    <w:bookmarkEnd w:id="50"/>
    <w:bookmarkStart w:id="51" w:name="X79a7889d4bf620309c66d8a69bacb82091db4d6"/>
    <w:p>
      <w:pPr>
        <w:pStyle w:val="Heading3"/>
        <w:keepNext/>
      </w:pPr>
      <w:r>
        <w:t xml:space="preserve">I. Report authorship and defensible claims</w:t>
      </w:r>
    </w:p>
    <w:p>
      <w:pPr>
        <w:numPr>
          <w:ilvl w:val="0"/>
          <w:numId w:val="1015"/>
        </w:numPr>
        <w:pStyle w:val="Compact"/>
      </w:pPr>
      <w:r>
        <w:t xml:space="preserve">☐ Yes [ ] No [ ] Unsure — I have personally checked every percentage in the report against the regenerated tables.</w:t>
      </w:r>
    </w:p>
    <w:p>
      <w:pPr>
        <w:numPr>
          <w:ilvl w:val="0"/>
          <w:numId w:val="1015"/>
        </w:numPr>
        <w:pStyle w:val="Compact"/>
      </w:pPr>
      <w:r>
        <w:t xml:space="preserve">☐ Yes [ ] No [ ] Unsure — I can explain all six figures without reading their captions.</w:t>
      </w:r>
    </w:p>
    <w:p>
      <w:pPr>
        <w:numPr>
          <w:ilvl w:val="0"/>
          <w:numId w:val="1015"/>
        </w:numPr>
        <w:pStyle w:val="Compact"/>
      </w:pPr>
      <w:r>
        <w:t xml:space="preserve">☐ Yes [ ] No [ ] Unsure — I agree that Combined Risk Parity is the most balanced flagship in this sample.</w:t>
      </w:r>
    </w:p>
    <w:p>
      <w:pPr>
        <w:numPr>
          <w:ilvl w:val="0"/>
          <w:numId w:val="1015"/>
        </w:numPr>
        <w:pStyle w:val="Compact"/>
      </w:pPr>
      <w:r>
        <w:t xml:space="preserve">☐ Yes [ ] No [ ] Unsure — I agree that Crypto Minimum Variance must not be called low risk.</w:t>
      </w:r>
    </w:p>
    <w:p>
      <w:pPr>
        <w:numPr>
          <w:ilvl w:val="0"/>
          <w:numId w:val="1015"/>
        </w:numPr>
        <w:pStyle w:val="Compact"/>
      </w:pPr>
      <w:r>
        <w:t xml:space="preserve">☐ Yes [ ] No [ ] Unsure — I agree that the sentiment result is a modest extension, not causal evidence.</w:t>
      </w:r>
    </w:p>
    <w:p>
      <w:pPr>
        <w:numPr>
          <w:ilvl w:val="0"/>
          <w:numId w:val="1015"/>
        </w:numPr>
        <w:pStyle w:val="Compact"/>
      </w:pPr>
      <w:r>
        <w:t xml:space="preserve">☐ Yes [ ] No [ ] Unsure — I agree that</w:t>
      </w:r>
      <w:r>
        <w:t xml:space="preserve"> </w:t>
      </w:r>
      <w:r>
        <w:t xml:space="preserve">“</w:t>
      </w:r>
      <w:r>
        <w:t xml:space="preserve">working prototype</w:t>
      </w:r>
      <w:r>
        <w:t xml:space="preserve">”</w:t>
      </w:r>
      <w:r>
        <w:t xml:space="preserve"> </w:t>
      </w:r>
      <w:r>
        <w:t xml:space="preserve">is accurate but</w:t>
      </w:r>
      <w:r>
        <w:t xml:space="preserve"> </w:t>
      </w:r>
      <w:r>
        <w:t xml:space="preserve">“</w:t>
      </w:r>
      <w:r>
        <w:t xml:space="preserve">production ready</w:t>
      </w:r>
      <w:r>
        <w:t xml:space="preserve">”</w:t>
      </w:r>
      <w:r>
        <w:t xml:space="preserve"> </w:t>
      </w:r>
      <w:r>
        <w:t xml:space="preserve">is not.</w:t>
      </w:r>
    </w:p>
    <w:p>
      <w:pPr>
        <w:numPr>
          <w:ilvl w:val="0"/>
          <w:numId w:val="1015"/>
        </w:numPr>
        <w:pStyle w:val="Compact"/>
      </w:pPr>
      <w:r>
        <w:t xml:space="preserve">☐ Yes [ ] No [ ] Unsure — I have personally opened every external source retained in the references.</w:t>
      </w:r>
    </w:p>
    <w:p>
      <w:pPr>
        <w:numPr>
          <w:ilvl w:val="0"/>
          <w:numId w:val="1015"/>
        </w:numPr>
        <w:pStyle w:val="Compact"/>
      </w:pPr>
      <w:r>
        <w:t xml:space="preserve">☐ Yes [ ] No [ ] Unsure — I can defend the three recommendations in my own words.</w:t>
      </w:r>
    </w:p>
    <w:p>
      <w:pPr>
        <w:numPr>
          <w:ilvl w:val="0"/>
          <w:numId w:val="1015"/>
        </w:numPr>
        <w:pStyle w:val="Compact"/>
      </w:pPr>
      <w:r>
        <w:t xml:space="preserve">☐ Yes [ ] No [ ] Unsure — I have rewritten any sentence that I do not naturally understand or endorse.</w:t>
      </w:r>
    </w:p>
    <w:p>
      <w:pPr>
        <w:numPr>
          <w:ilvl w:val="0"/>
          <w:numId w:val="1015"/>
        </w:numPr>
        <w:pStyle w:val="Compact"/>
      </w:pPr>
      <w:r>
        <w:t xml:space="preserve">☐ Yes [ ] No [ ] Unsure — My final report clearly separates observation, hypothesis, inference and recommendation.</w:t>
      </w:r>
    </w:p>
    <w:bookmarkEnd w:id="51"/>
    <w:bookmarkStart w:id="52" w:name="j.-market-position-and-commercial-intent"/>
    <w:p>
      <w:pPr>
        <w:pStyle w:val="Heading3"/>
        <w:keepNext/>
      </w:pPr>
      <w:r>
        <w:t xml:space="preserve">J. Market position and commercial intent</w:t>
      </w:r>
    </w:p>
    <w:p>
      <w:pPr>
        <w:numPr>
          <w:ilvl w:val="0"/>
          <w:numId w:val="1016"/>
        </w:numPr>
        <w:pStyle w:val="Compact"/>
      </w:pPr>
      <w:r>
        <w:t xml:space="preserve">☐ Yes [ ] No [ ] Unsure — I understand that none of the individual components is unique by itself.</w:t>
      </w:r>
    </w:p>
    <w:p>
      <w:pPr>
        <w:numPr>
          <w:ilvl w:val="0"/>
          <w:numId w:val="1016"/>
        </w:numPr>
        <w:pStyle w:val="Compact"/>
      </w:pPr>
      <w:r>
        <w:t xml:space="preserve">☐ Yes [ ] No [ ] Unsure — I can state the customer problem in one sentence without referring to grades or coursework.</w:t>
      </w:r>
    </w:p>
    <w:p>
      <w:pPr>
        <w:numPr>
          <w:ilvl w:val="0"/>
          <w:numId w:val="1016"/>
        </w:numPr>
        <w:pStyle w:val="Compact"/>
      </w:pPr>
      <w:r>
        <w:t xml:space="preserve">☐ Yes [ ] No [ ] Unsure — My target user is a learner or self-directed investor seeking transparent comparisons.</w:t>
      </w:r>
    </w:p>
    <w:p>
      <w:pPr>
        <w:numPr>
          <w:ilvl w:val="0"/>
          <w:numId w:val="1016"/>
        </w:numPr>
        <w:pStyle w:val="Compact"/>
      </w:pPr>
      <w:r>
        <w:t xml:space="preserve">☐ Yes [ ] No [ ] Unsure — I accept that the first marketable version should be research or education, not custody of client money.</w:t>
      </w:r>
    </w:p>
    <w:p>
      <w:pPr>
        <w:numPr>
          <w:ilvl w:val="0"/>
          <w:numId w:val="1016"/>
        </w:numPr>
        <w:pStyle w:val="Compact"/>
      </w:pPr>
      <w:r>
        <w:t xml:space="preserve">☐ Yes [ ] No [ ] Unsure — I can explain how Signal &amp; Story differs from a robo-adviser.</w:t>
      </w:r>
    </w:p>
    <w:p>
      <w:pPr>
        <w:numPr>
          <w:ilvl w:val="0"/>
          <w:numId w:val="1016"/>
        </w:numPr>
        <w:pStyle w:val="Compact"/>
      </w:pPr>
      <w:r>
        <w:t xml:space="preserve">☐ Yes [ ] No [ ] Unsure — I can explain how Signal &amp; Story differs from a strategy-builder platform.</w:t>
      </w:r>
    </w:p>
    <w:p>
      <w:pPr>
        <w:numPr>
          <w:ilvl w:val="0"/>
          <w:numId w:val="1016"/>
        </w:numPr>
        <w:pStyle w:val="Compact"/>
      </w:pPr>
      <w:r>
        <w:t xml:space="preserve">☐ Yes [ ] No [ ] Unsure — I can explain how Signal &amp; Story differs from institutional news analytics.</w:t>
      </w:r>
    </w:p>
    <w:p>
      <w:pPr>
        <w:numPr>
          <w:ilvl w:val="0"/>
          <w:numId w:val="1016"/>
        </w:numPr>
        <w:pStyle w:val="Compact"/>
      </w:pPr>
      <w:r>
        <w:t xml:space="preserve">☐ Yes [ ] No [ ] Unsure — I would keep the evidence and decision trail as the main product distinction.</w:t>
      </w:r>
    </w:p>
    <w:p>
      <w:pPr>
        <w:numPr>
          <w:ilvl w:val="0"/>
          <w:numId w:val="1016"/>
        </w:numPr>
        <w:pStyle w:val="Compact"/>
      </w:pPr>
      <w:r>
        <w:t xml:space="preserve">☐ Yes [ ] No [ ] Unsure — I would reduce the ten funds to a smaller, clearly tiered commercial menu.</w:t>
      </w:r>
    </w:p>
    <w:p>
      <w:pPr>
        <w:numPr>
          <w:ilvl w:val="0"/>
          <w:numId w:val="1016"/>
        </w:numPr>
        <w:pStyle w:val="Compact"/>
      </w:pPr>
      <w:r>
        <w:t xml:space="preserve">☐ Yes [ ] No [ ] Unsure — I would not market the sentiment tilt as proven alpha.</w:t>
      </w:r>
    </w:p>
    <w:p>
      <w:pPr>
        <w:numPr>
          <w:ilvl w:val="0"/>
          <w:numId w:val="1016"/>
        </w:numPr>
        <w:pStyle w:val="Compact"/>
      </w:pPr>
      <w:r>
        <w:t xml:space="preserve">☐ Yes [ ] No [ ] Unsure — I would run a live shadow portfolio before accepting client money.</w:t>
      </w:r>
    </w:p>
    <w:p>
      <w:pPr>
        <w:numPr>
          <w:ilvl w:val="0"/>
          <w:numId w:val="1016"/>
        </w:numPr>
        <w:pStyle w:val="Compact"/>
      </w:pPr>
      <w:r>
        <w:t xml:space="preserve">☐ Yes [ ] No [ ] Unsure — I would seek legal advice or an appropriately licensed partner before offering advice or dealing.</w:t>
      </w:r>
    </w:p>
    <w:p>
      <w:pPr>
        <w:numPr>
          <w:ilvl w:val="0"/>
          <w:numId w:val="1016"/>
        </w:numPr>
        <w:pStyle w:val="Compact"/>
      </w:pPr>
      <w:r>
        <w:t xml:space="preserve">☐ Yes [ ] No [ ] Unsure — I would define fees and demonstrate value after all fees.</w:t>
      </w:r>
    </w:p>
    <w:p>
      <w:pPr>
        <w:numPr>
          <w:ilvl w:val="0"/>
          <w:numId w:val="1016"/>
        </w:numPr>
        <w:pStyle w:val="Compact"/>
      </w:pPr>
      <w:r>
        <w:t xml:space="preserve">☐ Yes [ ] No [ ] Unsure — I would test willingness to pay with target users rather than infer it from backtest performance.</w:t>
      </w:r>
    </w:p>
    <w:p>
      <w:pPr>
        <w:numPr>
          <w:ilvl w:val="0"/>
          <w:numId w:val="1016"/>
        </w:numPr>
        <w:pStyle w:val="Compact"/>
      </w:pPr>
      <w:r>
        <w:t xml:space="preserve">☐ Yes [ ] No [ ] Unsure — I can identify a credible reason a user would switch from a low-cost ETF portfolio.</w:t>
      </w:r>
    </w:p>
    <w:p>
      <w:pPr>
        <w:numPr>
          <w:ilvl w:val="0"/>
          <w:numId w:val="1016"/>
        </w:numPr>
        <w:pStyle w:val="Compact"/>
      </w:pPr>
      <w:r>
        <w:t xml:space="preserve">☐ Yes [ ] No [ ] Unsure — I can identify a credible reason a user would not switch.</w:t>
      </w:r>
    </w:p>
    <w:p>
      <w:pPr>
        <w:numPr>
          <w:ilvl w:val="0"/>
          <w:numId w:val="1016"/>
        </w:numPr>
        <w:pStyle w:val="Compact"/>
      </w:pPr>
      <w:r>
        <w:t xml:space="preserve">☐ Yes [ ] No [ ] Unsure — I understand that product-market fit has not yet been demonstrated.</w:t>
      </w:r>
    </w:p>
    <w:p>
      <w:pPr>
        <w:numPr>
          <w:ilvl w:val="0"/>
          <w:numId w:val="1016"/>
        </w:numPr>
        <w:pStyle w:val="Compact"/>
      </w:pPr>
      <w:r>
        <w:t xml:space="preserve">☐ Yes [ ] No [ ] Unsure — I can defend why this model is the right prototype for the stated customer problem.</w:t>
      </w:r>
    </w:p>
    <w:bookmarkEnd w:id="52"/>
    <w:bookmarkEnd w:id="53"/>
    <w:bookmarkStart w:id="63" w:name="comparable-products-and-models-at-scale"/>
    <w:p>
      <w:pPr>
        <w:pStyle w:val="Heading2"/>
        <w:keepNext/>
      </w:pPr>
      <w:r>
        <w:t xml:space="preserve">8. Comparable products and models at scale</w:t>
      </w:r>
    </w:p>
    <w:p>
      <w:pPr>
        <w:pStyle w:val="FirstParagraph"/>
      </w:pPr>
      <w:r>
        <w:t xml:space="preserve">Signal &amp; Story is not a direct copy of one scaled product. It overlaps with several established</w:t>
      </w:r>
      <w:r>
        <w:t xml:space="preserve"> </w:t>
      </w:r>
      <w:r>
        <w:t xml:space="preserve">categories. This is useful evidence that the problem is real, but it also means</w:t>
      </w:r>
      <w:r>
        <w:t xml:space="preserve"> </w:t>
      </w:r>
      <w:r>
        <w:t xml:space="preserve">“</w:t>
      </w:r>
      <w:r>
        <w:t xml:space="preserve">systematic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AI</w:t>
      </w:r>
      <w:r>
        <w:t xml:space="preserve"> </w:t>
      </w:r>
      <w:r>
        <w:t xml:space="preserve">sentiment</w:t>
      </w:r>
      <w:r>
        <w:t xml:space="preserve">”</w:t>
      </w:r>
      <w:r>
        <w:t xml:space="preserve"> </w:t>
      </w:r>
      <w:r>
        <w:t xml:space="preserve">alone is not a market position.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Comparator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What exists at scale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Similarity to Signal &amp; Story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Important difference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hyperlink r:id="rId54">
              <w:r>
                <w:rPr>
                  <w:rStyle w:val="Hyperlink"/>
                </w:rPr>
                <w:t xml:space="preserve">Wealthfront Automated Investing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Automated portfolios of stocks, bonds and ETFs, assigned through a risk score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Investor onboarding, diversified portfolios and automation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Broader household product and operational infrastructure; Signal &amp; Story is a transparent prototype with direct equity/crypto models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hyperlink r:id="rId55">
              <w:r>
                <w:rPr>
                  <w:rStyle w:val="Hyperlink"/>
                </w:rPr>
                <w:t xml:space="preserve">Stockspot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Australian model and sustainable portfolios using diversified low-fee ETFs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Australian investor journey and managed portfolio comparison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ETF implementation, adviser operations and broad asset classes rather than ten direct systematic funds and headline fusion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hyperlink r:id="rId56">
              <w:r>
                <w:rPr>
                  <w:rStyle w:val="Hyperlink"/>
                </w:rPr>
                <w:t xml:space="preserve">Betashares Direct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Custom portfolios, screening, automatic reinvestment and rebalancing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User-controlled allocation and automated portfolio maintenance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Execution and tax/reporting platform; it does not make your specific risk-parity and sentiment research the product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hyperlink r:id="rId57">
              <w:r>
                <w:rPr>
                  <w:rStyle w:val="Hyperlink"/>
                </w:rPr>
                <w:t xml:space="preserve">Composer by SoFi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Build, backtest and execute rules-based strategies; its site reports more than $37bn trading volume, 18m orders and 2m rebalances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Rule transparency, backtesting and user-directed systematic investing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Strategy-building marketplace and execution infrastructure rather than a curated fact-sheet fund menu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hyperlink r:id="rId58">
              <w:r>
                <w:rPr>
                  <w:rStyle w:val="Hyperlink"/>
                </w:rPr>
                <w:t xml:space="preserve">eToro Smart Portfolios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Curated long-term portfolios across investment themes; eToro has also launched data-driven crypto portfolios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Packaged portfolio ideas, crypto access and investor-facing charts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Primarily thematic/curated portfolios; methodology and evidence journey differ from your constrained multi-method comparison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hyperlink r:id="rId59">
              <w:r>
                <w:rPr>
                  <w:rStyle w:val="Hyperlink"/>
                </w:rPr>
                <w:t xml:space="preserve">AQR risk-allocation research and funds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Institutional risk-balanced portfolios across market risk premia and alternative strategies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Risk parity and systematic multi-asset allocation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Far wider asset classes, research depth and institutional implementation; your risk parity is inverse volatility under a diagonal covariance assumption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hyperlink r:id="rId60">
              <w:r>
                <w:rPr>
                  <w:rStyle w:val="Hyperlink"/>
                </w:rPr>
                <w:t xml:space="preserve">BlackRock Systematic Active Equity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Big data, algorithms and human expertise used to select stocks; its systematic material describes sentiment signals from electronic text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Structured and unstructured data combined in investment models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Institutional scale, extensive data and signal libraries; your model uses a small transparent lexicon and course headline sample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hyperlink r:id="rId61">
              <w:r>
                <w:rPr>
                  <w:rStyle w:val="Hyperlink"/>
                </w:rPr>
                <w:t xml:space="preserve">RavenPack News Analytics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News analytics from more than 40,000 sources for allocation, risk and trading use cases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Sector sentiment, signal construction and news-based risk information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Enterprise data product with point-in-time tagging and much larger coverage; your strength is transparency, not data scale</w:t>
            </w:r>
          </w:p>
        </w:tc>
      </w:tr>
    </w:tbl>
    <w:p>
      <w:pPr>
        <w:pStyle w:val="BodyText"/>
      </w:pPr>
      <w:r>
        <w:t xml:space="preserve">One especially useful caution is that Wealthfront’s own support page states that its Risk Parity Fund</w:t>
      </w:r>
      <w:r>
        <w:t xml:space="preserve"> </w:t>
      </w:r>
      <w:r>
        <w:t xml:space="preserve">was liquidated in January 2025. A valid portfolio method is therefore not, by itself, a durable product</w:t>
      </w:r>
      <w:r>
        <w:t xml:space="preserve"> </w:t>
      </w:r>
      <w:r>
        <w:t xml:space="preserve">or business moat.</w:t>
      </w:r>
      <w:r>
        <w:t xml:space="preserve"> </w:t>
      </w:r>
      <w:hyperlink r:id="rId62">
        <w:r>
          <w:rPr>
            <w:rStyle w:val="Hyperlink"/>
          </w:rPr>
          <w:t xml:space="preserve">Wealthfront risk-parity update</w:t>
        </w:r>
      </w:hyperlink>
      <w:r>
        <w:t xml:space="preserve">.</w:t>
      </w:r>
    </w:p>
    <w:bookmarkEnd w:id="63"/>
    <w:bookmarkStart w:id="72" w:name="is-signal-story-marketable"/>
    <w:p>
      <w:pPr>
        <w:pStyle w:val="Heading2"/>
        <w:keepNext/>
      </w:pPr>
      <w:r>
        <w:t xml:space="preserve">9. Is Signal &amp; Story marketable?</w:t>
      </w:r>
    </w:p>
    <w:bookmarkStart w:id="69" w:name="short-answer"/>
    <w:p>
      <w:pPr>
        <w:pStyle w:val="Heading3"/>
        <w:keepNext/>
      </w:pPr>
      <w:r>
        <w:t xml:space="preserve">9.1 Short answer</w:t>
      </w:r>
    </w:p>
    <w:p>
      <w:pPr>
        <w:pStyle w:val="FirstParagraph"/>
      </w:pPr>
      <w:r>
        <w:rPr>
          <w:bCs/>
          <w:b/>
        </w:rPr>
        <w:t xml:space="preserve">Marketable as an educational and research prototype: yes. Marketable today as a retail managed-fund</w:t>
      </w:r>
      <w:r>
        <w:rPr>
          <w:bCs/>
          <w:b/>
        </w:rPr>
        <w:t xml:space="preserve"> </w:t>
      </w:r>
      <w:r>
        <w:rPr>
          <w:bCs/>
          <w:b/>
        </w:rPr>
        <w:t xml:space="preserve">or automated-advice business: no.</w:t>
      </w:r>
    </w:p>
    <w:p>
      <w:pPr>
        <w:pStyle w:val="BodyText"/>
      </w:pPr>
      <w:r>
        <w:t xml:space="preserve">The current product has a clear demonstration value: it makes risk-return trade-offs visible, lets a</w:t>
      </w:r>
      <w:r>
        <w:t xml:space="preserve"> </w:t>
      </w:r>
      <w:r>
        <w:t xml:space="preserve">user inspect holdings, exposes model assumptions, preserves the supplied data audit and shows a</w:t>
      </w:r>
      <w:r>
        <w:t xml:space="preserve"> </w:t>
      </w:r>
      <w:r>
        <w:t xml:space="preserve">look-ahead-safe sentiment experiment. That is credible for a portfolio-learning lab, a graduate</w:t>
      </w:r>
      <w:r>
        <w:t xml:space="preserve"> </w:t>
      </w:r>
      <w:r>
        <w:t xml:space="preserve">showcase, an adviser research prototype or a paper-investing tool.</w:t>
      </w:r>
    </w:p>
    <w:p>
      <w:pPr>
        <w:pStyle w:val="BodyText"/>
      </w:pPr>
      <w:r>
        <w:t xml:space="preserve">It has not demonstrated product-market fit or legal/operational readiness. In Australia, ASIC states</w:t>
      </w:r>
      <w:r>
        <w:t xml:space="preserve"> </w:t>
      </w:r>
      <w:r>
        <w:t xml:space="preserve">that financial product advice requires authorisation under an Australian financial services licence,</w:t>
      </w:r>
      <w:r>
        <w:t xml:space="preserve"> </w:t>
      </w:r>
      <w:r>
        <w:t xml:space="preserve">and its digital-advice guidance covers licensing through actual delivery. Operating a registered</w:t>
      </w:r>
      <w:r>
        <w:t xml:space="preserve"> </w:t>
      </w:r>
      <w:r>
        <w:t xml:space="preserve">managed investment scheme, custody and dealing can also create licensing obligations. The 2026 digital</w:t>
      </w:r>
      <w:r>
        <w:t xml:space="preserve"> </w:t>
      </w:r>
      <w:r>
        <w:t xml:space="preserve">asset reforms add another moving layer. This is not legal advice; it is a reason to keep the product in</w:t>
      </w:r>
      <w:r>
        <w:t xml:space="preserve"> </w:t>
      </w:r>
      <w:r>
        <w:t xml:space="preserve">research mode until qualified advice and the right authorisations or partnerships are obtained.</w:t>
      </w:r>
    </w:p>
    <w:p>
      <w:pPr>
        <w:numPr>
          <w:ilvl w:val="0"/>
          <w:numId w:val="1017"/>
        </w:numPr>
        <w:pStyle w:val="Compact"/>
      </w:pPr>
      <w:hyperlink r:id="rId64">
        <w:r>
          <w:rPr>
            <w:rStyle w:val="Hyperlink"/>
          </w:rPr>
          <w:t xml:space="preserve">ASIC: Giving financial product advice</w:t>
        </w:r>
      </w:hyperlink>
    </w:p>
    <w:p>
      <w:pPr>
        <w:numPr>
          <w:ilvl w:val="0"/>
          <w:numId w:val="1017"/>
        </w:numPr>
        <w:pStyle w:val="Compact"/>
      </w:pPr>
      <w:hyperlink r:id="rId65">
        <w:r>
          <w:rPr>
            <w:rStyle w:val="Hyperlink"/>
          </w:rPr>
          <w:t xml:space="preserve">ASIC RG 255: Digital financial product advice</w:t>
        </w:r>
      </w:hyperlink>
    </w:p>
    <w:p>
      <w:pPr>
        <w:numPr>
          <w:ilvl w:val="0"/>
          <w:numId w:val="1017"/>
        </w:numPr>
        <w:pStyle w:val="Compact"/>
      </w:pPr>
      <w:hyperlink r:id="rId66">
        <w:r>
          <w:rPr>
            <w:rStyle w:val="Hyperlink"/>
          </w:rPr>
          <w:t xml:space="preserve">ASIC: Do you need an AFS licence?</w:t>
        </w:r>
      </w:hyperlink>
    </w:p>
    <w:p>
      <w:pPr>
        <w:numPr>
          <w:ilvl w:val="0"/>
          <w:numId w:val="1017"/>
        </w:numPr>
        <w:pStyle w:val="Compact"/>
      </w:pPr>
      <w:hyperlink r:id="rId67">
        <w:r>
          <w:rPr>
            <w:rStyle w:val="Hyperlink"/>
          </w:rPr>
          <w:t xml:space="preserve">ASIC: Digital-assets reform roadmap</w:t>
        </w:r>
      </w:hyperlink>
    </w:p>
    <w:p>
      <w:pPr>
        <w:numPr>
          <w:ilvl w:val="0"/>
          <w:numId w:val="1017"/>
        </w:numPr>
        <w:pStyle w:val="Compact"/>
      </w:pPr>
      <w:hyperlink r:id="rId68">
        <w:r>
          <w:rPr>
            <w:rStyle w:val="Hyperlink"/>
          </w:rPr>
          <w:t xml:space="preserve">Moneysmart: Crypto assets</w:t>
        </w:r>
      </w:hyperlink>
    </w:p>
    <w:bookmarkEnd w:id="69"/>
    <w:bookmarkStart w:id="70" w:name="marketability-scorecard"/>
    <w:p>
      <w:pPr>
        <w:pStyle w:val="Heading3"/>
        <w:keepNext/>
      </w:pPr>
      <w:r>
        <w:t xml:space="preserve">9.2 Marketability scorecard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Dimension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Current state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Decision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Customer problem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Comparing opaque risk, return, holdings and news evidence is a genuine problem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Credible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Target segment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Not yet explicitly narrowed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Must choose one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Differentiation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Evidence-first decision trail, multi-method comparison and transparent sentiment gate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Promising but easy to imitate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Performance evidence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Three-year OOS record with coherent relative results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Too short for commercial claims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Sentiment evidence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Small positive change, openly measured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Interesting, not proven alpha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User experience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Complete prototype journey and downloadable allocation audit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Strong for coursework/MVP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Data advantage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No proprietary or real-time data moat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Weak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Execution and custody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Not implemented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Blocker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Fees and unit economics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Not defined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Blocker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Legal and governance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Not implemented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Blocker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Distribution and trust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No live users, partner or track record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Blocker</w:t>
            </w:r>
          </w:p>
        </w:tc>
      </w:tr>
    </w:tbl>
    <w:bookmarkEnd w:id="70"/>
    <w:bookmarkStart w:id="71" w:name="X6be76fbcc736ce23ee9749010e59eb2c9a6e981"/>
    <w:p>
      <w:pPr>
        <w:pStyle w:val="Heading3"/>
        <w:keepNext/>
      </w:pPr>
      <w:r>
        <w:t xml:space="preserve">9.3 The most defensible first customer and product</w:t>
      </w:r>
    </w:p>
    <w:p>
      <w:pPr>
        <w:pStyle w:val="FirstParagraph"/>
      </w:pPr>
      <w:r>
        <w:t xml:space="preserve">The best initial positioning is</w:t>
      </w:r>
      <w:r>
        <w:t xml:space="preserve"> </w:t>
      </w:r>
      <w:r>
        <w:rPr>
          <w:bCs/>
          <w:b/>
        </w:rPr>
        <w:t xml:space="preserve">an evidence-first portfolio learning and research lab for self-directed</w:t>
      </w:r>
      <w:r>
        <w:rPr>
          <w:bCs/>
          <w:b/>
        </w:rPr>
        <w:t xml:space="preserve"> </w:t>
      </w:r>
      <w:r>
        <w:rPr>
          <w:bCs/>
          <w:b/>
        </w:rPr>
        <w:t xml:space="preserve">investors</w:t>
      </w:r>
      <w:r>
        <w:t xml:space="preserve">, not</w:t>
      </w:r>
      <w:r>
        <w:t xml:space="preserve"> </w:t>
      </w:r>
      <w:r>
        <w:t xml:space="preserve">“</w:t>
      </w:r>
      <w:r>
        <w:t xml:space="preserve">an AI fund that beats the market</w:t>
      </w:r>
      <w:r>
        <w:t xml:space="preserve">”</w:t>
      </w:r>
      <w:r>
        <w:t xml:space="preserve">. The customer promise could be:</w:t>
      </w:r>
    </w:p>
    <w:p>
      <w:pPr>
        <w:pStyle w:val="BlockText"/>
      </w:pPr>
      <w:r>
        <w:t xml:space="preserve">Compare simple and optimised equity, crypto and combined portfolios; see exactly what drove each</w:t>
      </w:r>
      <w:r>
        <w:t xml:space="preserve"> </w:t>
      </w:r>
      <w:r>
        <w:t xml:space="preserve">risk result; test an allocation; and understand when news sentiment changes the decision.</w:t>
      </w:r>
    </w:p>
    <w:p>
      <w:pPr>
        <w:pStyle w:val="FirstParagraph"/>
      </w:pPr>
      <w:r>
        <w:t xml:space="preserve">This position uses what the prototype genuinely does well and avoids claiming regulated execution or</w:t>
      </w:r>
      <w:r>
        <w:t xml:space="preserve"> </w:t>
      </w:r>
      <w:r>
        <w:t xml:space="preserve">prediction. A sensible staged path is:</w:t>
      </w:r>
    </w:p>
    <w:p>
      <w:pPr>
        <w:numPr>
          <w:ilvl w:val="0"/>
          <w:numId w:val="1018"/>
        </w:numPr>
        <w:pStyle w:val="Compact"/>
      </w:pPr>
      <w:r>
        <w:t xml:space="preserve">educational dashboard with delayed data and no personalised recommendation;</w:t>
      </w:r>
    </w:p>
    <w:p>
      <w:pPr>
        <w:numPr>
          <w:ilvl w:val="0"/>
          <w:numId w:val="1018"/>
        </w:numPr>
        <w:pStyle w:val="Compact"/>
      </w:pPr>
      <w:r>
        <w:t xml:space="preserve">live shadow portfolios with predeclared rules, incident logs and performance attribution;</w:t>
      </w:r>
    </w:p>
    <w:p>
      <w:pPr>
        <w:numPr>
          <w:ilvl w:val="0"/>
          <w:numId w:val="1018"/>
        </w:numPr>
        <w:pStyle w:val="Compact"/>
      </w:pPr>
      <w:r>
        <w:t xml:space="preserve">user research testing whether the evidence trail improves decisions and whether anyone will pay;</w:t>
      </w:r>
    </w:p>
    <w:p>
      <w:pPr>
        <w:numPr>
          <w:ilvl w:val="0"/>
          <w:numId w:val="1018"/>
        </w:numPr>
        <w:pStyle w:val="Compact"/>
      </w:pPr>
      <w:r>
        <w:t xml:space="preserve">calibrated costs, capacity, custody, fee and tax analysis;</w:t>
      </w:r>
    </w:p>
    <w:p>
      <w:pPr>
        <w:numPr>
          <w:ilvl w:val="0"/>
          <w:numId w:val="1018"/>
        </w:numPr>
        <w:pStyle w:val="Compact"/>
      </w:pPr>
      <w:r>
        <w:t xml:space="preserve">independent model validation and security review; and</w:t>
      </w:r>
    </w:p>
    <w:p>
      <w:pPr>
        <w:numPr>
          <w:ilvl w:val="0"/>
          <w:numId w:val="1018"/>
        </w:numPr>
        <w:pStyle w:val="Compact"/>
      </w:pPr>
      <w:r>
        <w:t xml:space="preserve">only then, a licensed partnership or properly advised regulatory path to execution.</w:t>
      </w:r>
    </w:p>
    <w:bookmarkEnd w:id="71"/>
    <w:bookmarkEnd w:id="72"/>
    <w:bookmarkStart w:id="73" w:name="why-this-model-rather-than-another-model"/>
    <w:p>
      <w:pPr>
        <w:pStyle w:val="Heading2"/>
        <w:keepNext/>
      </w:pPr>
      <w:r>
        <w:t xml:space="preserve">10. Why this model rather than another model?</w:t>
      </w:r>
    </w:p>
    <w:p>
      <w:pPr>
        <w:pStyle w:val="FirstParagraph"/>
      </w:pPr>
      <w:r>
        <w:t xml:space="preserve">The defensible answer is not</w:t>
      </w:r>
      <w:r>
        <w:t xml:space="preserve"> </w:t>
      </w:r>
      <w:r>
        <w:t xml:space="preserve">“</w:t>
      </w:r>
      <w:r>
        <w:t xml:space="preserve">because it has the highest return</w:t>
      </w:r>
      <w:r>
        <w:t xml:space="preserve">”</w:t>
      </w:r>
      <w:r>
        <w:t xml:space="preserve">. The model family was chosen because</w:t>
      </w:r>
      <w:r>
        <w:t xml:space="preserve"> </w:t>
      </w:r>
      <w:r>
        <w:t xml:space="preserve">the product must teach and expose different portfolio objectives using the supplied data: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Equal weight</w:t>
      </w:r>
      <w:r>
        <w:t xml:space="preserve"> </w:t>
      </w:r>
      <w:r>
        <w:t xml:space="preserve">is the transparent baseline. It has minimal estimation risk and low turnover.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Minimum variance</w:t>
      </w:r>
      <w:r>
        <w:t xml:space="preserve"> </w:t>
      </w:r>
      <w:r>
        <w:t xml:space="preserve">asks how smooth the portfolio can be using past covariance. It exposes the cost</w:t>
      </w:r>
      <w:r>
        <w:t xml:space="preserve"> </w:t>
      </w:r>
      <w:r>
        <w:t xml:space="preserve">of stability: lower return, higher concentration and higher turnover in this sample.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Inverse-volatility risk parity</w:t>
      </w:r>
      <w:r>
        <w:t xml:space="preserve"> </w:t>
      </w:r>
      <w:r>
        <w:t xml:space="preserve">spreads exposure according to standalone risk without relying on</w:t>
      </w:r>
      <w:r>
        <w:t xml:space="preserve"> </w:t>
      </w:r>
      <w:r>
        <w:t xml:space="preserve">expected returns. It produced the best combined-fund balance here and is easier to explain than a</w:t>
      </w:r>
      <w:r>
        <w:t xml:space="preserve"> </w:t>
      </w:r>
      <w:r>
        <w:t xml:space="preserve">full covariance risk-budget solver.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Equity, crypto and combined families</w:t>
      </w:r>
      <w:r>
        <w:t xml:space="preserve"> </w:t>
      </w:r>
      <w:r>
        <w:t xml:space="preserve">reveal that asset-class choice can dominate optimiser choice.</w:t>
      </w:r>
      <w:r>
        <w:t xml:space="preserve"> </w:t>
      </w:r>
      <w:r>
        <w:t xml:space="preserve">This prevents a user from mistaking an algorithm name for the source of performance.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reliability-gated sentiment tilt</w:t>
      </w:r>
      <w:r>
        <w:t xml:space="preserve"> </w:t>
      </w:r>
      <w:r>
        <w:t xml:space="preserve">directly uses the supplied unstructured data while respecting</w:t>
      </w:r>
      <w:r>
        <w:t xml:space="preserve"> </w:t>
      </w:r>
      <w:r>
        <w:t xml:space="preserve">coverage weakness and a trading lag. Its modest result is more credible than an exaggerated AI claim.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Precomputed artifacts and a lightweight app</w:t>
      </w:r>
      <w:r>
        <w:t xml:space="preserve"> </w:t>
      </w:r>
      <w:r>
        <w:t xml:space="preserve">make every fact-sheet number traceable and keep the</w:t>
      </w:r>
      <w:r>
        <w:t xml:space="preserve"> </w:t>
      </w:r>
      <w:r>
        <w:t xml:space="preserve">product runnable on a basic deployment.</w:t>
      </w:r>
    </w:p>
    <w:p>
      <w:pPr>
        <w:pStyle w:val="FirstParagraph"/>
      </w:pPr>
      <w:r>
        <w:t xml:space="preserve">The commercial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is therefore</w:t>
      </w:r>
      <w:r>
        <w:t xml:space="preserve"> </w:t>
      </w:r>
      <w:r>
        <w:rPr>
          <w:bCs/>
          <w:b/>
        </w:rPr>
        <w:t xml:space="preserve">transparent decision quality</w:t>
      </w:r>
      <w:r>
        <w:t xml:space="preserve">, not proprietary forecasting. The</w:t>
      </w:r>
      <w:r>
        <w:t xml:space="preserve"> </w:t>
      </w:r>
      <w:r>
        <w:t xml:space="preserve">model shows what a user gains and gives up under each objective. Its weakness is that transparency can</w:t>
      </w:r>
      <w:r>
        <w:t xml:space="preserve"> </w:t>
      </w:r>
      <w:r>
        <w:t xml:space="preserve">be copied. A lasting advantage would require a trusted live record, superior data, validated decision</w:t>
      </w:r>
      <w:r>
        <w:t xml:space="preserve"> </w:t>
      </w:r>
      <w:r>
        <w:t xml:space="preserve">outcomes, distinctive user workflow or distribution partnership.</w:t>
      </w:r>
    </w:p>
    <w:bookmarkEnd w:id="73"/>
    <w:bookmarkStart w:id="74" w:name="your-market-decision-record"/>
    <w:p>
      <w:pPr>
        <w:pStyle w:val="Heading2"/>
        <w:keepNext/>
      </w:pPr>
      <w:r>
        <w:t xml:space="preserve">11. Your market decision record</w:t>
      </w:r>
    </w:p>
    <w:p>
      <w:pPr>
        <w:numPr>
          <w:ilvl w:val="0"/>
          <w:numId w:val="1020"/>
        </w:numPr>
        <w:pStyle w:val="Compact"/>
      </w:pPr>
      <w:r>
        <w:t xml:space="preserve">My first customer is ____________________ who struggles with ________________________________.</w:t>
      </w:r>
    </w:p>
    <w:p>
      <w:pPr>
        <w:numPr>
          <w:ilvl w:val="0"/>
          <w:numId w:val="1020"/>
        </w:numPr>
        <w:pStyle w:val="Compact"/>
      </w:pPr>
      <w:r>
        <w:t xml:space="preserve">My one-sentence value proposition is ______________________________________________________.</w:t>
      </w:r>
    </w:p>
    <w:p>
      <w:pPr>
        <w:numPr>
          <w:ilvl w:val="0"/>
          <w:numId w:val="1020"/>
        </w:numPr>
        <w:pStyle w:val="Compact"/>
      </w:pPr>
      <w:r>
        <w:t xml:space="preserve">The closest competitor is ____________________ and I differ because ________________________.</w:t>
      </w:r>
    </w:p>
    <w:p>
      <w:pPr>
        <w:numPr>
          <w:ilvl w:val="0"/>
          <w:numId w:val="1020"/>
        </w:numPr>
        <w:pStyle w:val="Compact"/>
      </w:pPr>
      <w:r>
        <w:t xml:space="preserve">The feature users cannot easily obtain elsewhere is ______________________________________.</w:t>
      </w:r>
    </w:p>
    <w:p>
      <w:pPr>
        <w:numPr>
          <w:ilvl w:val="0"/>
          <w:numId w:val="1020"/>
        </w:numPr>
        <w:pStyle w:val="Compact"/>
      </w:pPr>
      <w:r>
        <w:t xml:space="preserve">The first evidence of willingness to pay would be ________________________________________.</w:t>
      </w:r>
    </w:p>
    <w:p>
      <w:pPr>
        <w:numPr>
          <w:ilvl w:val="0"/>
          <w:numId w:val="1020"/>
        </w:numPr>
        <w:pStyle w:val="Compact"/>
      </w:pPr>
      <w:r>
        <w:t xml:space="preserve">I will market this first as [ ] education [ ] research [ ] advice [ ] managed investment.</w:t>
      </w:r>
    </w:p>
    <w:p>
      <w:pPr>
        <w:numPr>
          <w:ilvl w:val="0"/>
          <w:numId w:val="1020"/>
        </w:numPr>
        <w:pStyle w:val="Compact"/>
      </w:pPr>
      <w:r>
        <w:t xml:space="preserve">I will remove or change ____________________ before showing it to a real user.</w:t>
      </w:r>
    </w:p>
    <w:p>
      <w:pPr>
        <w:numPr>
          <w:ilvl w:val="0"/>
          <w:numId w:val="1020"/>
        </w:numPr>
        <w:pStyle w:val="Compact"/>
      </w:pPr>
      <w:r>
        <w:t xml:space="preserve">I will consider execution only after ______________________________________________________.</w:t>
      </w:r>
    </w:p>
    <w:bookmarkEnd w:id="74"/>
    <w:bookmarkStart w:id="75" w:name="your-investment-decision-record"/>
    <w:p>
      <w:pPr>
        <w:pStyle w:val="Heading2"/>
        <w:keepNext/>
      </w:pPr>
      <w:r>
        <w:t xml:space="preserve">12. Your investment decision record</w:t>
      </w:r>
    </w:p>
    <w:p>
      <w:pPr>
        <w:pStyle w:val="FirstParagraph"/>
      </w:pPr>
      <w:r>
        <w:t xml:space="preserve">Complete these sentences in your own words.</w:t>
      </w:r>
    </w:p>
    <w:p>
      <w:pPr>
        <w:numPr>
          <w:ilvl w:val="0"/>
          <w:numId w:val="1021"/>
        </w:numPr>
        <w:pStyle w:val="Compact"/>
      </w:pPr>
      <w:r>
        <w:t xml:space="preserve">My flagship fund is ____________________ because ________________________________.</w:t>
      </w:r>
    </w:p>
    <w:p>
      <w:pPr>
        <w:numPr>
          <w:ilvl w:val="0"/>
          <w:numId w:val="1021"/>
        </w:numPr>
        <w:pStyle w:val="Compact"/>
      </w:pPr>
      <w:r>
        <w:t xml:space="preserve">The metric I prioritise is ____________________ because ___________________________.</w:t>
      </w:r>
    </w:p>
    <w:p>
      <w:pPr>
        <w:numPr>
          <w:ilvl w:val="0"/>
          <w:numId w:val="1021"/>
        </w:numPr>
        <w:pStyle w:val="Compact"/>
      </w:pPr>
      <w:r>
        <w:t xml:space="preserve">The maximum drawdown I regard as tolerable for this product is ___________________.</w:t>
      </w:r>
    </w:p>
    <w:p>
      <w:pPr>
        <w:numPr>
          <w:ilvl w:val="0"/>
          <w:numId w:val="1021"/>
        </w:numPr>
        <w:pStyle w:val="Compact"/>
      </w:pPr>
      <w:r>
        <w:t xml:space="preserve">I will / will not offer crypto-only funds because _________________________________.</w:t>
      </w:r>
    </w:p>
    <w:p>
      <w:pPr>
        <w:numPr>
          <w:ilvl w:val="0"/>
          <w:numId w:val="1021"/>
        </w:numPr>
        <w:pStyle w:val="Compact"/>
      </w:pPr>
      <w:r>
        <w:t xml:space="preserve">I will / will not keep the sentiment fund because ________________________________.</w:t>
      </w:r>
    </w:p>
    <w:p>
      <w:pPr>
        <w:numPr>
          <w:ilvl w:val="0"/>
          <w:numId w:val="1021"/>
        </w:numPr>
        <w:pStyle w:val="Compact"/>
      </w:pPr>
      <w:r>
        <w:t xml:space="preserve">The strongest evidence that the model works is _________________________________ .</w:t>
      </w:r>
    </w:p>
    <w:p>
      <w:pPr>
        <w:numPr>
          <w:ilvl w:val="0"/>
          <w:numId w:val="1021"/>
        </w:numPr>
        <w:pStyle w:val="Compact"/>
      </w:pPr>
      <w:r>
        <w:t xml:space="preserve">The strongest evidence against overconfidence is ________________________________.</w:t>
      </w:r>
    </w:p>
    <w:p>
      <w:pPr>
        <w:numPr>
          <w:ilvl w:val="0"/>
          <w:numId w:val="1021"/>
        </w:numPr>
        <w:pStyle w:val="Compact"/>
      </w:pPr>
      <w:r>
        <w:t xml:space="preserve">The first additional test I would run is ________________________________________.</w:t>
      </w:r>
    </w:p>
    <w:p>
      <w:pPr>
        <w:numPr>
          <w:ilvl w:val="0"/>
          <w:numId w:val="1021"/>
        </w:numPr>
        <w:pStyle w:val="Compact"/>
      </w:pPr>
      <w:r>
        <w:t xml:space="preserve">The result that surprised me most is ____________________________________________.</w:t>
      </w:r>
    </w:p>
    <w:p>
      <w:pPr>
        <w:numPr>
          <w:ilvl w:val="0"/>
          <w:numId w:val="1021"/>
        </w:numPr>
        <w:pStyle w:val="Compact"/>
      </w:pPr>
      <w:r>
        <w:t xml:space="preserve">The claim I changed after reviewing the evidence is _____________________________.</w:t>
      </w:r>
    </w:p>
    <w:bookmarkEnd w:id="75"/>
    <w:bookmarkStart w:id="76" w:name="X62385e5f35af90faf7c77868c4c93b78b7b6723"/>
    <w:p>
      <w:pPr>
        <w:pStyle w:val="Heading2"/>
        <w:keepNext/>
      </w:pPr>
      <w:r>
        <w:t xml:space="preserve">13. A defensible conclusion you should be able to reach independently</w:t>
      </w:r>
    </w:p>
    <w:p>
      <w:pPr>
        <w:pStyle w:val="FirstParagraph"/>
      </w:pPr>
      <w:r>
        <w:t xml:space="preserve">The evidence supports calling Signal &amp; Story a functioning, course-aligned prototype. The pipeline</w:t>
      </w:r>
      <w:r>
        <w:t xml:space="preserve"> </w:t>
      </w:r>
      <w:r>
        <w:t xml:space="preserve">regenerates ten long-only, capped, cost-adjusted, walk-forward funds; the app exposes fact sheets,</w:t>
      </w:r>
      <w:r>
        <w:t xml:space="preserve"> </w:t>
      </w:r>
      <w:r>
        <w:t xml:space="preserve">holdings, allocation analysis and sentiment; and the required files and exhibits agree. Combined Risk</w:t>
      </w:r>
      <w:r>
        <w:t xml:space="preserve"> </w:t>
      </w:r>
      <w:r>
        <w:t xml:space="preserve">Parity is the most balanced diversified candidate in this particular sample, not a universal winner.</w:t>
      </w:r>
      <w:r>
        <w:t xml:space="preserve"> </w:t>
      </w:r>
      <w:r>
        <w:t xml:space="preserve">Crypto Minimum Variance has the strongest return and Sharpe, but its drawdown and concentration make</w:t>
      </w:r>
      <w:r>
        <w:t xml:space="preserve"> </w:t>
      </w:r>
      <w:r>
        <w:t xml:space="preserve">it a high-risk satellite at most. The sentiment extension works technically and improves two headline</w:t>
      </w:r>
      <w:r>
        <w:t xml:space="preserve"> </w:t>
      </w:r>
      <w:r>
        <w:t xml:space="preserve">metrics modestly, but it is nearly identical to its base fund and does not establish prediction or</w:t>
      </w:r>
      <w:r>
        <w:t xml:space="preserve"> </w:t>
      </w:r>
      <w:r>
        <w:t xml:space="preserve">causality. The funds are model-implementable, but none should be described as production-investable</w:t>
      </w:r>
      <w:r>
        <w:t xml:space="preserve"> </w:t>
      </w:r>
      <w:r>
        <w:t xml:space="preserve">until longer validation, execution, fee, capacity, governance and regulatory work is completed.</w:t>
      </w:r>
    </w:p>
    <w:p>
      <w:pPr>
        <w:pStyle w:val="BodyText"/>
      </w:pPr>
      <w:r>
        <w:t xml:space="preserve">Do not copy that paragraph automatically. If you cannot reproduce its logic from the tables, return to</w:t>
      </w:r>
      <w:r>
        <w:t xml:space="preserve"> </w:t>
      </w:r>
      <w:r>
        <w:t xml:space="preserve">the corresponding checklist section and mark the item</w:t>
      </w:r>
      <w:r>
        <w:t xml:space="preserve"> </w:t>
      </w:r>
      <w:r>
        <w:rPr>
          <w:bCs/>
          <w:b/>
        </w:rPr>
        <w:t xml:space="preserve">Unsure</w:t>
      </w:r>
      <w:r>
        <w:t xml:space="preserve">.</w:t>
      </w:r>
    </w:p>
    <w:bookmarkEnd w:id="76"/>
    <w:bookmarkStart w:id="77" w:name="evidence-map"/>
    <w:p>
      <w:pPr>
        <w:pStyle w:val="Heading2"/>
        <w:keepNext/>
      </w:pPr>
      <w:r>
        <w:t xml:space="preserve">14. Evidence map</w:t>
      </w:r>
    </w:p>
    <w:p>
      <w:pPr>
        <w:numPr>
          <w:ilvl w:val="0"/>
          <w:numId w:val="1022"/>
        </w:numPr>
        <w:pStyle w:val="Compact"/>
      </w:pPr>
      <w:r>
        <w:t xml:space="preserve">Fund metrics:</w:t>
      </w:r>
      <w:r>
        <w:t xml:space="preserve"> </w:t>
      </w:r>
      <w:r>
        <w:rPr>
          <w:rStyle w:val="VerbatimChar"/>
        </w:rPr>
        <w:t xml:space="preserve">results/tables/performance_metrics.csv</w:t>
      </w:r>
    </w:p>
    <w:p>
      <w:pPr>
        <w:numPr>
          <w:ilvl w:val="0"/>
          <w:numId w:val="1022"/>
        </w:numPr>
        <w:pStyle w:val="Compact"/>
      </w:pPr>
      <w:r>
        <w:t xml:space="preserve">Daily returns, growth and drawdowns:</w:t>
      </w:r>
      <w:r>
        <w:t xml:space="preserve"> </w:t>
      </w:r>
      <w:r>
        <w:rPr>
          <w:rStyle w:val="VerbatimChar"/>
        </w:rPr>
        <w:t xml:space="preserve">results/data/fund_returns.csv</w:t>
      </w:r>
    </w:p>
    <w:p>
      <w:pPr>
        <w:numPr>
          <w:ilvl w:val="0"/>
          <w:numId w:val="1022"/>
        </w:numPr>
        <w:pStyle w:val="Compact"/>
      </w:pPr>
      <w:r>
        <w:t xml:space="preserve">Historical and latest weights:</w:t>
      </w:r>
      <w:r>
        <w:t xml:space="preserve"> </w:t>
      </w:r>
      <w:r>
        <w:rPr>
          <w:rStyle w:val="VerbatimChar"/>
        </w:rPr>
        <w:t xml:space="preserve">results/data/fund_weights.csv</w:t>
      </w:r>
    </w:p>
    <w:p>
      <w:pPr>
        <w:numPr>
          <w:ilvl w:val="0"/>
          <w:numId w:val="1022"/>
        </w:numPr>
        <w:pStyle w:val="Compact"/>
      </w:pPr>
      <w:r>
        <w:t xml:space="preserve">Latest holdings:</w:t>
      </w:r>
      <w:r>
        <w:t xml:space="preserve"> </w:t>
      </w:r>
      <w:r>
        <w:rPr>
          <w:rStyle w:val="VerbatimChar"/>
        </w:rPr>
        <w:t xml:space="preserve">results/tables/current_holdings.csv</w:t>
      </w:r>
    </w:p>
    <w:p>
      <w:pPr>
        <w:numPr>
          <w:ilvl w:val="0"/>
          <w:numId w:val="1022"/>
        </w:numPr>
        <w:pStyle w:val="Compact"/>
      </w:pPr>
      <w:r>
        <w:t xml:space="preserve">Sentiment index:</w:t>
      </w:r>
      <w:r>
        <w:t xml:space="preserve"> </w:t>
      </w:r>
      <w:r>
        <w:rPr>
          <w:rStyle w:val="VerbatimChar"/>
        </w:rPr>
        <w:t xml:space="preserve">results/data/sector_sentiment_index.csv</w:t>
      </w:r>
    </w:p>
    <w:p>
      <w:pPr>
        <w:numPr>
          <w:ilvl w:val="0"/>
          <w:numId w:val="1022"/>
        </w:numPr>
        <w:pStyle w:val="Compact"/>
      </w:pPr>
      <w:r>
        <w:t xml:space="preserve">Sentiment validation:</w:t>
      </w:r>
      <w:r>
        <w:t xml:space="preserve"> </w:t>
      </w:r>
      <w:r>
        <w:rPr>
          <w:rStyle w:val="VerbatimChar"/>
        </w:rPr>
        <w:t xml:space="preserve">results/tables/sentiment_validation.csv</w:t>
      </w:r>
    </w:p>
    <w:p>
      <w:pPr>
        <w:numPr>
          <w:ilvl w:val="0"/>
          <w:numId w:val="1022"/>
        </w:numPr>
        <w:pStyle w:val="Compact"/>
      </w:pPr>
      <w:r>
        <w:t xml:space="preserve">Fusion comparison:</w:t>
      </w:r>
      <w:r>
        <w:t xml:space="preserve"> </w:t>
      </w:r>
      <w:r>
        <w:rPr>
          <w:rStyle w:val="VerbatimChar"/>
        </w:rPr>
        <w:t xml:space="preserve">results/tables/fusion_comparison.csv</w:t>
      </w:r>
    </w:p>
    <w:p>
      <w:pPr>
        <w:numPr>
          <w:ilvl w:val="0"/>
          <w:numId w:val="1022"/>
        </w:numPr>
        <w:pStyle w:val="Compact"/>
      </w:pPr>
      <w:r>
        <w:t xml:space="preserve">Model decisions:</w:t>
      </w:r>
      <w:r>
        <w:t xml:space="preserve"> </w:t>
      </w:r>
      <w:r>
        <w:rPr>
          <w:rStyle w:val="VerbatimChar"/>
        </w:rPr>
        <w:t xml:space="preserve">results/tables/model_specification.csv</w:t>
      </w:r>
    </w:p>
    <w:p>
      <w:pPr>
        <w:numPr>
          <w:ilvl w:val="0"/>
          <w:numId w:val="1022"/>
        </w:numPr>
        <w:pStyle w:val="Compact"/>
      </w:pPr>
      <w:r>
        <w:t xml:space="preserve">Crypto-sleeve sensitivity:</w:t>
      </w:r>
      <w:r>
        <w:t xml:space="preserve"> </w:t>
      </w:r>
      <w:r>
        <w:rPr>
          <w:rStyle w:val="VerbatimChar"/>
        </w:rPr>
        <w:t xml:space="preserve">results/tables/crypto_sleeve_floor_sensitivity.csv</w:t>
      </w:r>
    </w:p>
    <w:p>
      <w:pPr>
        <w:numPr>
          <w:ilvl w:val="0"/>
          <w:numId w:val="1022"/>
        </w:numPr>
        <w:pStyle w:val="Compact"/>
      </w:pPr>
      <w:r>
        <w:t xml:space="preserve">Supplied-field use:</w:t>
      </w:r>
      <w:r>
        <w:t xml:space="preserve"> </w:t>
      </w:r>
      <w:r>
        <w:rPr>
          <w:rStyle w:val="VerbatimChar"/>
        </w:rPr>
        <w:t xml:space="preserve">results/tables/asset_data_use_register.csv</w:t>
      </w:r>
    </w:p>
    <w:p>
      <w:pPr>
        <w:numPr>
          <w:ilvl w:val="0"/>
          <w:numId w:val="1022"/>
        </w:numPr>
        <w:pStyle w:val="Compact"/>
      </w:pPr>
      <w:r>
        <w:t xml:space="preserve">Data integrity audit:</w:t>
      </w:r>
      <w:r>
        <w:t xml:space="preserve"> </w:t>
      </w:r>
      <w:r>
        <w:rPr>
          <w:rStyle w:val="VerbatimChar"/>
        </w:rPr>
        <w:t xml:space="preserve">results/tables/carried_forward_integrity_audit.csv</w:t>
      </w:r>
    </w:p>
    <w:p>
      <w:pPr>
        <w:numPr>
          <w:ilvl w:val="0"/>
          <w:numId w:val="1022"/>
        </w:numPr>
        <w:pStyle w:val="Compact"/>
      </w:pPr>
      <w:r>
        <w:t xml:space="preserve">Final report:</w:t>
      </w:r>
      <w:r>
        <w:t xml:space="preserve"> </w:t>
      </w:r>
      <w:r>
        <w:rPr>
          <w:rStyle w:val="VerbatimChar"/>
        </w:rPr>
        <w:t xml:space="preserve">report/report.docx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report/report.pdf</w:t>
      </w:r>
    </w:p>
    <w:bookmarkEnd w:id="77"/>
    <w:bookmarkStart w:id="88" w:name="X23557279b7f62466b5067fa3714b974f56fa170"/>
    <w:p>
      <w:pPr>
        <w:pStyle w:val="Heading2"/>
        <w:keepNext/>
      </w:pPr>
      <w:r>
        <w:t xml:space="preserve">15. Is the movie-plus-finance sentiment direction correct?</w:t>
      </w:r>
    </w:p>
    <w:bookmarkStart w:id="78" w:name="verdict"/>
    <w:p>
      <w:pPr>
        <w:pStyle w:val="Heading3"/>
        <w:keepNext/>
      </w:pPr>
      <w:r>
        <w:t xml:space="preserve">15.1 Verdict</w:t>
      </w:r>
    </w:p>
    <w:p>
      <w:pPr>
        <w:pStyle w:val="FirstParagraph"/>
      </w:pPr>
      <w:r>
        <w:rPr>
          <w:bCs/>
          <w:b/>
        </w:rPr>
        <w:t xml:space="preserve">Green flag:</w:t>
      </w:r>
      <w:r>
        <w:t xml:space="preserve"> </w:t>
      </w:r>
      <w:r>
        <w:t xml:space="preserve">use a movie-review benchmark to test general evaluative language, then use a separate</w:t>
      </w:r>
      <w:r>
        <w:t xml:space="preserve"> </w:t>
      </w:r>
      <w:r>
        <w:t xml:space="preserve">expert-labelled finance benchmark to test investor meaning. Compare standard VADER with the finance</w:t>
      </w:r>
      <w:r>
        <w:t xml:space="preserve"> </w:t>
      </w:r>
      <w:r>
        <w:t xml:space="preserve">extension in both domains.</w:t>
      </w:r>
    </w:p>
    <w:p>
      <w:pPr>
        <w:pStyle w:val="BodyText"/>
      </w:pPr>
      <w:r>
        <w:rPr>
          <w:bCs/>
          <w:b/>
        </w:rPr>
        <w:t xml:space="preserve">Amber flag:</w:t>
      </w:r>
      <w:r>
        <w:t xml:space="preserve"> </w:t>
      </w:r>
      <w:r>
        <w:t xml:space="preserve">star ratings and movie preferences are noisy labels. A person can give three stars to a</w:t>
      </w:r>
      <w:r>
        <w:t xml:space="preserve"> </w:t>
      </w:r>
      <w:r>
        <w:t xml:space="preserve">film they enjoyed, or one star because of delivery, politics or platform experience rather than the</w:t>
      </w:r>
      <w:r>
        <w:t xml:space="preserve"> </w:t>
      </w:r>
      <w:r>
        <w:t xml:space="preserve">language in the review. Report subgroup results and disagreement rather than assuming perfect labels.</w:t>
      </w:r>
    </w:p>
    <w:p>
      <w:pPr>
        <w:pStyle w:val="BodyText"/>
      </w:pPr>
      <w:r>
        <w:rPr>
          <w:bCs/>
          <w:b/>
        </w:rPr>
        <w:t xml:space="preserve">Red flag:</w:t>
      </w:r>
      <w:r>
        <w:t xml:space="preserve"> </w:t>
      </w:r>
      <w:r>
        <w:t xml:space="preserve">never use Marvel, Disney, Netflix, Prime, Australian casts or movie star ratings as</w:t>
      </w:r>
      <w:r>
        <w:t xml:space="preserve"> </w:t>
      </w:r>
      <w:r>
        <w:t xml:space="preserve">investment signals. They may be review-analysis tags only. Do not merge movie and finance examples into</w:t>
      </w:r>
      <w:r>
        <w:t xml:space="preserve"> </w:t>
      </w:r>
      <w:r>
        <w:t xml:space="preserve">one accuracy figure because</w:t>
      </w:r>
      <w:r>
        <w:t xml:space="preserve"> </w:t>
      </w:r>
      <w:r>
        <w:t xml:space="preserve">“</w:t>
      </w:r>
      <w:r>
        <w:t xml:space="preserve">positive</w:t>
      </w:r>
      <w:r>
        <w:t xml:space="preserve">”</w:t>
      </w:r>
      <w:r>
        <w:t xml:space="preserve"> </w:t>
      </w:r>
      <w:r>
        <w:t xml:space="preserve">has a different target meaning in each domain.</w:t>
      </w:r>
    </w:p>
    <w:bookmarkEnd w:id="78"/>
    <w:bookmarkStart w:id="79" w:name="Xae5ed06a45c73dd11d182e82ff6589d8f88de3e"/>
    <w:p>
      <w:pPr>
        <w:pStyle w:val="Heading3"/>
        <w:keepNext/>
      </w:pPr>
      <w:r>
        <w:t xml:space="preserve">15.2 Define positive, neutral and negative before testing</w:t>
      </w:r>
    </w:p>
    <w:p>
      <w:pPr>
        <w:pStyle w:val="FirstParagraph"/>
      </w:pPr>
      <w:r>
        <w:t xml:space="preserve">For a</w:t>
      </w:r>
      <w:r>
        <w:t xml:space="preserve"> </w:t>
      </w:r>
      <w:r>
        <w:rPr>
          <w:bCs/>
          <w:b/>
        </w:rPr>
        <w:t xml:space="preserve">five-star movie scale</w:t>
      </w:r>
      <w:r>
        <w:t xml:space="preserve">, the proposed predeclared mapping is:</w:t>
      </w:r>
    </w:p>
    <w:p>
      <w:pPr>
        <w:numPr>
          <w:ilvl w:val="0"/>
          <w:numId w:val="1023"/>
        </w:numPr>
        <w:pStyle w:val="Compact"/>
      </w:pPr>
      <w:r>
        <w:t xml:space="preserve">1-2 stars: negative;</w:t>
      </w:r>
    </w:p>
    <w:p>
      <w:pPr>
        <w:numPr>
          <w:ilvl w:val="0"/>
          <w:numId w:val="1023"/>
        </w:numPr>
        <w:pStyle w:val="Compact"/>
      </w:pPr>
      <w:r>
        <w:t xml:space="preserve">3 stars: neutral; and</w:t>
      </w:r>
    </w:p>
    <w:p>
      <w:pPr>
        <w:numPr>
          <w:ilvl w:val="0"/>
          <w:numId w:val="1023"/>
        </w:numPr>
        <w:pStyle w:val="Compact"/>
      </w:pPr>
      <w:r>
        <w:t xml:space="preserve">4-5 stars: positive.</w:t>
      </w:r>
    </w:p>
    <w:p>
      <w:pPr>
        <w:pStyle w:val="FirstParagraph"/>
      </w:pPr>
      <w:r>
        <w:t xml:space="preserve">For a</w:t>
      </w:r>
      <w:r>
        <w:t xml:space="preserve"> </w:t>
      </w:r>
      <w:r>
        <w:rPr>
          <w:bCs/>
          <w:b/>
        </w:rPr>
        <w:t xml:space="preserve">ten-point movie scale</w:t>
      </w:r>
      <w:r>
        <w:t xml:space="preserve">, the equivalent mapping is:</w:t>
      </w:r>
    </w:p>
    <w:p>
      <w:pPr>
        <w:numPr>
          <w:ilvl w:val="0"/>
          <w:numId w:val="1024"/>
        </w:numPr>
        <w:pStyle w:val="Compact"/>
      </w:pPr>
      <w:r>
        <w:t xml:space="preserve">1-4: negative;</w:t>
      </w:r>
    </w:p>
    <w:p>
      <w:pPr>
        <w:numPr>
          <w:ilvl w:val="0"/>
          <w:numId w:val="1024"/>
        </w:numPr>
        <w:pStyle w:val="Compact"/>
      </w:pPr>
      <w:r>
        <w:t xml:space="preserve">5-6: neutral; and</w:t>
      </w:r>
    </w:p>
    <w:p>
      <w:pPr>
        <w:numPr>
          <w:ilvl w:val="0"/>
          <w:numId w:val="1024"/>
        </w:numPr>
        <w:pStyle w:val="Compact"/>
      </w:pPr>
      <w:r>
        <w:t xml:space="preserve">7-10: positive.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Cs/>
          <w:b/>
        </w:rPr>
        <w:t xml:space="preserve">finance</w:t>
      </w:r>
      <w:r>
        <w:t xml:space="preserve">, label from the perspective of the named company’s investor:</w:t>
      </w:r>
    </w:p>
    <w:p>
      <w:pPr>
        <w:numPr>
          <w:ilvl w:val="0"/>
          <w:numId w:val="1025"/>
        </w:numPr>
        <w:pStyle w:val="Compact"/>
      </w:pPr>
      <w:r>
        <w:t xml:space="preserve">positive: the sentence contains explicit information reasonably favourable to firm value or outlook;</w:t>
      </w:r>
    </w:p>
    <w:p>
      <w:pPr>
        <w:numPr>
          <w:ilvl w:val="0"/>
          <w:numId w:val="1025"/>
        </w:numPr>
        <w:pStyle w:val="Compact"/>
      </w:pPr>
      <w:r>
        <w:t xml:space="preserve">negative: it contains explicit information reasonably adverse to firm value or outlook; and</w:t>
      </w:r>
    </w:p>
    <w:p>
      <w:pPr>
        <w:numPr>
          <w:ilvl w:val="0"/>
          <w:numId w:val="1025"/>
        </w:numPr>
        <w:pStyle w:val="Compact"/>
      </w:pPr>
      <w:r>
        <w:t xml:space="preserve">neutral: it has no clear directional economic implication from the text alone.</w:t>
      </w:r>
    </w:p>
    <w:p>
      <w:pPr>
        <w:pStyle w:val="FirstParagraph"/>
      </w:pPr>
      <w:r>
        <w:t xml:space="preserve">Do not label a finance sentence positive merely because it contains a pleasant word.</w:t>
      </w:r>
      <w:r>
        <w:t xml:space="preserve"> </w:t>
      </w:r>
      <w:r>
        <w:t xml:space="preserve">“</w:t>
      </w:r>
      <w:r>
        <w:t xml:space="preserve">Costs fell</w:t>
      </w:r>
      <w:r>
        <w:t xml:space="preserve">”</w:t>
      </w:r>
      <w:r>
        <w:t xml:space="preserve"> </w:t>
      </w:r>
      <w:r>
        <w:t xml:space="preserve">may be</w:t>
      </w:r>
      <w:r>
        <w:t xml:space="preserve"> </w:t>
      </w:r>
      <w:r>
        <w:t xml:space="preserve">positive;</w:t>
      </w:r>
      <w:r>
        <w:t xml:space="preserve"> </w:t>
      </w:r>
      <w:r>
        <w:t xml:space="preserve">“</w:t>
      </w:r>
      <w:r>
        <w:t xml:space="preserve">revenue fell</w:t>
      </w:r>
      <w:r>
        <w:t xml:space="preserve">”</w:t>
      </w:r>
      <w:r>
        <w:t xml:space="preserve"> </w:t>
      </w:r>
      <w:r>
        <w:t xml:space="preserve">is negative;</w:t>
      </w:r>
      <w:r>
        <w:t xml:space="preserve"> </w:t>
      </w:r>
      <w:r>
        <w:t xml:space="preserve">“</w:t>
      </w:r>
      <w:r>
        <w:t xml:space="preserve">the meeting will occur on Tuesday</w:t>
      </w:r>
      <w:r>
        <w:t xml:space="preserve">”</w:t>
      </w:r>
      <w:r>
        <w:t xml:space="preserve"> </w:t>
      </w:r>
      <w:r>
        <w:t xml:space="preserve">is neutral. Entity direction</w:t>
      </w:r>
      <w:r>
        <w:t xml:space="preserve"> </w:t>
      </w:r>
      <w:r>
        <w:t xml:space="preserve">matters when a headline names more than one company.</w:t>
      </w:r>
    </w:p>
    <w:bookmarkEnd w:id="79"/>
    <w:bookmarkStart w:id="80" w:name="Xed0b4ebb9065f753a6d54fe54a74a2abbbe2563"/>
    <w:p>
      <w:pPr>
        <w:pStyle w:val="Heading3"/>
        <w:keepNext/>
      </w:pPr>
      <w:r>
        <w:t xml:space="preserve">15.3 What the current external stress test says</w:t>
      </w:r>
    </w:p>
    <w:p>
      <w:pPr>
        <w:pStyle w:val="FirstParagraph"/>
      </w:pPr>
      <w:r>
        <w:t xml:space="preserve">The NLTK movie-review corpus contains 2,000 binary positive/negative reviews. It does not contain star</w:t>
      </w:r>
      <w:r>
        <w:t xml:space="preserve"> </w:t>
      </w:r>
      <w:r>
        <w:t xml:space="preserve">ratings, platform, franchise, cast-nationality or preference fields. Standard VADER achieved 63.50%</w:t>
      </w:r>
      <w:r>
        <w:t xml:space="preserve"> </w:t>
      </w:r>
      <w:r>
        <w:t xml:space="preserve">accuracy and approximately 0.621 macro-F1. The finance-augmented version also achieved 63.50% accuracy</w:t>
      </w:r>
      <w:r>
        <w:t xml:space="preserve"> </w:t>
      </w:r>
      <w:r>
        <w:t xml:space="preserve">and approximately 0.621 macro-F1. Therefore, the 18 finance terms did not materially damage this coarse</w:t>
      </w:r>
      <w:r>
        <w:t xml:space="preserve"> </w:t>
      </w:r>
      <w:r>
        <w:t xml:space="preserve">general-language benchmark. This is a useful non-degradation check, not proof of high accuracy.</w:t>
      </w:r>
    </w:p>
    <w:p>
      <w:pPr>
        <w:pStyle w:val="BodyText"/>
      </w:pPr>
      <w:r>
        <w:t xml:space="preserve">The star-labelled movie test and expert-labelled finance test are correctly flagged as not yet run in</w:t>
      </w:r>
      <w:r>
        <w:t xml:space="preserve"> </w:t>
      </w:r>
      <w:r>
        <w:rPr>
          <w:rStyle w:val="VerbatimChar"/>
        </w:rPr>
        <w:t xml:space="preserve">results/tables/dual_domain_sentiment_validation.csv</w:t>
      </w:r>
      <w:r>
        <w:t xml:space="preserve">. For coursework, a properly licensed</w:t>
      </w:r>
      <w:r>
        <w:t xml:space="preserve"> </w:t>
      </w:r>
      <w:r>
        <w:t xml:space="preserve">Financial PhraseBank configuration can be used with attribution. Its dataset card states a</w:t>
      </w:r>
      <w:r>
        <w:t xml:space="preserve"> </w:t>
      </w:r>
      <w:r>
        <w:t xml:space="preserve">CC BY-NC-SA 3.0 licence and requires separate permission for commercial use. For a marketable product,</w:t>
      </w:r>
      <w:r>
        <w:t xml:space="preserve"> </w:t>
      </w:r>
      <w:r>
        <w:t xml:space="preserve">use a licensed commercial benchmark or a documented proprietary human-labelled holdout.</w:t>
      </w:r>
    </w:p>
    <w:bookmarkEnd w:id="80"/>
    <w:bookmarkStart w:id="87" w:name="long-direction-checklist"/>
    <w:p>
      <w:pPr>
        <w:pStyle w:val="Heading3"/>
        <w:keepNext/>
      </w:pPr>
      <w:r>
        <w:t xml:space="preserve">15.4 Long direction checklist</w:t>
      </w:r>
    </w:p>
    <w:bookmarkStart w:id="81" w:name="a.-label-design"/>
    <w:p>
      <w:pPr>
        <w:pStyle w:val="Heading4"/>
        <w:keepNext/>
      </w:pPr>
      <w:r>
        <w:t xml:space="preserve">A. Label design</w:t>
      </w:r>
    </w:p>
    <w:p>
      <w:pPr>
        <w:numPr>
          <w:ilvl w:val="0"/>
          <w:numId w:val="1026"/>
        </w:numPr>
        <w:pStyle w:val="Compact"/>
      </w:pPr>
      <w:r>
        <w:t xml:space="preserve">S1. [ ] Yes [ ] No [ ] Unsure — I will define rating thresholds before looking at model results.</w:t>
      </w:r>
    </w:p>
    <w:p>
      <w:pPr>
        <w:numPr>
          <w:ilvl w:val="0"/>
          <w:numId w:val="1026"/>
        </w:numPr>
        <w:pStyle w:val="Compact"/>
      </w:pPr>
      <w:r>
        <w:t xml:space="preserve">S2. [ ] Yes [ ] No [ ] Unsure — I accept 1-2/3/4-5 as negative/neutral/positive on a five-star scale.</w:t>
      </w:r>
    </w:p>
    <w:p>
      <w:pPr>
        <w:numPr>
          <w:ilvl w:val="0"/>
          <w:numId w:val="1026"/>
        </w:numPr>
        <w:pStyle w:val="Compact"/>
      </w:pPr>
      <w:r>
        <w:t xml:space="preserve">S3. [ ] Yes [ ] No [ ] Unsure — I accept 1-4/5-6/7-10 on a ten-point scale.</w:t>
      </w:r>
    </w:p>
    <w:p>
      <w:pPr>
        <w:numPr>
          <w:ilvl w:val="0"/>
          <w:numId w:val="1026"/>
        </w:numPr>
        <w:pStyle w:val="Compact"/>
      </w:pPr>
      <w:r>
        <w:t xml:space="preserve">S4. [ ] Yes [ ] No [ ] Unsure — I will preserve the original star value as well as the mapped label.</w:t>
      </w:r>
    </w:p>
    <w:p>
      <w:pPr>
        <w:numPr>
          <w:ilvl w:val="0"/>
          <w:numId w:val="1026"/>
        </w:numPr>
        <w:pStyle w:val="Compact"/>
      </w:pPr>
      <w:r>
        <w:t xml:space="preserve">S5. [ ] Yes [ ] No [ ] Unsure — I understand that a star label is a proxy for reviewer satisfaction.</w:t>
      </w:r>
    </w:p>
    <w:p>
      <w:pPr>
        <w:numPr>
          <w:ilvl w:val="0"/>
          <w:numId w:val="1026"/>
        </w:numPr>
        <w:pStyle w:val="Compact"/>
      </w:pPr>
      <w:r>
        <w:t xml:space="preserve">S6. [ ] Yes [ ] No [ ] Unsure — I will not infer a missing star rating from the review text.</w:t>
      </w:r>
    </w:p>
    <w:p>
      <w:pPr>
        <w:numPr>
          <w:ilvl w:val="0"/>
          <w:numId w:val="1026"/>
        </w:numPr>
        <w:pStyle w:val="Compact"/>
      </w:pPr>
      <w:r>
        <w:t xml:space="preserve">S7. [ ] Yes [ ] No [ ] Unsure — I will define finance sentiment from an investor perspective.</w:t>
      </w:r>
    </w:p>
    <w:p>
      <w:pPr>
        <w:numPr>
          <w:ilvl w:val="0"/>
          <w:numId w:val="1026"/>
        </w:numPr>
        <w:pStyle w:val="Compact"/>
      </w:pPr>
      <w:r>
        <w:t xml:space="preserve">S8. [ ] Yes [ ] No [ ] Unsure — I will label multi-company finance text at entity level or exclude it.</w:t>
      </w:r>
    </w:p>
    <w:p>
      <w:pPr>
        <w:numPr>
          <w:ilvl w:val="0"/>
          <w:numId w:val="1026"/>
        </w:numPr>
        <w:pStyle w:val="Compact"/>
      </w:pPr>
      <w:r>
        <w:t xml:space="preserve">S9. [ ] Yes [ ] No [ ] Unsure — I will retain neutral as a genuine class in finance.</w:t>
      </w:r>
    </w:p>
    <w:p>
      <w:pPr>
        <w:numPr>
          <w:ilvl w:val="0"/>
          <w:numId w:val="1026"/>
        </w:numPr>
        <w:pStyle w:val="Compact"/>
      </w:pPr>
      <w:r>
        <w:t xml:space="preserve">S10. [ ] Yes [ ] No [ ] Unsure — I will document annotator disagreement rather than erase it.</w:t>
      </w:r>
    </w:p>
    <w:bookmarkEnd w:id="81"/>
    <w:bookmarkStart w:id="82" w:name="b.-movie-preference-and-metadata-slices"/>
    <w:p>
      <w:pPr>
        <w:pStyle w:val="Heading4"/>
        <w:keepNext/>
      </w:pPr>
      <w:r>
        <w:t xml:space="preserve">B. Movie preference and metadata slices</w:t>
      </w:r>
    </w:p>
    <w:p>
      <w:pPr>
        <w:numPr>
          <w:ilvl w:val="0"/>
          <w:numId w:val="1027"/>
        </w:numPr>
        <w:pStyle w:val="Compact"/>
      </w:pPr>
      <w:r>
        <w:t xml:space="preserve">S11. [ ] Yes [ ] No [ ] Unsure — Marvel is a franchise tag, not a sentiment label.</w:t>
      </w:r>
    </w:p>
    <w:p>
      <w:pPr>
        <w:numPr>
          <w:ilvl w:val="0"/>
          <w:numId w:val="1027"/>
        </w:numPr>
        <w:pStyle w:val="Compact"/>
      </w:pPr>
      <w:r>
        <w:t xml:space="preserve">S12. [ ] Yes [ ] No [ ] Unsure — Disney is a studio/distributor tag, not a sentiment label.</w:t>
      </w:r>
    </w:p>
    <w:p>
      <w:pPr>
        <w:numPr>
          <w:ilvl w:val="0"/>
          <w:numId w:val="1027"/>
        </w:numPr>
        <w:pStyle w:val="Compact"/>
      </w:pPr>
      <w:r>
        <w:t xml:space="preserve">S13. [ ] Yes [ ] No [ ] Unsure — Netflix and Prime are platform tags and may change by date or region.</w:t>
      </w:r>
    </w:p>
    <w:p>
      <w:pPr>
        <w:numPr>
          <w:ilvl w:val="0"/>
          <w:numId w:val="1027"/>
        </w:numPr>
        <w:pStyle w:val="Compact"/>
      </w:pPr>
      <w:r>
        <w:t xml:space="preserve">S14. [ ] Yes [ ] No [ ] Unsure — Australian cast is a metadata slice, not a positive or negative class.</w:t>
      </w:r>
    </w:p>
    <w:p>
      <w:pPr>
        <w:numPr>
          <w:ilvl w:val="0"/>
          <w:numId w:val="1027"/>
        </w:numPr>
        <w:pStyle w:val="Compact"/>
      </w:pPr>
      <w:r>
        <w:t xml:space="preserve">S15. [ ] Yes [ ] No [ ] Unsure — I will define</w:t>
      </w:r>
      <w:r>
        <w:t xml:space="preserve"> </w:t>
      </w:r>
      <w:r>
        <w:t xml:space="preserve">“</w:t>
      </w:r>
      <w:r>
        <w:t xml:space="preserve">Australian cast</w:t>
      </w:r>
      <w:r>
        <w:t xml:space="preserve">”</w:t>
      </w:r>
      <w:r>
        <w:t xml:space="preserve"> </w:t>
      </w:r>
      <w:r>
        <w:t xml:space="preserve">from a reliable source, not name guessing.</w:t>
      </w:r>
    </w:p>
    <w:p>
      <w:pPr>
        <w:numPr>
          <w:ilvl w:val="0"/>
          <w:numId w:val="1027"/>
        </w:numPr>
        <w:pStyle w:val="Compact"/>
      </w:pPr>
      <w:r>
        <w:t xml:space="preserve">S16. [ ] Yes [ ] No [ ] Unsure — I understand that one film can be Marvel, Disney and available on a platform.</w:t>
      </w:r>
    </w:p>
    <w:p>
      <w:pPr>
        <w:numPr>
          <w:ilvl w:val="0"/>
          <w:numId w:val="1027"/>
        </w:numPr>
        <w:pStyle w:val="Compact"/>
      </w:pPr>
      <w:r>
        <w:t xml:space="preserve">S17. [ ] Yes [ ] No [ ] Unsure — I will allow overlapping slice tags rather than force false exclusivity.</w:t>
      </w:r>
    </w:p>
    <w:p>
      <w:pPr>
        <w:numPr>
          <w:ilvl w:val="0"/>
          <w:numId w:val="1027"/>
        </w:numPr>
        <w:pStyle w:val="Compact"/>
      </w:pPr>
      <w:r>
        <w:t xml:space="preserve">S18. [ ] Yes [ ] No [ ] Unsure — I will record review date and country when platform availability matters.</w:t>
      </w:r>
    </w:p>
    <w:p>
      <w:pPr>
        <w:numPr>
          <w:ilvl w:val="0"/>
          <w:numId w:val="1027"/>
        </w:numPr>
        <w:pStyle w:val="Compact"/>
      </w:pPr>
      <w:r>
        <w:t xml:space="preserve">S19. [ ] Yes [ ] No [ ] Unsure — I will treat stated genre preference as a subgroup, not ground truth.</w:t>
      </w:r>
    </w:p>
    <w:p>
      <w:pPr>
        <w:numPr>
          <w:ilvl w:val="0"/>
          <w:numId w:val="1027"/>
        </w:numPr>
        <w:pStyle w:val="Compact"/>
      </w:pPr>
      <w:r>
        <w:t xml:space="preserve">S20. [ ] Yes [ ] No [ ] Unsure — I will compare preference-match and preference-mismatch performance.</w:t>
      </w:r>
    </w:p>
    <w:bookmarkEnd w:id="82"/>
    <w:bookmarkStart w:id="83" w:name="c.-data-rights-and-sample-integrity"/>
    <w:p>
      <w:pPr>
        <w:pStyle w:val="Heading4"/>
        <w:keepNext/>
      </w:pPr>
      <w:r>
        <w:t xml:space="preserve">C. Data rights and sample integrity</w:t>
      </w:r>
    </w:p>
    <w:p>
      <w:pPr>
        <w:numPr>
          <w:ilvl w:val="0"/>
          <w:numId w:val="1028"/>
        </w:numPr>
        <w:pStyle w:val="Compact"/>
      </w:pPr>
      <w:r>
        <w:t xml:space="preserve">S21. [ ] Yes [ ] No [ ] Unsure — I have a legitimate licence for every review dataset used.</w:t>
      </w:r>
    </w:p>
    <w:p>
      <w:pPr>
        <w:numPr>
          <w:ilvl w:val="0"/>
          <w:numId w:val="1028"/>
        </w:numPr>
        <w:pStyle w:val="Compact"/>
      </w:pPr>
      <w:r>
        <w:t xml:space="preserve">S22. [ ] Yes [ ] No [ ] Unsure — I will not redistribute Financial PhraseBank commercially under its research licence.</w:t>
      </w:r>
    </w:p>
    <w:p>
      <w:pPr>
        <w:numPr>
          <w:ilvl w:val="0"/>
          <w:numId w:val="1028"/>
        </w:numPr>
        <w:pStyle w:val="Compact"/>
      </w:pPr>
      <w:r>
        <w:t xml:space="preserve">S23. [ ] Yes [ ] No [ ] Unsure — I will not scrape Netflix, Prime or another platform contrary to its terms.</w:t>
      </w:r>
    </w:p>
    <w:p>
      <w:pPr>
        <w:numPr>
          <w:ilvl w:val="0"/>
          <w:numId w:val="1028"/>
        </w:numPr>
        <w:pStyle w:val="Compact"/>
      </w:pPr>
      <w:r>
        <w:t xml:space="preserve">S24. [ ] Yes [ ] No [ ] Unsure — I will remove exact duplicate reviews before splitting data.</w:t>
      </w:r>
    </w:p>
    <w:p>
      <w:pPr>
        <w:numPr>
          <w:ilvl w:val="0"/>
          <w:numId w:val="1028"/>
        </w:numPr>
        <w:pStyle w:val="Compact"/>
      </w:pPr>
      <w:r>
        <w:t xml:space="preserve">S25. [ ] Yes [ ] No [ ] Unsure — Reviews for the same film will not leak across tuning and test sets.</w:t>
      </w:r>
    </w:p>
    <w:p>
      <w:pPr>
        <w:numPr>
          <w:ilvl w:val="0"/>
          <w:numId w:val="1028"/>
        </w:numPr>
        <w:pStyle w:val="Compact"/>
      </w:pPr>
      <w:r>
        <w:t xml:space="preserve">S26. [ ] Yes [ ] No [ ] Unsure — I will report class counts for positive, neutral and negative.</w:t>
      </w:r>
    </w:p>
    <w:p>
      <w:pPr>
        <w:numPr>
          <w:ilvl w:val="0"/>
          <w:numId w:val="1028"/>
        </w:numPr>
        <w:pStyle w:val="Compact"/>
      </w:pPr>
      <w:r>
        <w:t xml:space="preserve">S27. [ ] Yes [ ] No [ ] Unsure — I will report sample counts for every platform/franchise/cast slice.</w:t>
      </w:r>
    </w:p>
    <w:p>
      <w:pPr>
        <w:numPr>
          <w:ilvl w:val="0"/>
          <w:numId w:val="1028"/>
        </w:numPr>
        <w:pStyle w:val="Compact"/>
      </w:pPr>
      <w:r>
        <w:t xml:space="preserve">S28. [ ] Yes [ ] No [ ] Unsure — I will not publish a subgroup metric with too few observations.</w:t>
      </w:r>
    </w:p>
    <w:p>
      <w:pPr>
        <w:numPr>
          <w:ilvl w:val="0"/>
          <w:numId w:val="1028"/>
        </w:numPr>
        <w:pStyle w:val="Compact"/>
      </w:pPr>
      <w:r>
        <w:t xml:space="preserve">S29. [ ] Yes [ ] No [ ] Unsure — I will preserve punctuation, casing, negation, emoji and intensifiers for VADER.</w:t>
      </w:r>
    </w:p>
    <w:p>
      <w:pPr>
        <w:numPr>
          <w:ilvl w:val="0"/>
          <w:numId w:val="1028"/>
        </w:numPr>
        <w:pStyle w:val="Compact"/>
      </w:pPr>
      <w:r>
        <w:t xml:space="preserve">S30. [ ] Yes [ ] No [ ] Unsure — I will separate review text from unrelated delivery or customer-service complaints.</w:t>
      </w:r>
    </w:p>
    <w:bookmarkEnd w:id="83"/>
    <w:bookmarkStart w:id="84" w:name="d.-model-comparison"/>
    <w:p>
      <w:pPr>
        <w:pStyle w:val="Heading4"/>
        <w:keepNext/>
      </w:pPr>
      <w:r>
        <w:t xml:space="preserve">D. Model comparison</w:t>
      </w:r>
    </w:p>
    <w:p>
      <w:pPr>
        <w:numPr>
          <w:ilvl w:val="0"/>
          <w:numId w:val="1029"/>
        </w:numPr>
        <w:pStyle w:val="Compact"/>
      </w:pPr>
      <w:r>
        <w:t xml:space="preserve">S31. [ ] Yes [ ] No [ ] Unsure — Standard VADER is the predeclared baseline.</w:t>
      </w:r>
    </w:p>
    <w:p>
      <w:pPr>
        <w:numPr>
          <w:ilvl w:val="0"/>
          <w:numId w:val="1029"/>
        </w:numPr>
        <w:pStyle w:val="Compact"/>
      </w:pPr>
      <w:r>
        <w:t xml:space="preserve">S32. [ ] Yes [ ] No [ ] Unsure — Finance-augmented VADER is tested on exactly the same examples.</w:t>
      </w:r>
    </w:p>
    <w:p>
      <w:pPr>
        <w:numPr>
          <w:ilvl w:val="0"/>
          <w:numId w:val="1029"/>
        </w:numPr>
        <w:pStyle w:val="Compact"/>
      </w:pPr>
      <w:r>
        <w:t xml:space="preserve">S33. [ ] Yes [ ] No [ ] Unsure — Thresholds are not tuned on the final test set.</w:t>
      </w:r>
    </w:p>
    <w:p>
      <w:pPr>
        <w:numPr>
          <w:ilvl w:val="0"/>
          <w:numId w:val="1029"/>
        </w:numPr>
        <w:pStyle w:val="Compact"/>
      </w:pPr>
      <w:r>
        <w:t xml:space="preserve">S34. [ ] Yes [ ] No [ ] Unsure — I will report accuracy and macro-F1, not accuracy alone.</w:t>
      </w:r>
    </w:p>
    <w:p>
      <w:pPr>
        <w:numPr>
          <w:ilvl w:val="0"/>
          <w:numId w:val="1029"/>
        </w:numPr>
        <w:pStyle w:val="Compact"/>
      </w:pPr>
      <w:r>
        <w:t xml:space="preserve">S35. [ ] Yes [ ] No [ ] Unsure — I will inspect precision and recall for each class.</w:t>
      </w:r>
    </w:p>
    <w:p>
      <w:pPr>
        <w:numPr>
          <w:ilvl w:val="0"/>
          <w:numId w:val="1029"/>
        </w:numPr>
        <w:pStyle w:val="Compact"/>
      </w:pPr>
      <w:r>
        <w:t xml:space="preserve">S36. [ ] Yes [ ] No [ ] Unsure — I will inspect a confusion matrix, especially neutral errors.</w:t>
      </w:r>
    </w:p>
    <w:p>
      <w:pPr>
        <w:numPr>
          <w:ilvl w:val="0"/>
          <w:numId w:val="1029"/>
        </w:numPr>
        <w:pStyle w:val="Compact"/>
      </w:pPr>
      <w:r>
        <w:t xml:space="preserve">S37. [ ] Yes [ ] No [ ] Unsure — I will manually inspect false positives and false negatives.</w:t>
      </w:r>
    </w:p>
    <w:p>
      <w:pPr>
        <w:numPr>
          <w:ilvl w:val="0"/>
          <w:numId w:val="1029"/>
        </w:numPr>
        <w:pStyle w:val="Compact"/>
      </w:pPr>
      <w:r>
        <w:t xml:space="preserve">S38. [ ] Yes [ ] No [ ] Unsure — I will test whether the finance lexicon harms movie-review performance.</w:t>
      </w:r>
    </w:p>
    <w:p>
      <w:pPr>
        <w:numPr>
          <w:ilvl w:val="0"/>
          <w:numId w:val="1029"/>
        </w:numPr>
        <w:pStyle w:val="Compact"/>
      </w:pPr>
      <w:r>
        <w:t xml:space="preserve">S39. [ ] Yes [ ] No [ ] Unsure — I will test whether the finance lexicon improves expert-labelled finance performance.</w:t>
      </w:r>
    </w:p>
    <w:p>
      <w:pPr>
        <w:numPr>
          <w:ilvl w:val="0"/>
          <w:numId w:val="1029"/>
        </w:numPr>
        <w:pStyle w:val="Compact"/>
      </w:pPr>
      <w:r>
        <w:t xml:space="preserve">S40. [ ] Yes [ ] No [ ] Unsure — I will reject the extension if it only changes scores without improving valid labels.</w:t>
      </w:r>
    </w:p>
    <w:bookmarkEnd w:id="84"/>
    <w:bookmarkStart w:id="85" w:name="e.-matching-the-domains-correctly"/>
    <w:p>
      <w:pPr>
        <w:pStyle w:val="Heading4"/>
        <w:keepNext/>
      </w:pPr>
      <w:r>
        <w:t xml:space="preserve">E. Matching the domains correctly</w:t>
      </w:r>
    </w:p>
    <w:p>
      <w:pPr>
        <w:numPr>
          <w:ilvl w:val="0"/>
          <w:numId w:val="1030"/>
        </w:numPr>
        <w:pStyle w:val="Compact"/>
      </w:pPr>
      <w:r>
        <w:t xml:space="preserve">S41. [ ] Yes [ ] No [ ] Unsure — Movie and finance results remain separate in the scorecard.</w:t>
      </w:r>
    </w:p>
    <w:p>
      <w:pPr>
        <w:numPr>
          <w:ilvl w:val="0"/>
          <w:numId w:val="1030"/>
        </w:numPr>
        <w:pStyle w:val="Compact"/>
      </w:pPr>
      <w:r>
        <w:t xml:space="preserve">S42. [ ] Yes [ ] No [ ] Unsure — I will not average movie and finance accuracy into one headline number.</w:t>
      </w:r>
    </w:p>
    <w:p>
      <w:pPr>
        <w:numPr>
          <w:ilvl w:val="0"/>
          <w:numId w:val="1030"/>
        </w:numPr>
        <w:pStyle w:val="Compact"/>
      </w:pPr>
      <w:r>
        <w:t xml:space="preserve">S43. [ ] Yes [ ] No [ ] Unsure — General-domain non-degradation and finance-domain improvement are separate gates.</w:t>
      </w:r>
    </w:p>
    <w:p>
      <w:pPr>
        <w:numPr>
          <w:ilvl w:val="0"/>
          <w:numId w:val="1030"/>
        </w:numPr>
        <w:pStyle w:val="Compact"/>
      </w:pPr>
      <w:r>
        <w:t xml:space="preserve">S44. [ ] Yes [ ] No [ ] Unsure — Movie preference never enters the portfolio optimiser.</w:t>
      </w:r>
    </w:p>
    <w:p>
      <w:pPr>
        <w:numPr>
          <w:ilvl w:val="0"/>
          <w:numId w:val="1030"/>
        </w:numPr>
        <w:pStyle w:val="Compact"/>
      </w:pPr>
      <w:r>
        <w:t xml:space="preserve">S45. [ ] Yes [ ] No [ ] Unsure — Star ratings never enter the portfolio optimiser.</w:t>
      </w:r>
    </w:p>
    <w:p>
      <w:pPr>
        <w:numPr>
          <w:ilvl w:val="0"/>
          <w:numId w:val="1030"/>
        </w:numPr>
        <w:pStyle w:val="Compact"/>
      </w:pPr>
      <w:r>
        <w:t xml:space="preserve">S46. [ ] Yes [ ] No [ ] Unsure — Finance sentiment remains lagged before investment use.</w:t>
      </w:r>
    </w:p>
    <w:p>
      <w:pPr>
        <w:numPr>
          <w:ilvl w:val="0"/>
          <w:numId w:val="1030"/>
        </w:numPr>
        <w:pStyle w:val="Compact"/>
      </w:pPr>
      <w:r>
        <w:t xml:space="preserve">S47. [ ] Yes [ ] No [ ] Unsure — A good movie benchmark does not prove finance validity.</w:t>
      </w:r>
    </w:p>
    <w:p>
      <w:pPr>
        <w:numPr>
          <w:ilvl w:val="0"/>
          <w:numId w:val="1030"/>
        </w:numPr>
        <w:pStyle w:val="Compact"/>
      </w:pPr>
      <w:r>
        <w:t xml:space="preserve">S48. [ ] Yes [ ] No [ ] Unsure — A good finance benchmark does not prove return predictability.</w:t>
      </w:r>
    </w:p>
    <w:p>
      <w:pPr>
        <w:numPr>
          <w:ilvl w:val="0"/>
          <w:numId w:val="1030"/>
        </w:numPr>
        <w:pStyle w:val="Compact"/>
      </w:pPr>
      <w:r>
        <w:t xml:space="preserve">S49. [ ] Yes [ ] No [ ] Unsure — Classification value and portfolio value are evaluated separately.</w:t>
      </w:r>
    </w:p>
    <w:p>
      <w:pPr>
        <w:numPr>
          <w:ilvl w:val="0"/>
          <w:numId w:val="1030"/>
        </w:numPr>
        <w:pStyle w:val="Compact"/>
      </w:pPr>
      <w:r>
        <w:t xml:space="preserve">S50. [ ] Yes [ ] No [ ] Unsure — I will keep the current sentiment claim modest until both gates pass.</w:t>
      </w:r>
    </w:p>
    <w:bookmarkEnd w:id="85"/>
    <w:bookmarkStart w:id="86" w:name="f.-product-decision"/>
    <w:p>
      <w:pPr>
        <w:pStyle w:val="Heading4"/>
        <w:keepNext/>
      </w:pPr>
      <w:r>
        <w:t xml:space="preserve">F. Product decision</w:t>
      </w:r>
    </w:p>
    <w:p>
      <w:pPr>
        <w:numPr>
          <w:ilvl w:val="0"/>
          <w:numId w:val="1031"/>
        </w:numPr>
        <w:pStyle w:val="Compact"/>
      </w:pPr>
      <w:r>
        <w:t xml:space="preserve">S51. [ ] Yes [ ] No [ ] Unsure — The movie benchmark will be shown as model assurance, not an investor feature.</w:t>
      </w:r>
    </w:p>
    <w:p>
      <w:pPr>
        <w:numPr>
          <w:ilvl w:val="0"/>
          <w:numId w:val="1031"/>
        </w:numPr>
        <w:pStyle w:val="Compact"/>
      </w:pPr>
      <w:r>
        <w:t xml:space="preserve">S52. [ ] Yes [ ] No [ ] Unsure — The app will explain why two validation domains are used.</w:t>
      </w:r>
    </w:p>
    <w:p>
      <w:pPr>
        <w:numPr>
          <w:ilvl w:val="0"/>
          <w:numId w:val="1031"/>
        </w:numPr>
        <w:pStyle w:val="Compact"/>
      </w:pPr>
      <w:r>
        <w:t xml:space="preserve">S53. [ ] Yes [ ] No [ ] Unsure — Users will see the finance label definition before interpreting scores.</w:t>
      </w:r>
    </w:p>
    <w:p>
      <w:pPr>
        <w:numPr>
          <w:ilvl w:val="0"/>
          <w:numId w:val="1031"/>
        </w:numPr>
        <w:pStyle w:val="Compact"/>
      </w:pPr>
      <w:r>
        <w:t xml:space="preserve">S54. [ ] Yes [ ] No [ ] Unsure — Users will see coverage and reliability beside sentiment.</w:t>
      </w:r>
    </w:p>
    <w:p>
      <w:pPr>
        <w:numPr>
          <w:ilvl w:val="0"/>
          <w:numId w:val="1031"/>
        </w:numPr>
        <w:pStyle w:val="Compact"/>
      </w:pPr>
      <w:r>
        <w:t xml:space="preserve">S55. [ ] Yes [ ] No [ ] Unsure — A subgroup failure will be disclosed even if aggregate accuracy is acceptable.</w:t>
      </w:r>
    </w:p>
    <w:p>
      <w:pPr>
        <w:numPr>
          <w:ilvl w:val="0"/>
          <w:numId w:val="1031"/>
        </w:numPr>
        <w:pStyle w:val="Compact"/>
      </w:pPr>
      <w:r>
        <w:t xml:space="preserve">S56. [ ] Yes [ ] No [ ] Unsure — I will predeclare the maximum acceptable general-domain deterioration.</w:t>
      </w:r>
    </w:p>
    <w:p>
      <w:pPr>
        <w:numPr>
          <w:ilvl w:val="0"/>
          <w:numId w:val="1031"/>
        </w:numPr>
        <w:pStyle w:val="Compact"/>
      </w:pPr>
      <w:r>
        <w:t xml:space="preserve">S57. [ ] Yes [ ] No [ ] Unsure — I will predeclare the finance improvement required to keep the lexicon.</w:t>
      </w:r>
    </w:p>
    <w:p>
      <w:pPr>
        <w:numPr>
          <w:ilvl w:val="0"/>
          <w:numId w:val="1031"/>
        </w:numPr>
        <w:pStyle w:val="Compact"/>
      </w:pPr>
      <w:r>
        <w:t xml:space="preserve">S58. [ ] Yes [ ] No [ ] Unsure — I will not call a lexicon</w:t>
      </w:r>
      <w:r>
        <w:t xml:space="preserve"> </w:t>
      </w:r>
      <w:r>
        <w:t xml:space="preserve">“</w:t>
      </w:r>
      <w:r>
        <w:t xml:space="preserve">AI learning</w:t>
      </w:r>
      <w:r>
        <w:t xml:space="preserve">”</w:t>
      </w:r>
      <w:r>
        <w:t xml:space="preserve">; it is a transparent rule extension.</w:t>
      </w:r>
    </w:p>
    <w:p>
      <w:pPr>
        <w:numPr>
          <w:ilvl w:val="0"/>
          <w:numId w:val="1031"/>
        </w:numPr>
        <w:pStyle w:val="Compact"/>
      </w:pPr>
      <w:r>
        <w:t xml:space="preserve">S59. [ ] Yes [ ] No [ ] Unsure — I will distinguish sentiment classification from causal return prediction.</w:t>
      </w:r>
    </w:p>
    <w:p>
      <w:pPr>
        <w:numPr>
          <w:ilvl w:val="0"/>
          <w:numId w:val="1031"/>
        </w:numPr>
        <w:pStyle w:val="Compact"/>
      </w:pPr>
      <w:r>
        <w:t xml:space="preserve">S60. [ ] Yes [ ] No [ ] Unsure — My final direction is dual-domain validation, not movie-driven investing.</w:t>
      </w:r>
    </w:p>
    <w:bookmarkEnd w:id="86"/>
    <w:bookmarkEnd w:id="87"/>
    <w:bookmarkEnd w:id="88"/>
    <w:bookmarkStart w:id="92" w:name="week-10-course-alignment-checklist"/>
    <w:p>
      <w:pPr>
        <w:pStyle w:val="Heading2"/>
        <w:keepNext/>
      </w:pPr>
      <w:r>
        <w:t xml:space="preserve">16. Week 10 course-alignment checklist</w:t>
      </w:r>
    </w:p>
    <w:p>
      <w:pPr>
        <w:pStyle w:val="FirstParagraph"/>
      </w:pPr>
      <w:r>
        <w:t xml:space="preserve">The supplied Week 10 revision deck is a worked reference, not an instruction to</w:t>
      </w:r>
      <w:r>
        <w:t xml:space="preserve"> </w:t>
      </w:r>
      <w:r>
        <w:t xml:space="preserve">force every number to match. Use</w:t>
      </w:r>
      <w:r>
        <w:t xml:space="preserve"> </w:t>
      </w:r>
      <w:r>
        <w:rPr>
          <w:rStyle w:val="VerbatimChar"/>
        </w:rPr>
        <w:t xml:space="preserve">student_review/WEEK10_AND_MARKET_FEASIBILITY_PLAN.md</w:t>
      </w:r>
      <w:r>
        <w:t xml:space="preserve"> </w:t>
      </w:r>
      <w:r>
        <w:t xml:space="preserve">for the exact Sharpe comparison and evidence map.</w:t>
      </w:r>
    </w:p>
    <w:bookmarkStart w:id="89" w:name="a.-structured-funds-and-benchmarks"/>
    <w:p>
      <w:pPr>
        <w:pStyle w:val="Heading3"/>
        <w:keepNext/>
      </w:pPr>
      <w:r>
        <w:t xml:space="preserve">A. Structured funds and benchmarks</w:t>
      </w:r>
    </w:p>
    <w:p>
      <w:pPr>
        <w:numPr>
          <w:ilvl w:val="0"/>
          <w:numId w:val="1032"/>
        </w:numPr>
        <w:pStyle w:val="Compact"/>
      </w:pPr>
      <w:r>
        <w:t xml:space="preserve">W1. [ ] Yes [ ] No [ ] Unsure — I understand why out-of-sample performance is the investable evidence and in-sample performance is not.</w:t>
      </w:r>
    </w:p>
    <w:p>
      <w:pPr>
        <w:numPr>
          <w:ilvl w:val="0"/>
          <w:numId w:val="1032"/>
        </w:numPr>
        <w:pStyle w:val="Compact"/>
      </w:pPr>
      <w:r>
        <w:t xml:space="preserve">W2. [ ] Yes [ ] No [ ] Unsure — I can explain how each monthly weight uses only information available before its live date.</w:t>
      </w:r>
    </w:p>
    <w:p>
      <w:pPr>
        <w:numPr>
          <w:ilvl w:val="0"/>
          <w:numId w:val="1032"/>
        </w:numPr>
        <w:pStyle w:val="Compact"/>
      </w:pPr>
      <w:r>
        <w:t xml:space="preserve">W3. [ ] Yes [ ] No [ ] Unsure — I understand the difference between this project’s rolling one-year window and Week 10’s expanding window.</w:t>
      </w:r>
    </w:p>
    <w:p>
      <w:pPr>
        <w:numPr>
          <w:ilvl w:val="0"/>
          <w:numId w:val="1032"/>
        </w:numPr>
        <w:pStyle w:val="Compact"/>
      </w:pPr>
      <w:r>
        <w:t xml:space="preserve">W4. [ ] Yes [ ] No [ ] Unsure — I can explain why equity/combined use 252 and crypto uses 365 annualisation periods.</w:t>
      </w:r>
    </w:p>
    <w:p>
      <w:pPr>
        <w:numPr>
          <w:ilvl w:val="0"/>
          <w:numId w:val="1032"/>
        </w:numPr>
        <w:pStyle w:val="Compact"/>
      </w:pPr>
      <w:r>
        <w:t xml:space="preserve">W5. [ ] Yes [ ] No [ ] Unsure — I know that the brief’s minimum is two combined methods, not exactly twelve funds.</w:t>
      </w:r>
    </w:p>
    <w:p>
      <w:pPr>
        <w:numPr>
          <w:ilvl w:val="0"/>
          <w:numId w:val="1032"/>
        </w:numPr>
        <w:pStyle w:val="Compact"/>
      </w:pPr>
      <w:r>
        <w:t xml:space="preserve">W6. [ ] Yes [ ] No [ ] Unsure — I can defend the choice to offer Equal Weight, Minimum Variance and Risk Parity.</w:t>
      </w:r>
    </w:p>
    <w:p>
      <w:pPr>
        <w:numPr>
          <w:ilvl w:val="0"/>
          <w:numId w:val="1032"/>
        </w:numPr>
        <w:pStyle w:val="Compact"/>
      </w:pPr>
      <w:r>
        <w:t xml:space="preserve">W7. [ ] Yes [ ] No [ ] Unsure — I can explain that tangency was omitted because expected-return estimates can create unstable out-of-sample weights.</w:t>
      </w:r>
    </w:p>
    <w:p>
      <w:pPr>
        <w:numPr>
          <w:ilvl w:val="0"/>
          <w:numId w:val="1032"/>
        </w:numPr>
        <w:pStyle w:val="Compact"/>
      </w:pPr>
      <w:r>
        <w:t xml:space="preserve">W8. [ ] Yes [ ] No [ ] Unsure — I will not say this project beats tangency because it was not run here.</w:t>
      </w:r>
    </w:p>
    <w:p>
      <w:pPr>
        <w:numPr>
          <w:ilvl w:val="0"/>
          <w:numId w:val="1032"/>
        </w:numPr>
        <w:pStyle w:val="Compact"/>
      </w:pPr>
      <w:r>
        <w:t xml:space="preserve">W9. [ ] Yes [ ] No [ ] Unsure — I understand why Equal Weight is a serious benchmark rather than a naive failure.</w:t>
      </w:r>
    </w:p>
    <w:p>
      <w:pPr>
        <w:numPr>
          <w:ilvl w:val="0"/>
          <w:numId w:val="1032"/>
        </w:numPr>
        <w:pStyle w:val="Compact"/>
      </w:pPr>
      <w:r>
        <w:t xml:space="preserve">W10. [ ] Yes [ ] No [ ] Unsure — I will compare return, volatility, Sharpe and drawdown together rather than select the highest ending value.</w:t>
      </w:r>
    </w:p>
    <w:bookmarkEnd w:id="89"/>
    <w:bookmarkStart w:id="90" w:name="b.-exact-week-10-comparison"/>
    <w:p>
      <w:pPr>
        <w:pStyle w:val="Heading3"/>
        <w:keepNext/>
      </w:pPr>
      <w:r>
        <w:t xml:space="preserve">B. Exact Week 10 comparison</w:t>
      </w:r>
    </w:p>
    <w:p>
      <w:pPr>
        <w:numPr>
          <w:ilvl w:val="0"/>
          <w:numId w:val="1033"/>
        </w:numPr>
        <w:pStyle w:val="Compact"/>
      </w:pPr>
      <w:r>
        <w:t xml:space="preserve">W11. [ ] Yes [ ] No [ ] Unsure — I know Combined Risk Parity exceeds the Week 10 Sharpe reference by about 0.07 under a different specification.</w:t>
      </w:r>
    </w:p>
    <w:p>
      <w:pPr>
        <w:numPr>
          <w:ilvl w:val="0"/>
          <w:numId w:val="1033"/>
        </w:numPr>
        <w:pStyle w:val="Compact"/>
      </w:pPr>
      <w:r>
        <w:t xml:space="preserve">W12. [ ] Yes [ ] No [ ] Unsure — I know Combined Equal Weight is only about 0.01 above the lecture and should be called approximately tied.</w:t>
      </w:r>
    </w:p>
    <w:p>
      <w:pPr>
        <w:numPr>
          <w:ilvl w:val="0"/>
          <w:numId w:val="1033"/>
        </w:numPr>
        <w:pStyle w:val="Compact"/>
      </w:pPr>
      <w:r>
        <w:t xml:space="preserve">W13. [ ] Yes [ ] No [ ] Unsure — I know the other seven comparable core Sharpe results are below the lecture reference.</w:t>
      </w:r>
    </w:p>
    <w:p>
      <w:pPr>
        <w:numPr>
          <w:ilvl w:val="0"/>
          <w:numId w:val="1033"/>
        </w:numPr>
        <w:pStyle w:val="Compact"/>
      </w:pPr>
      <w:r>
        <w:t xml:space="preserve">W14. [ ] Yes [ ] No [ ] Unsure — I will not hide the below-reference results.</w:t>
      </w:r>
    </w:p>
    <w:p>
      <w:pPr>
        <w:numPr>
          <w:ilvl w:val="0"/>
          <w:numId w:val="1033"/>
        </w:numPr>
        <w:pStyle w:val="Compact"/>
      </w:pPr>
      <w:r>
        <w:t xml:space="preserve">W15. [ ] Yes [ ] No [ ] Unsure — I understand that different windows, caps, shrinkage and costs prevent a clean product-performance league table.</w:t>
      </w:r>
    </w:p>
    <w:p>
      <w:pPr>
        <w:numPr>
          <w:ilvl w:val="0"/>
          <w:numId w:val="1033"/>
        </w:numPr>
        <w:pStyle w:val="Compact"/>
      </w:pPr>
      <w:r>
        <w:t xml:space="preserve">W16. [ ] Yes [ ] No [ ] Unsure — I understand why repeatedly tuning until every benchmark is beaten would be overfitting.</w:t>
      </w:r>
    </w:p>
    <w:p>
      <w:pPr>
        <w:numPr>
          <w:ilvl w:val="0"/>
          <w:numId w:val="1033"/>
        </w:numPr>
        <w:pStyle w:val="Compact"/>
      </w:pPr>
      <w:r>
        <w:t xml:space="preserve">W17. [ ] Yes [ ] No [ ] Unsure — I can explain Week 10’s example where a discovery Sharpe of 0.84 fell to 0.08 in the holdout.</w:t>
      </w:r>
    </w:p>
    <w:p>
      <w:pPr>
        <w:numPr>
          <w:ilvl w:val="0"/>
          <w:numId w:val="1033"/>
        </w:numPr>
        <w:pStyle w:val="Compact"/>
      </w:pPr>
      <w:r>
        <w:t xml:space="preserve">W18. [ ] Yes [ ] No [ ] Unsure — I accept that a negative extension result can still earn innovation credit when carefully evidenced.</w:t>
      </w:r>
    </w:p>
    <w:p>
      <w:pPr>
        <w:numPr>
          <w:ilvl w:val="0"/>
          <w:numId w:val="1033"/>
        </w:numPr>
        <w:pStyle w:val="Compact"/>
      </w:pPr>
      <w:r>
        <w:t xml:space="preserve">W19. [ ] Yes [ ] No [ ] Unsure — I will describe Combined Risk Parity as the strongest combined trade-off in this sample, not a universal winner.</w:t>
      </w:r>
    </w:p>
    <w:p>
      <w:pPr>
        <w:numPr>
          <w:ilvl w:val="0"/>
          <w:numId w:val="1033"/>
        </w:numPr>
        <w:pStyle w:val="Compact"/>
      </w:pPr>
      <w:r>
        <w:t xml:space="preserve">W20. [ ] Yes [ ] No [ ] Unsure — I will disclose that Crypto Minimum Variance has a 1.01 Sharpe and a -72.99% maximum drawdown.</w:t>
      </w:r>
    </w:p>
    <w:bookmarkEnd w:id="90"/>
    <w:bookmarkStart w:id="91" w:name="c.-sentiment-app-and-submission"/>
    <w:p>
      <w:pPr>
        <w:pStyle w:val="Heading3"/>
        <w:keepNext/>
      </w:pPr>
      <w:r>
        <w:t xml:space="preserve">C. Sentiment, app and submission</w:t>
      </w:r>
    </w:p>
    <w:p>
      <w:pPr>
        <w:numPr>
          <w:ilvl w:val="0"/>
          <w:numId w:val="1034"/>
        </w:numPr>
        <w:pStyle w:val="Compact"/>
      </w:pPr>
      <w:r>
        <w:t xml:space="preserve">W21. [ ] Yes [ ] No [ ] Unsure — I understand why VADER text must preserve casing, punctuation, boosters and negation.</w:t>
      </w:r>
    </w:p>
    <w:p>
      <w:pPr>
        <w:numPr>
          <w:ilvl w:val="0"/>
          <w:numId w:val="1034"/>
        </w:numPr>
        <w:pStyle w:val="Compact"/>
      </w:pPr>
      <w:r>
        <w:t xml:space="preserve">W22. [ ] Yes [ ] No [ ] Unsure — I understand that a zero VADER score may be neutral language or missing news.</w:t>
      </w:r>
    </w:p>
    <w:p>
      <w:pPr>
        <w:numPr>
          <w:ilvl w:val="0"/>
          <w:numId w:val="1034"/>
        </w:numPr>
        <w:pStyle w:val="Compact"/>
      </w:pPr>
      <w:r>
        <w:t xml:space="preserve">W23. [ ] Yes [ ] No [ ] Unsure — I can explain equal-weight ticker aggregation, the no-news rule and the one-trading-day lag.</w:t>
      </w:r>
    </w:p>
    <w:p>
      <w:pPr>
        <w:numPr>
          <w:ilvl w:val="0"/>
          <w:numId w:val="1034"/>
        </w:numPr>
        <w:pStyle w:val="Compact"/>
      </w:pPr>
      <w:r>
        <w:t xml:space="preserve">W24. [ ] Yes [ ] No [ ] Unsure — I know the sentiment fund’s Sharpe improvement from 0.49 to 0.53 is small and not causal proof.</w:t>
      </w:r>
    </w:p>
    <w:p>
      <w:pPr>
        <w:numPr>
          <w:ilvl w:val="0"/>
          <w:numId w:val="1034"/>
        </w:numPr>
        <w:pStyle w:val="Compact"/>
      </w:pPr>
      <w:r>
        <w:t xml:space="preserve">W25. [ ] Yes [ ] No [ ] Unsure — I know the expert-labelled finance holdout remains a blocker before strong validity claims.</w:t>
      </w:r>
    </w:p>
    <w:p>
      <w:pPr>
        <w:numPr>
          <w:ilvl w:val="0"/>
          <w:numId w:val="1034"/>
        </w:numPr>
        <w:pStyle w:val="Compact"/>
      </w:pPr>
      <w:r>
        <w:t xml:space="preserve">W26. [ ] Yes [ ] No [ ] Unsure — I have checked that every one of the seven Week 10 exhibits is present as a table or figure.</w:t>
      </w:r>
    </w:p>
    <w:p>
      <w:pPr>
        <w:numPr>
          <w:ilvl w:val="0"/>
          <w:numId w:val="1034"/>
        </w:numPr>
        <w:pStyle w:val="Compact"/>
      </w:pPr>
      <w:r>
        <w:t xml:space="preserve">W27. [ ] Yes [ ] No [ ] Unsure — I have tested compare, fact sheet, holdings, allocation and sentiment journeys locally.</w:t>
      </w:r>
    </w:p>
    <w:p>
      <w:pPr>
        <w:numPr>
          <w:ilvl w:val="0"/>
          <w:numId w:val="1034"/>
        </w:numPr>
        <w:pStyle w:val="Compact"/>
      </w:pPr>
      <w:r>
        <w:t xml:space="preserve">W28. [ ] Yes [ ] No [ ] Unsure — I understand why the app loads precomputed artifacts instead of rebuilding models on each click.</w:t>
      </w:r>
    </w:p>
    <w:p>
      <w:pPr>
        <w:numPr>
          <w:ilvl w:val="0"/>
          <w:numId w:val="1034"/>
        </w:numPr>
        <w:pStyle w:val="Compact"/>
      </w:pPr>
      <w:r>
        <w:t xml:space="preserve">W29. [ ] Yes [ ] No [ ] Unsure — I know the public GitHub repo, live Streamlit link and logged-out accessibility test remain unfinished by instruction.</w:t>
      </w:r>
    </w:p>
    <w:p>
      <w:pPr>
        <w:numPr>
          <w:ilvl w:val="0"/>
          <w:numId w:val="1034"/>
        </w:numPr>
        <w:pStyle w:val="Compact"/>
      </w:pPr>
      <w:r>
        <w:t xml:space="preserve">W30. [ ] Yes [ ] No [ ] Unsure — I will submit truthful prompt logs showing AI errors, my checks and my corrections rather than inventing authorship.</w:t>
      </w:r>
    </w:p>
    <w:bookmarkEnd w:id="91"/>
    <w:bookmarkEnd w:id="92"/>
    <w:bookmarkStart w:id="96" w:name="X0bec1f26e15087bb8e007445dec116f4d5f75ba"/>
    <w:p>
      <w:pPr>
        <w:pStyle w:val="Heading2"/>
        <w:keepNext/>
      </w:pPr>
      <w:r>
        <w:t xml:space="preserve">17. Should the combined fund hold a bigger crypto pool?</w:t>
      </w:r>
    </w:p>
    <w:bookmarkStart w:id="93" w:name="evidence-based-flag"/>
    <w:p>
      <w:pPr>
        <w:pStyle w:val="Heading3"/>
        <w:keepNext/>
      </w:pPr>
      <w:r>
        <w:t xml:space="preserve">17.1 Evidence-based flag</w:t>
      </w:r>
    </w:p>
    <w:p>
      <w:pPr>
        <w:pStyle w:val="FirstParagraph"/>
      </w:pPr>
      <w:r>
        <w:t xml:space="preserve">All ten cryptocurrencies supplied by the course are already used in the crypto</w:t>
      </w:r>
      <w:r>
        <w:t xml:space="preserve"> </w:t>
      </w:r>
      <w:r>
        <w:t xml:space="preserve">and combined universes. Therefore, there is no unused asset pool to add without</w:t>
      </w:r>
      <w:r>
        <w:t xml:space="preserve"> </w:t>
      </w:r>
      <w:r>
        <w:t xml:space="preserve">obtaining new external data and changing the course-data scope. The issue visible</w:t>
      </w:r>
      <w:r>
        <w:t xml:space="preserve"> </w:t>
      </w:r>
      <w:r>
        <w:t xml:space="preserve">in the Week 10 slide is</w:t>
      </w:r>
      <w:r>
        <w:t xml:space="preserve"> </w:t>
      </w:r>
      <w:r>
        <w:rPr>
          <w:bCs/>
          <w:b/>
        </w:rPr>
        <w:t xml:space="preserve">allocation size</w:t>
      </w:r>
      <w:r>
        <w:t xml:space="preserve">, not missing crypto names.</w:t>
      </w:r>
    </w:p>
    <w:p>
      <w:pPr>
        <w:pStyle w:val="BodyText"/>
      </w:pPr>
      <w:r>
        <w:t xml:space="preserve">At the latest rebalance, crypto is 16.67% of Combined Equal Weight, 8.15% of</w:t>
      </w:r>
      <w:r>
        <w:t xml:space="preserve"> </w:t>
      </w:r>
      <w:r>
        <w:t xml:space="preserve">Combined Risk Parity and 2.65% of Combined Minimum Variance. The low</w:t>
      </w:r>
      <w:r>
        <w:t xml:space="preserve"> </w:t>
      </w:r>
      <w:r>
        <w:t xml:space="preserve">minimum-variance allocation is expected: the objective minimises total variance,</w:t>
      </w:r>
      <w:r>
        <w:t xml:space="preserve"> </w:t>
      </w:r>
      <w:r>
        <w:t xml:space="preserve">so it avoids the most volatile sleeve unless a crypto floor is imposed.</w:t>
      </w:r>
    </w:p>
    <w:p>
      <w:pPr>
        <w:pStyle w:val="BodyText"/>
      </w:pPr>
      <w:r>
        <w:t xml:space="preserve">The added walk-forward sensitivity imposes minimum total crypto weights while</w:t>
      </w:r>
      <w:r>
        <w:t xml:space="preserve"> </w:t>
      </w:r>
      <w:r>
        <w:t xml:space="preserve">keeping the same 60-asset universe, 252-day estimation window, monthly rebalance,</w:t>
      </w:r>
      <w:r>
        <w:t xml:space="preserve"> </w:t>
      </w:r>
      <w:r>
        <w:t xml:space="preserve">15% per-asset cap and 10 bps turnover cost: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1377"/>
        <w:gridCol w:w="1377"/>
        <w:gridCol w:w="1377"/>
        <w:gridCol w:w="1377"/>
        <w:gridCol w:w="1377"/>
        <w:gridCol w:w="1033"/>
      </w:tblGrid>
      <w:tr>
        <w:trPr>
          <w:tblHeader w:val="true"/>
          <w:tblHeader w:val="true"/>
          <w:cantSplit/>
        </w:trPr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Minimum crypto sleeve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Return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Volatility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Sharpe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Maximum drawdown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Interpretation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0%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5.99%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12.62%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0.52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-15.77%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Existing unconstrained minimum variance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10%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6.22%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13.95%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0.50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-19.84%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More crypto, but worse Sharpe and downside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20%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8.10%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17.44%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0.53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-24.93%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Roughly equal Sharpe with materially deeper loss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30%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12.60%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22.79%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0.63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-32.88%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Higher return and Sharpe, but approximately twice the baseline drawdown</w:t>
            </w:r>
          </w:p>
        </w:tc>
      </w:tr>
    </w:tbl>
    <w:p>
      <w:pPr>
        <w:pStyle w:val="BodyText"/>
      </w:pPr>
      <w:r>
        <w:t xml:space="preserve">Even the 30% floor remains below Combined Equal Weight’s 0.77 Sharpe and Combined</w:t>
      </w:r>
      <w:r>
        <w:t xml:space="preserve"> </w:t>
      </w:r>
      <w:r>
        <w:t xml:space="preserve">Risk Parity’s 0.85 Sharpe. This is evidence for offering a</w:t>
      </w:r>
      <w:r>
        <w:t xml:space="preserve"> </w:t>
      </w:r>
      <w:r>
        <w:rPr>
          <w:bCs/>
          <w:b/>
        </w:rPr>
        <w:t xml:space="preserve">crypto-risk choice</w:t>
      </w:r>
      <w:r>
        <w:t xml:space="preserve">,</w:t>
      </w:r>
      <w:r>
        <w:t xml:space="preserve"> </w:t>
      </w:r>
      <w:r>
        <w:t xml:space="preserve">not evidence that forcing more crypto makes minimum variance superior. The four</w:t>
      </w:r>
      <w:r>
        <w:t xml:space="preserve"> </w:t>
      </w:r>
      <w:r>
        <w:t xml:space="preserve">variants stay research-only in the app.</w:t>
      </w:r>
    </w:p>
    <w:bookmarkEnd w:id="93"/>
    <w:bookmarkStart w:id="94" w:name="crypto-sleeve-decision-checklist"/>
    <w:p>
      <w:pPr>
        <w:pStyle w:val="Heading3"/>
        <w:keepNext/>
      </w:pPr>
      <w:r>
        <w:t xml:space="preserve">17.2 Crypto-sleeve decision checklist</w:t>
      </w:r>
    </w:p>
    <w:p>
      <w:pPr>
        <w:numPr>
          <w:ilvl w:val="0"/>
          <w:numId w:val="1035"/>
        </w:numPr>
        <w:pStyle w:val="Compact"/>
      </w:pPr>
      <w:r>
        <w:t xml:space="preserve">C1. [ ] Yes [ ] No [ ] Unsure — I understand that all ten supplied crypto assets are already used.</w:t>
      </w:r>
    </w:p>
    <w:p>
      <w:pPr>
        <w:numPr>
          <w:ilvl w:val="0"/>
          <w:numId w:val="1035"/>
        </w:numPr>
        <w:pStyle w:val="Compact"/>
      </w:pPr>
      <w:r>
        <w:t xml:space="preserve">C2. [ ] Yes [ ] No [ ] Unsure — I distinguish a larger asset pool from a larger portfolio allocation.</w:t>
      </w:r>
    </w:p>
    <w:p>
      <w:pPr>
        <w:numPr>
          <w:ilvl w:val="0"/>
          <w:numId w:val="1035"/>
        </w:numPr>
        <w:pStyle w:val="Compact"/>
      </w:pPr>
      <w:r>
        <w:t xml:space="preserve">C3. [ ] Yes [ ] No [ ] Unsure — I will not add external crypto data without checking course scope, provenance and licences.</w:t>
      </w:r>
    </w:p>
    <w:p>
      <w:pPr>
        <w:numPr>
          <w:ilvl w:val="0"/>
          <w:numId w:val="1035"/>
        </w:numPr>
        <w:pStyle w:val="Compact"/>
      </w:pPr>
      <w:r>
        <w:t xml:space="preserve">C4. [ ] Yes [ ] No [ ] Unsure — I understand why unconstrained minimum variance allocates very little to volatile crypto.</w:t>
      </w:r>
    </w:p>
    <w:p>
      <w:pPr>
        <w:numPr>
          <w:ilvl w:val="0"/>
          <w:numId w:val="1035"/>
        </w:numPr>
        <w:pStyle w:val="Compact"/>
      </w:pPr>
      <w:r>
        <w:t xml:space="preserve">C5. [ ] Yes [ ] No [ ] Unsure — I consider 2.65% latest crypto exposure too small for my intended combined-product label.</w:t>
      </w:r>
    </w:p>
    <w:p>
      <w:pPr>
        <w:numPr>
          <w:ilvl w:val="0"/>
          <w:numId w:val="1035"/>
        </w:numPr>
        <w:pStyle w:val="Compact"/>
      </w:pPr>
      <w:r>
        <w:t xml:space="preserve">C6. [ ] Yes [ ] No [ ] Unsure — I understand that a crypto floor changes the optimisation objective.</w:t>
      </w:r>
    </w:p>
    <w:p>
      <w:pPr>
        <w:numPr>
          <w:ilvl w:val="0"/>
          <w:numId w:val="1035"/>
        </w:numPr>
        <w:pStyle w:val="Compact"/>
      </w:pPr>
      <w:r>
        <w:t xml:space="preserve">C7. [ ] Yes [ ] No [ ] Unsure — I will label each floor as a separate research specification.</w:t>
      </w:r>
    </w:p>
    <w:p>
      <w:pPr>
        <w:numPr>
          <w:ilvl w:val="0"/>
          <w:numId w:val="1035"/>
        </w:numPr>
        <w:pStyle w:val="Compact"/>
      </w:pPr>
      <w:r>
        <w:t xml:space="preserve">C8. [ ] Yes [ ] No [ ] Unsure — I know the 10% floor lowers Sharpe from 0.52 to 0.50.</w:t>
      </w:r>
    </w:p>
    <w:p>
      <w:pPr>
        <w:numPr>
          <w:ilvl w:val="0"/>
          <w:numId w:val="1035"/>
        </w:numPr>
        <w:pStyle w:val="Compact"/>
      </w:pPr>
      <w:r>
        <w:t xml:space="preserve">C9. [ ] Yes [ ] No [ ] Unsure — I know the 20% floor only raises Sharpe to 0.53 while drawdown worsens to -24.93%.</w:t>
      </w:r>
    </w:p>
    <w:p>
      <w:pPr>
        <w:numPr>
          <w:ilvl w:val="0"/>
          <w:numId w:val="1035"/>
        </w:numPr>
        <w:pStyle w:val="Compact"/>
      </w:pPr>
      <w:r>
        <w:t xml:space="preserve">C10. [ ] Yes [ ] No [ ] Unsure — I know the 30% floor raises Sharpe to 0.63 but drawdown worsens to -32.88%.</w:t>
      </w:r>
    </w:p>
    <w:p>
      <w:pPr>
        <w:numPr>
          <w:ilvl w:val="0"/>
          <w:numId w:val="1035"/>
        </w:numPr>
        <w:pStyle w:val="Compact"/>
      </w:pPr>
      <w:r>
        <w:t xml:space="preserve">C11. [ ] Yes [ ] No [ ] Unsure — I will not describe the 30% floor as lower risk.</w:t>
      </w:r>
    </w:p>
    <w:p>
      <w:pPr>
        <w:numPr>
          <w:ilvl w:val="0"/>
          <w:numId w:val="1035"/>
        </w:numPr>
        <w:pStyle w:val="Compact"/>
      </w:pPr>
      <w:r>
        <w:t xml:space="preserve">C12. [ ] Yes [ ] No [ ] Unsure — I know the 30% floor still trails Combined Risk Parity on Sharpe.</w:t>
      </w:r>
    </w:p>
    <w:p>
      <w:pPr>
        <w:numPr>
          <w:ilvl w:val="0"/>
          <w:numId w:val="1035"/>
        </w:numPr>
        <w:pStyle w:val="Compact"/>
      </w:pPr>
      <w:r>
        <w:t xml:space="preserve">C13. [ ] Yes [ ] No [ ] Unsure — I know the 30% floor still trails Combined Equal Weight on Sharpe.</w:t>
      </w:r>
    </w:p>
    <w:p>
      <w:pPr>
        <w:numPr>
          <w:ilvl w:val="0"/>
          <w:numId w:val="1035"/>
        </w:numPr>
        <w:pStyle w:val="Compact"/>
      </w:pPr>
      <w:r>
        <w:t xml:space="preserve">C14. [ ] Yes [ ] No [ ] Unsure — I will compare crypto floors under later periods and higher crypto trading costs.</w:t>
      </w:r>
    </w:p>
    <w:p>
      <w:pPr>
        <w:numPr>
          <w:ilvl w:val="0"/>
          <w:numId w:val="1035"/>
        </w:numPr>
        <w:pStyle w:val="Compact"/>
      </w:pPr>
      <w:r>
        <w:t xml:space="preserve">C15. [ ] Yes [ ] No [ ] Unsure — I will define weekend valuation and trading rules before calling a combined sleeve executable.</w:t>
      </w:r>
    </w:p>
    <w:p>
      <w:pPr>
        <w:numPr>
          <w:ilvl w:val="0"/>
          <w:numId w:val="1035"/>
        </w:numPr>
        <w:pStyle w:val="Compact"/>
      </w:pPr>
      <w:r>
        <w:t xml:space="preserve">C16. [ ] Yes [ ] No [ ] Unsure — I will test whether stablecoins, failed coins or changing market-cap ranks alter the universe definition.</w:t>
      </w:r>
    </w:p>
    <w:p>
      <w:pPr>
        <w:numPr>
          <w:ilvl w:val="0"/>
          <w:numId w:val="1035"/>
        </w:numPr>
        <w:pStyle w:val="Compact"/>
      </w:pPr>
      <w:r>
        <w:t xml:space="preserve">C17. [ ] Yes [ ] No [ ] Unsure — I will not select 30% merely because it looks best among the tested floors in this sample.</w:t>
      </w:r>
    </w:p>
    <w:p>
      <w:pPr>
        <w:numPr>
          <w:ilvl w:val="0"/>
          <w:numId w:val="1035"/>
        </w:numPr>
        <w:pStyle w:val="Compact"/>
      </w:pPr>
      <w:r>
        <w:t xml:space="preserve">C18. [ ] Yes [ ] No [ ] Unsure — I prefer Combined Risk Parity if my objective is the best combined-fund historical Sharpe.</w:t>
      </w:r>
    </w:p>
    <w:p>
      <w:pPr>
        <w:numPr>
          <w:ilvl w:val="0"/>
          <w:numId w:val="1035"/>
        </w:numPr>
        <w:pStyle w:val="Compact"/>
      </w:pPr>
      <w:r>
        <w:t xml:space="preserve">C19. [ ] Yes [ ] No [ ] Unsure — I prefer an explicit crypto sleeve only if the customer promise requires meaningful crypto exposure.</w:t>
      </w:r>
    </w:p>
    <w:p>
      <w:pPr>
        <w:numPr>
          <w:ilvl w:val="0"/>
          <w:numId w:val="1035"/>
        </w:numPr>
        <w:pStyle w:val="Compact"/>
      </w:pPr>
      <w:r>
        <w:t xml:space="preserve">C20. [ ] Yes [ ] No [ ] Unsure — I can explain the final crypto-sleeve decision in my own words using both upside and downside evidence.</w:t>
      </w:r>
    </w:p>
    <w:bookmarkEnd w:id="94"/>
    <w:bookmarkStart w:id="95" w:name="if-external-crypto-data-are-added-later"/>
    <w:p>
      <w:pPr>
        <w:pStyle w:val="Heading3"/>
        <w:keepNext/>
      </w:pPr>
      <w:r>
        <w:t xml:space="preserve">17.3 If external crypto data are added later</w:t>
      </w:r>
    </w:p>
    <w:p>
      <w:pPr>
        <w:pStyle w:val="FirstParagraph"/>
      </w:pPr>
      <w:r>
        <w:t xml:space="preserve">The ability to pull more data is useful, but the expanded experiment must remain</w:t>
      </w:r>
      <w:r>
        <w:t xml:space="preserve"> </w:t>
      </w:r>
      <w:r>
        <w:t xml:space="preserve">separate from the authoritative course-data baseline. Predeclare the selection</w:t>
      </w:r>
      <w:r>
        <w:t xml:space="preserve"> </w:t>
      </w:r>
      <w:r>
        <w:t xml:space="preserve">rule (for example, top 20 non-stablecoin assets by market capitalisation known at</w:t>
      </w:r>
      <w:r>
        <w:t xml:space="preserve"> </w:t>
      </w:r>
      <w:r>
        <w:t xml:space="preserve">each rebalance), obtain point-in-time membership rather than today’s winners,</w:t>
      </w:r>
      <w:r>
        <w:t xml:space="preserve"> </w:t>
      </w:r>
      <w:r>
        <w:t xml:space="preserve">retain delisted or failed assets, use prices and volume available at the time,</w:t>
      </w:r>
      <w:r>
        <w:t xml:space="preserve"> </w:t>
      </w:r>
      <w:r>
        <w:t xml:space="preserve">document source/licence/time zone, screen missingness and stale prices, and apply</w:t>
      </w:r>
      <w:r>
        <w:t xml:space="preserve"> </w:t>
      </w:r>
      <w:r>
        <w:t xml:space="preserve">liquidity-sensitive costs. Save the result under a new</w:t>
      </w:r>
      <w:r>
        <w:t xml:space="preserve"> </w:t>
      </w:r>
      <w:r>
        <w:rPr>
          <w:rStyle w:val="VerbatimChar"/>
        </w:rPr>
        <w:t xml:space="preserve">expanded_universe</w:t>
      </w:r>
      <w:r>
        <w:t xml:space="preserve"> </w:t>
      </w:r>
      <w:r>
        <w:t xml:space="preserve">label;</w:t>
      </w:r>
      <w:r>
        <w:t xml:space="preserve"> </w:t>
      </w:r>
      <w:r>
        <w:t xml:space="preserve">never overwrite the four required course artifacts. Compare like with like over</w:t>
      </w:r>
      <w:r>
        <w:t xml:space="preserve"> </w:t>
      </w:r>
      <w:r>
        <w:t xml:space="preserve">the common date range and report whether the conclusion survives. Without those</w:t>
      </w:r>
      <w:r>
        <w:t xml:space="preserve"> </w:t>
      </w:r>
      <w:r>
        <w:t xml:space="preserve">controls, a larger pool can make the backtest look better simply because failed</w:t>
      </w:r>
      <w:r>
        <w:t xml:space="preserve"> </w:t>
      </w:r>
      <w:r>
        <w:t xml:space="preserve">coins disappeared from the selected history.</w:t>
      </w:r>
    </w:p>
    <w:bookmarkEnd w:id="95"/>
    <w:bookmarkEnd w:id="96"/>
    <w:sectPr>
      <w:headerReference w:type="default" r:id="rId9"/>
      <w:pgMar w:top="1080" w:bottom="1080" w:left="108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3B6F8F"/>
        <w:sz w:val="16"/>
      </w:rPr>
      <w:t>Signal &amp; Story | Student Review Workbook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35">
    <w:nsid w:val="A994135"/>
    <w:multiLevelType w:val="multilevel"/>
    <w:lvl w:ilvl="0">
      <w:start w:val="35"/>
      <w:numFmt w:val="decimal"/>
      <w:lvlText w:val="%1."/>
      <w:lvlJc w:val="left"/>
      <w:pPr>
        <w:ind w:left="720" w:hanging="480"/>
      </w:pPr>
    </w:lvl>
    <w:lvl w:ilvl="1">
      <w:start w:val="35"/>
      <w:numFmt w:val="decimal"/>
      <w:lvlText w:val="%2."/>
      <w:lvlJc w:val="left"/>
      <w:pPr>
        <w:ind w:left="1440" w:hanging="480"/>
      </w:pPr>
    </w:lvl>
    <w:lvl w:ilvl="2">
      <w:start w:val="35"/>
      <w:numFmt w:val="decimal"/>
      <w:lvlText w:val="%3."/>
      <w:lvlJc w:val="left"/>
      <w:pPr>
        <w:ind w:left="2160" w:hanging="480"/>
      </w:pPr>
    </w:lvl>
    <w:lvl w:ilvl="3">
      <w:start w:val="35"/>
      <w:numFmt w:val="decimal"/>
      <w:lvlText w:val="%4."/>
      <w:lvlJc w:val="left"/>
      <w:pPr>
        <w:ind w:left="2880" w:hanging="480"/>
      </w:pPr>
    </w:lvl>
    <w:lvl w:ilvl="4">
      <w:start w:val="35"/>
      <w:numFmt w:val="decimal"/>
      <w:lvlText w:val="%5."/>
      <w:lvlJc w:val="left"/>
      <w:pPr>
        <w:ind w:left="3600" w:hanging="480"/>
      </w:pPr>
    </w:lvl>
    <w:lvl w:ilvl="5">
      <w:start w:val="35"/>
      <w:numFmt w:val="decimal"/>
      <w:lvlText w:val="%6."/>
      <w:lvlJc w:val="left"/>
      <w:pPr>
        <w:ind w:left="4320" w:hanging="480"/>
      </w:pPr>
    </w:lvl>
    <w:lvl w:ilvl="6">
      <w:start w:val="35"/>
      <w:numFmt w:val="decimal"/>
      <w:lvlText w:val="%7."/>
      <w:lvlJc w:val="left"/>
      <w:pPr>
        <w:ind w:left="5040" w:hanging="480"/>
      </w:pPr>
    </w:lvl>
    <w:lvl w:ilvl="7">
      <w:start w:val="35"/>
      <w:numFmt w:val="decimal"/>
      <w:lvlText w:val="%8."/>
      <w:lvlJc w:val="left"/>
      <w:pPr>
        <w:ind w:left="5760" w:hanging="480"/>
      </w:pPr>
    </w:lvl>
    <w:lvl w:ilvl="8">
      <w:start w:val="35"/>
      <w:numFmt w:val="decimal"/>
      <w:lvlText w:val="%9."/>
      <w:lvlJc w:val="left"/>
      <w:pPr>
        <w:ind w:left="6480" w:hanging="480"/>
      </w:pPr>
    </w:lvl>
  </w:abstractNum>
  <w:abstractNum w:abstractNumId="994143">
    <w:nsid w:val="A994143"/>
    <w:multiLevelType w:val="multilevel"/>
    <w:lvl w:ilvl="0">
      <w:start w:val="43"/>
      <w:numFmt w:val="decimal"/>
      <w:lvlText w:val="%1."/>
      <w:lvlJc w:val="left"/>
      <w:pPr>
        <w:ind w:left="720" w:hanging="480"/>
      </w:pPr>
    </w:lvl>
    <w:lvl w:ilvl="1">
      <w:start w:val="43"/>
      <w:numFmt w:val="decimal"/>
      <w:lvlText w:val="%2."/>
      <w:lvlJc w:val="left"/>
      <w:pPr>
        <w:ind w:left="1440" w:hanging="480"/>
      </w:pPr>
    </w:lvl>
    <w:lvl w:ilvl="2">
      <w:start w:val="43"/>
      <w:numFmt w:val="decimal"/>
      <w:lvlText w:val="%3."/>
      <w:lvlJc w:val="left"/>
      <w:pPr>
        <w:ind w:left="2160" w:hanging="480"/>
      </w:pPr>
    </w:lvl>
    <w:lvl w:ilvl="3">
      <w:start w:val="43"/>
      <w:numFmt w:val="decimal"/>
      <w:lvlText w:val="%4."/>
      <w:lvlJc w:val="left"/>
      <w:pPr>
        <w:ind w:left="2880" w:hanging="480"/>
      </w:pPr>
    </w:lvl>
    <w:lvl w:ilvl="4">
      <w:start w:val="43"/>
      <w:numFmt w:val="decimal"/>
      <w:lvlText w:val="%5."/>
      <w:lvlJc w:val="left"/>
      <w:pPr>
        <w:ind w:left="3600" w:hanging="480"/>
      </w:pPr>
    </w:lvl>
    <w:lvl w:ilvl="5">
      <w:start w:val="43"/>
      <w:numFmt w:val="decimal"/>
      <w:lvlText w:val="%6."/>
      <w:lvlJc w:val="left"/>
      <w:pPr>
        <w:ind w:left="4320" w:hanging="480"/>
      </w:pPr>
    </w:lvl>
    <w:lvl w:ilvl="6">
      <w:start w:val="43"/>
      <w:numFmt w:val="decimal"/>
      <w:lvlText w:val="%7."/>
      <w:lvlJc w:val="left"/>
      <w:pPr>
        <w:ind w:left="5040" w:hanging="480"/>
      </w:pPr>
    </w:lvl>
    <w:lvl w:ilvl="7">
      <w:start w:val="43"/>
      <w:numFmt w:val="decimal"/>
      <w:lvlText w:val="%8."/>
      <w:lvlJc w:val="left"/>
      <w:pPr>
        <w:ind w:left="5760" w:hanging="480"/>
      </w:pPr>
    </w:lvl>
    <w:lvl w:ilvl="8">
      <w:start w:val="43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63">
    <w:nsid w:val="A994163"/>
    <w:multiLevelType w:val="multilevel"/>
    <w:lvl w:ilvl="0">
      <w:start w:val="63"/>
      <w:numFmt w:val="decimal"/>
      <w:lvlText w:val="%1."/>
      <w:lvlJc w:val="left"/>
      <w:pPr>
        <w:ind w:left="720" w:hanging="480"/>
      </w:pPr>
    </w:lvl>
    <w:lvl w:ilvl="1">
      <w:start w:val="63"/>
      <w:numFmt w:val="decimal"/>
      <w:lvlText w:val="%2."/>
      <w:lvlJc w:val="left"/>
      <w:pPr>
        <w:ind w:left="1440" w:hanging="480"/>
      </w:pPr>
    </w:lvl>
    <w:lvl w:ilvl="2">
      <w:start w:val="63"/>
      <w:numFmt w:val="decimal"/>
      <w:lvlText w:val="%3."/>
      <w:lvlJc w:val="left"/>
      <w:pPr>
        <w:ind w:left="2160" w:hanging="480"/>
      </w:pPr>
    </w:lvl>
    <w:lvl w:ilvl="3">
      <w:start w:val="63"/>
      <w:numFmt w:val="decimal"/>
      <w:lvlText w:val="%4."/>
      <w:lvlJc w:val="left"/>
      <w:pPr>
        <w:ind w:left="2880" w:hanging="480"/>
      </w:pPr>
    </w:lvl>
    <w:lvl w:ilvl="4">
      <w:start w:val="63"/>
      <w:numFmt w:val="decimal"/>
      <w:lvlText w:val="%5."/>
      <w:lvlJc w:val="left"/>
      <w:pPr>
        <w:ind w:left="3600" w:hanging="480"/>
      </w:pPr>
    </w:lvl>
    <w:lvl w:ilvl="5">
      <w:start w:val="63"/>
      <w:numFmt w:val="decimal"/>
      <w:lvlText w:val="%6."/>
      <w:lvlJc w:val="left"/>
      <w:pPr>
        <w:ind w:left="4320" w:hanging="480"/>
      </w:pPr>
    </w:lvl>
    <w:lvl w:ilvl="6">
      <w:start w:val="63"/>
      <w:numFmt w:val="decimal"/>
      <w:lvlText w:val="%7."/>
      <w:lvlJc w:val="left"/>
      <w:pPr>
        <w:ind w:left="5040" w:hanging="480"/>
      </w:pPr>
    </w:lvl>
    <w:lvl w:ilvl="7">
      <w:start w:val="63"/>
      <w:numFmt w:val="decimal"/>
      <w:lvlText w:val="%8."/>
      <w:lvlJc w:val="left"/>
      <w:pPr>
        <w:ind w:left="5760" w:hanging="480"/>
      </w:pPr>
    </w:lvl>
    <w:lvl w:ilvl="8">
      <w:start w:val="63"/>
      <w:numFmt w:val="decimal"/>
      <w:lvlText w:val="%9."/>
      <w:lvlJc w:val="left"/>
      <w:pPr>
        <w:ind w:left="6480" w:hanging="480"/>
      </w:pPr>
    </w:lvl>
  </w:abstractNum>
  <w:abstractNum w:abstractNumId="994173">
    <w:nsid w:val="A994173"/>
    <w:multiLevelType w:val="multilevel"/>
    <w:lvl w:ilvl="0">
      <w:start w:val="73"/>
      <w:numFmt w:val="decimal"/>
      <w:lvlText w:val="%1."/>
      <w:lvlJc w:val="left"/>
      <w:pPr>
        <w:ind w:left="720" w:hanging="480"/>
      </w:pPr>
    </w:lvl>
    <w:lvl w:ilvl="1">
      <w:start w:val="73"/>
      <w:numFmt w:val="decimal"/>
      <w:lvlText w:val="%2."/>
      <w:lvlJc w:val="left"/>
      <w:pPr>
        <w:ind w:left="1440" w:hanging="480"/>
      </w:pPr>
    </w:lvl>
    <w:lvl w:ilvl="2">
      <w:start w:val="73"/>
      <w:numFmt w:val="decimal"/>
      <w:lvlText w:val="%3."/>
      <w:lvlJc w:val="left"/>
      <w:pPr>
        <w:ind w:left="2160" w:hanging="480"/>
      </w:pPr>
    </w:lvl>
    <w:lvl w:ilvl="3">
      <w:start w:val="73"/>
      <w:numFmt w:val="decimal"/>
      <w:lvlText w:val="%4."/>
      <w:lvlJc w:val="left"/>
      <w:pPr>
        <w:ind w:left="2880" w:hanging="480"/>
      </w:pPr>
    </w:lvl>
    <w:lvl w:ilvl="4">
      <w:start w:val="73"/>
      <w:numFmt w:val="decimal"/>
      <w:lvlText w:val="%5."/>
      <w:lvlJc w:val="left"/>
      <w:pPr>
        <w:ind w:left="3600" w:hanging="480"/>
      </w:pPr>
    </w:lvl>
    <w:lvl w:ilvl="5">
      <w:start w:val="73"/>
      <w:numFmt w:val="decimal"/>
      <w:lvlText w:val="%6."/>
      <w:lvlJc w:val="left"/>
      <w:pPr>
        <w:ind w:left="4320" w:hanging="480"/>
      </w:pPr>
    </w:lvl>
    <w:lvl w:ilvl="6">
      <w:start w:val="73"/>
      <w:numFmt w:val="decimal"/>
      <w:lvlText w:val="%7."/>
      <w:lvlJc w:val="left"/>
      <w:pPr>
        <w:ind w:left="5040" w:hanging="480"/>
      </w:pPr>
    </w:lvl>
    <w:lvl w:ilvl="7">
      <w:start w:val="73"/>
      <w:numFmt w:val="decimal"/>
      <w:lvlText w:val="%8."/>
      <w:lvlJc w:val="left"/>
      <w:pPr>
        <w:ind w:left="5760" w:hanging="480"/>
      </w:pPr>
    </w:lvl>
    <w:lvl w:ilvl="8">
      <w:start w:val="73"/>
      <w:numFmt w:val="decimal"/>
      <w:lvlText w:val="%9."/>
      <w:lvlJc w:val="left"/>
      <w:pPr>
        <w:ind w:left="6480" w:hanging="480"/>
      </w:pPr>
    </w:lvl>
  </w:abstractNum>
  <w:abstractNum w:abstractNumId="994183">
    <w:nsid w:val="A994183"/>
    <w:multiLevelType w:val="multilevel"/>
    <w:lvl w:ilvl="0">
      <w:start w:val="83"/>
      <w:numFmt w:val="decimal"/>
      <w:lvlText w:val="%1."/>
      <w:lvlJc w:val="left"/>
      <w:pPr>
        <w:ind w:left="720" w:hanging="480"/>
      </w:pPr>
    </w:lvl>
    <w:lvl w:ilvl="1">
      <w:start w:val="83"/>
      <w:numFmt w:val="decimal"/>
      <w:lvlText w:val="%2."/>
      <w:lvlJc w:val="left"/>
      <w:pPr>
        <w:ind w:left="1440" w:hanging="480"/>
      </w:pPr>
    </w:lvl>
    <w:lvl w:ilvl="2">
      <w:start w:val="83"/>
      <w:numFmt w:val="decimal"/>
      <w:lvlText w:val="%3."/>
      <w:lvlJc w:val="left"/>
      <w:pPr>
        <w:ind w:left="2160" w:hanging="480"/>
      </w:pPr>
    </w:lvl>
    <w:lvl w:ilvl="3">
      <w:start w:val="83"/>
      <w:numFmt w:val="decimal"/>
      <w:lvlText w:val="%4."/>
      <w:lvlJc w:val="left"/>
      <w:pPr>
        <w:ind w:left="2880" w:hanging="480"/>
      </w:pPr>
    </w:lvl>
    <w:lvl w:ilvl="4">
      <w:start w:val="83"/>
      <w:numFmt w:val="decimal"/>
      <w:lvlText w:val="%5."/>
      <w:lvlJc w:val="left"/>
      <w:pPr>
        <w:ind w:left="3600" w:hanging="480"/>
      </w:pPr>
    </w:lvl>
    <w:lvl w:ilvl="5">
      <w:start w:val="83"/>
      <w:numFmt w:val="decimal"/>
      <w:lvlText w:val="%6."/>
      <w:lvlJc w:val="left"/>
      <w:pPr>
        <w:ind w:left="4320" w:hanging="480"/>
      </w:pPr>
    </w:lvl>
    <w:lvl w:ilvl="6">
      <w:start w:val="83"/>
      <w:numFmt w:val="decimal"/>
      <w:lvlText w:val="%7."/>
      <w:lvlJc w:val="left"/>
      <w:pPr>
        <w:ind w:left="5040" w:hanging="480"/>
      </w:pPr>
    </w:lvl>
    <w:lvl w:ilvl="7">
      <w:start w:val="83"/>
      <w:numFmt w:val="decimal"/>
      <w:lvlText w:val="%8."/>
      <w:lvlJc w:val="left"/>
      <w:pPr>
        <w:ind w:left="5760" w:hanging="480"/>
      </w:pPr>
    </w:lvl>
    <w:lvl w:ilvl="8">
      <w:start w:val="83"/>
      <w:numFmt w:val="decimal"/>
      <w:lvlText w:val="%9."/>
      <w:lvlJc w:val="left"/>
      <w:pPr>
        <w:ind w:left="6480" w:hanging="480"/>
      </w:pPr>
    </w:lvl>
  </w:abstractNum>
  <w:abstractNum w:abstractNumId="994193">
    <w:nsid w:val="A994193"/>
    <w:multiLevelType w:val="multilevel"/>
    <w:lvl w:ilvl="0">
      <w:start w:val="93"/>
      <w:numFmt w:val="decimal"/>
      <w:lvlText w:val="%1."/>
      <w:lvlJc w:val="left"/>
      <w:pPr>
        <w:ind w:left="720" w:hanging="480"/>
      </w:pPr>
    </w:lvl>
    <w:lvl w:ilvl="1">
      <w:start w:val="93"/>
      <w:numFmt w:val="decimal"/>
      <w:lvlText w:val="%2."/>
      <w:lvlJc w:val="left"/>
      <w:pPr>
        <w:ind w:left="1440" w:hanging="480"/>
      </w:pPr>
    </w:lvl>
    <w:lvl w:ilvl="2">
      <w:start w:val="93"/>
      <w:numFmt w:val="decimal"/>
      <w:lvlText w:val="%3."/>
      <w:lvlJc w:val="left"/>
      <w:pPr>
        <w:ind w:left="2160" w:hanging="480"/>
      </w:pPr>
    </w:lvl>
    <w:lvl w:ilvl="3">
      <w:start w:val="93"/>
      <w:numFmt w:val="decimal"/>
      <w:lvlText w:val="%4."/>
      <w:lvlJc w:val="left"/>
      <w:pPr>
        <w:ind w:left="2880" w:hanging="480"/>
      </w:pPr>
    </w:lvl>
    <w:lvl w:ilvl="4">
      <w:start w:val="93"/>
      <w:numFmt w:val="decimal"/>
      <w:lvlText w:val="%5."/>
      <w:lvlJc w:val="left"/>
      <w:pPr>
        <w:ind w:left="3600" w:hanging="480"/>
      </w:pPr>
    </w:lvl>
    <w:lvl w:ilvl="5">
      <w:start w:val="93"/>
      <w:numFmt w:val="decimal"/>
      <w:lvlText w:val="%6."/>
      <w:lvlJc w:val="left"/>
      <w:pPr>
        <w:ind w:left="4320" w:hanging="480"/>
      </w:pPr>
    </w:lvl>
    <w:lvl w:ilvl="6">
      <w:start w:val="93"/>
      <w:numFmt w:val="decimal"/>
      <w:lvlText w:val="%7."/>
      <w:lvlJc w:val="left"/>
      <w:pPr>
        <w:ind w:left="5040" w:hanging="480"/>
      </w:pPr>
    </w:lvl>
    <w:lvl w:ilvl="7">
      <w:start w:val="93"/>
      <w:numFmt w:val="decimal"/>
      <w:lvlText w:val="%8."/>
      <w:lvlJc w:val="left"/>
      <w:pPr>
        <w:ind w:left="5760" w:hanging="480"/>
      </w:pPr>
    </w:lvl>
    <w:lvl w:ilvl="8">
      <w:start w:val="9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9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10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11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012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13">
    <w:abstractNumId w:val="994163"/>
    <w:lvlOverride w:ilvl="0">
      <w:startOverride w:val="63"/>
    </w:lvlOverride>
    <w:lvlOverride w:ilvl="1">
      <w:startOverride w:val="63"/>
    </w:lvlOverride>
    <w:lvlOverride w:ilvl="2">
      <w:startOverride w:val="63"/>
    </w:lvlOverride>
    <w:lvlOverride w:ilvl="3">
      <w:startOverride w:val="63"/>
    </w:lvlOverride>
    <w:lvlOverride w:ilvl="4">
      <w:startOverride w:val="63"/>
    </w:lvlOverride>
    <w:lvlOverride w:ilvl="5">
      <w:startOverride w:val="63"/>
    </w:lvlOverride>
    <w:lvlOverride w:ilvl="6">
      <w:startOverride w:val="63"/>
    </w:lvlOverride>
    <w:lvlOverride w:ilvl="7">
      <w:startOverride w:val="63"/>
    </w:lvlOverride>
    <w:lvlOverride w:ilvl="8">
      <w:startOverride w:val="63"/>
    </w:lvlOverride>
  </w:num>
  <w:num w:numId="1014">
    <w:abstractNumId w:val="994173"/>
    <w:lvlOverride w:ilvl="0">
      <w:startOverride w:val="73"/>
    </w:lvlOverride>
    <w:lvlOverride w:ilvl="1">
      <w:startOverride w:val="73"/>
    </w:lvlOverride>
    <w:lvlOverride w:ilvl="2">
      <w:startOverride w:val="73"/>
    </w:lvlOverride>
    <w:lvlOverride w:ilvl="3">
      <w:startOverride w:val="73"/>
    </w:lvlOverride>
    <w:lvlOverride w:ilvl="4">
      <w:startOverride w:val="73"/>
    </w:lvlOverride>
    <w:lvlOverride w:ilvl="5">
      <w:startOverride w:val="73"/>
    </w:lvlOverride>
    <w:lvlOverride w:ilvl="6">
      <w:startOverride w:val="73"/>
    </w:lvlOverride>
    <w:lvlOverride w:ilvl="7">
      <w:startOverride w:val="73"/>
    </w:lvlOverride>
    <w:lvlOverride w:ilvl="8">
      <w:startOverride w:val="73"/>
    </w:lvlOverride>
  </w:num>
  <w:num w:numId="1015">
    <w:abstractNumId w:val="994183"/>
    <w:lvlOverride w:ilvl="0">
      <w:startOverride w:val="83"/>
    </w:lvlOverride>
    <w:lvlOverride w:ilvl="1">
      <w:startOverride w:val="83"/>
    </w:lvlOverride>
    <w:lvlOverride w:ilvl="2">
      <w:startOverride w:val="83"/>
    </w:lvlOverride>
    <w:lvlOverride w:ilvl="3">
      <w:startOverride w:val="83"/>
    </w:lvlOverride>
    <w:lvlOverride w:ilvl="4">
      <w:startOverride w:val="83"/>
    </w:lvlOverride>
    <w:lvlOverride w:ilvl="5">
      <w:startOverride w:val="83"/>
    </w:lvlOverride>
    <w:lvlOverride w:ilvl="6">
      <w:startOverride w:val="83"/>
    </w:lvlOverride>
    <w:lvlOverride w:ilvl="7">
      <w:startOverride w:val="83"/>
    </w:lvlOverride>
    <w:lvlOverride w:ilvl="8">
      <w:startOverride w:val="83"/>
    </w:lvlOverride>
  </w:num>
  <w:num w:numId="1016">
    <w:abstractNumId w:val="994193"/>
    <w:lvlOverride w:ilvl="0">
      <w:startOverride w:val="93"/>
    </w:lvlOverride>
    <w:lvlOverride w:ilvl="1">
      <w:startOverride w:val="93"/>
    </w:lvlOverride>
    <w:lvlOverride w:ilvl="2">
      <w:startOverride w:val="93"/>
    </w:lvlOverride>
    <w:lvlOverride w:ilvl="3">
      <w:startOverride w:val="93"/>
    </w:lvlOverride>
    <w:lvlOverride w:ilvl="4">
      <w:startOverride w:val="93"/>
    </w:lvlOverride>
    <w:lvlOverride w:ilvl="5">
      <w:startOverride w:val="93"/>
    </w:lvlOverride>
    <w:lvlOverride w:ilvl="6">
      <w:startOverride w:val="93"/>
    </w:lvlOverride>
    <w:lvlOverride w:ilvl="7">
      <w:startOverride w:val="93"/>
    </w:lvlOverride>
    <w:lvlOverride w:ilvl="8">
      <w:startOverride w:val="93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6F1D2C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/>
      <w:b/>
      <w:bCs/>
      <w:color w:val="6F1D2C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/>
      <w:b/>
      <w:bCs/>
      <w:color w:val="3B6F8F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/>
      <w:b/>
      <w:bCs/>
      <w:color w:val="3B6F8F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67" Type="http://schemas.openxmlformats.org/officeDocument/2006/relationships/hyperlink" Target="https://asic.gov.au/about-asic/news-centre/news-items/asic-s-roadmap-for-digital-assets-law-reform-implementation/" TargetMode="External"/><Relationship Id="rId68" Type="http://schemas.openxmlformats.org/officeDocument/2006/relationships/hyperlink" Target="https://moneysmart.gov.au/complex-investment-products/crypto-assets" TargetMode="External"/><Relationship Id="rId62" Type="http://schemas.openxmlformats.org/officeDocument/2006/relationships/hyperlink" Target="https://support.wealthfront.com/hc/en-us/articles/29855382055060-Important-Updates-Regarding-the-Risk-Parity-Fund" TargetMode="External"/><Relationship Id="rId59" Type="http://schemas.openxmlformats.org/officeDocument/2006/relationships/hyperlink" Target="https://www.aqr.com/-/media/AQR/Documents/Insights/Alternative-Thinking/Alternative-Thinking-Strategic-Portfolio-Construction.pdf" TargetMode="External"/><Relationship Id="rId66" Type="http://schemas.openxmlformats.org/officeDocument/2006/relationships/hyperlink" Target="https://www.asic.gov.au/for-finance-professionals/afs-licensees/do-you-need-an-afs-licence/" TargetMode="External"/><Relationship Id="rId64" Type="http://schemas.openxmlformats.org/officeDocument/2006/relationships/hyperlink" Target="https://www.asic.gov.au/regulatory-resources/financial-services/giving-financial-product-advice/" TargetMode="External"/><Relationship Id="rId65" Type="http://schemas.openxmlformats.org/officeDocument/2006/relationships/hyperlink" Target="https://www.asic.gov.au/regulatory-resources/find-a-document/regulatory-guides/rg-255-providing-digital-financial-product-advice-to-retail-clients" TargetMode="External"/><Relationship Id="rId56" Type="http://schemas.openxmlformats.org/officeDocument/2006/relationships/hyperlink" Target="https://www.betashares.com.au/direct/custom-portfolios" TargetMode="External"/><Relationship Id="rId60" Type="http://schemas.openxmlformats.org/officeDocument/2006/relationships/hyperlink" Target="https://www.blackrock.com/au/solutions/systematic-active-equity" TargetMode="External"/><Relationship Id="rId57" Type="http://schemas.openxmlformats.org/officeDocument/2006/relationships/hyperlink" Target="https://www.composer.trade/" TargetMode="External"/><Relationship Id="rId58" Type="http://schemas.openxmlformats.org/officeDocument/2006/relationships/hyperlink" Target="https://www.etoro.com/investing/portfolios/" TargetMode="External"/><Relationship Id="rId61" Type="http://schemas.openxmlformats.org/officeDocument/2006/relationships/hyperlink" Target="https://www.ravenpack.com/products/edge/data/news-analytics" TargetMode="External"/><Relationship Id="rId55" Type="http://schemas.openxmlformats.org/officeDocument/2006/relationships/hyperlink" Target="https://www.stockspot.com.au/what-are-etfs/our-chosen-etfs/" TargetMode="External"/><Relationship Id="rId54" Type="http://schemas.openxmlformats.org/officeDocument/2006/relationships/hyperlink" Target="https://www.wealthfront.com/" TargetMode="External"/><Relationship Id="rId9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asic.gov.au/about-asic/news-centre/news-items/asic-s-roadmap-for-digital-assets-law-reform-implementation/" TargetMode="External"/><Relationship Id="rId68" Type="http://schemas.openxmlformats.org/officeDocument/2006/relationships/hyperlink" Target="https://moneysmart.gov.au/complex-investment-products/crypto-assets" TargetMode="External"/><Relationship Id="rId62" Type="http://schemas.openxmlformats.org/officeDocument/2006/relationships/hyperlink" Target="https://support.wealthfront.com/hc/en-us/articles/29855382055060-Important-Updates-Regarding-the-Risk-Parity-Fund" TargetMode="External"/><Relationship Id="rId59" Type="http://schemas.openxmlformats.org/officeDocument/2006/relationships/hyperlink" Target="https://www.aqr.com/-/media/AQR/Documents/Insights/Alternative-Thinking/Alternative-Thinking-Strategic-Portfolio-Construction.pdf" TargetMode="External"/><Relationship Id="rId66" Type="http://schemas.openxmlformats.org/officeDocument/2006/relationships/hyperlink" Target="https://www.asic.gov.au/for-finance-professionals/afs-licensees/do-you-need-an-afs-licence/" TargetMode="External"/><Relationship Id="rId64" Type="http://schemas.openxmlformats.org/officeDocument/2006/relationships/hyperlink" Target="https://www.asic.gov.au/regulatory-resources/financial-services/giving-financial-product-advice/" TargetMode="External"/><Relationship Id="rId65" Type="http://schemas.openxmlformats.org/officeDocument/2006/relationships/hyperlink" Target="https://www.asic.gov.au/regulatory-resources/find-a-document/regulatory-guides/rg-255-providing-digital-financial-product-advice-to-retail-clients" TargetMode="External"/><Relationship Id="rId56" Type="http://schemas.openxmlformats.org/officeDocument/2006/relationships/hyperlink" Target="https://www.betashares.com.au/direct/custom-portfolios" TargetMode="External"/><Relationship Id="rId60" Type="http://schemas.openxmlformats.org/officeDocument/2006/relationships/hyperlink" Target="https://www.blackrock.com/au/solutions/systematic-active-equity" TargetMode="External"/><Relationship Id="rId57" Type="http://schemas.openxmlformats.org/officeDocument/2006/relationships/hyperlink" Target="https://www.composer.trade/" TargetMode="External"/><Relationship Id="rId58" Type="http://schemas.openxmlformats.org/officeDocument/2006/relationships/hyperlink" Target="https://www.etoro.com/investing/portfolios/" TargetMode="External"/><Relationship Id="rId61" Type="http://schemas.openxmlformats.org/officeDocument/2006/relationships/hyperlink" Target="https://www.ravenpack.com/products/edge/data/news-analytics" TargetMode="External"/><Relationship Id="rId55" Type="http://schemas.openxmlformats.org/officeDocument/2006/relationships/hyperlink" Target="https://www.stockspot.com.au/what-are-etfs/our-chosen-etfs/" TargetMode="External"/><Relationship Id="rId54" Type="http://schemas.openxmlformats.org/officeDocument/2006/relationships/hyperlink" Target="https://www.wealthfron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Signal &amp; Story: authorship and investment decision guide</dc:title>
  <dc:creator>Student ID z5529169</dc:creator>
  <dc:subject>Understanding and decision support before the student approves the report</dc:subject>
  <cp:keywords/>
  <dcterms:created xsi:type="dcterms:W3CDTF">2026-08-13T15:32:25Z</dcterms:created>
  <dcterms:modified xsi:type="dcterms:W3CDTF">2026-08-13T15:32:25Z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Evidence base: regenerated Project B artifacts, live period 31 December 2020 to 31 December 2023</vt:lpwstr>
  </property>
</Properties>
</file>