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0"/>
      </w:pPr>
      <w:r>
        <w:rPr>
          <w:b/>
          <w:bCs/>
          <w:color w:val="0E7C74"/>
          <w:sz w:val="20"/>
          <w:szCs w:val="20"/>
        </w:rPr>
        <w:t xml:space="preserve">BUSINESS SALES PERFORMANCE ANALYTICS</w:t>
      </w:r>
    </w:p>
    <w:p>
      <w:pPr>
        <w:spacing w:after="200"/>
      </w:pPr>
      <w:r>
        <w:rPr>
          <w:b/>
          <w:bCs/>
          <w:color w:val="0B2436"/>
          <w:sz w:val="56"/>
          <w:szCs w:val="56"/>
        </w:rPr>
        <w:t xml:space="preserve">Meridian Retail Group</w:t>
      </w:r>
    </w:p>
    <w:p>
      <w:pPr>
        <w:spacing w:after="500"/>
      </w:pPr>
      <w:r>
        <w:rPr>
          <w:color w:val="5B6472"/>
          <w:sz w:val="26"/>
          <w:szCs w:val="26"/>
        </w:rPr>
        <w:t xml:space="preserve">Sales Analysis Report &amp; Strategic Recommendations</w:t>
      </w:r>
    </w:p>
    <w:p>
      <w:pPr>
        <w:spacing w:after="60"/>
      </w:pPr>
      <w:r>
        <w:rPr>
          <w:color w:val="222831"/>
          <w:sz w:val="20"/>
          <w:szCs w:val="20"/>
        </w:rPr>
        <w:t xml:space="preserve">Reporting Period:  January 2024 – December 2025</w:t>
      </w:r>
    </w:p>
    <w:p>
      <w:pPr>
        <w:spacing w:after="60"/>
      </w:pPr>
      <w:r>
        <w:rPr>
          <w:color w:val="222831"/>
          <w:sz w:val="20"/>
          <w:szCs w:val="20"/>
        </w:rPr>
        <w:t xml:space="preserve">Dataset:  5,610 transactions | 4 regions | 4 categories | 24 SKUs</w:t>
      </w:r>
    </w:p>
    <w:p>
      <w:pPr>
        <w:spacing w:after="60"/>
      </w:pPr>
      <w:r>
        <w:rPr>
          <w:color w:val="222831"/>
          <w:sz w:val="20"/>
          <w:szCs w:val="20"/>
        </w:rPr>
        <w:t xml:space="preserve">Prepared for:  Business Leadership / Client Review</w:t>
      </w:r>
    </w:p>
    <w:p>
      <w:pPr>
        <w:spacing w:after="700"/>
      </w:pPr>
      <w:r>
        <w:rPr>
          <w:color w:val="222831"/>
          <w:sz w:val="20"/>
          <w:szCs w:val="20"/>
        </w:rPr>
        <w:t xml:space="preserve">Prepared using:  Python (pandas), data visualization &amp; dashboarding</w:t>
      </w:r>
    </w:p>
    <w:p>
      <w:r>
        <w:rPr>
          <w:i/>
          <w:iCs/>
          <w:color w:val="5B6472"/>
          <w:sz w:val="18"/>
          <w:szCs w:val="18"/>
        </w:rPr>
        <w:t xml:space="preserve">Note: This report uses a simulated business sales dataset created for internship task demonstration purposes.</w:t>
      </w:r>
    </w:p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0B2436"/>
          <w:sz w:val="30"/>
          <w:szCs w:val="30"/>
        </w:rPr>
        <w:t xml:space="preserve">1. Executive Summary</w:t>
      </w:r>
    </w:p>
    <w:p>
      <w:pPr>
        <w:spacing w:after="160" w:line="300"/>
      </w:pPr>
      <w:r>
        <w:rPr>
          <w:color w:val="222831"/>
          <w:sz w:val="22"/>
          <w:szCs w:val="22"/>
        </w:rPr>
        <w:t xml:space="preserve">Between January 2024 and December 2025, Meridian Retail Group generated total revenue of Rs. 5,43,50,091 across 5,610 orders, with an overall profit of Rs. 87,84,721 (a 16.2% blended profit margin). Revenue grew 9.0% year-over-year from 2024 to 2025, with average order value of Rs. 9,688.</w:t>
      </w:r>
    </w:p>
    <w:p>
      <w:pPr>
        <w:spacing w:after="160" w:line="300"/>
      </w:pPr>
      <w:r>
        <w:rPr>
          <w:color w:val="222831"/>
          <w:sz w:val="22"/>
          <w:szCs w:val="22"/>
        </w:rPr>
        <w:t xml:space="preserve">Sales are strongly seasonal, peaking every October–December and dipping every January–February. The business is heavily reliant on the Technology category and a single flagship product (Laptop), which together present both an opportunity and a concentration risk. This report outlines revenue trends, top performers, category and regional profitability, and prioritized recommendations to help the business grow faster and more profitably.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b/>
                <w:bCs/>
                <w:color w:val="5B6472"/>
                <w:sz w:val="17"/>
                <w:szCs w:val="17"/>
              </w:rPr>
              <w:t xml:space="preserve">TOTAL REVENUE</w:t>
            </w:r>
          </w:p>
          <w:p>
            <w:pPr>
              <w:spacing w:before="60"/>
            </w:pPr>
            <w:r>
              <w:rPr>
                <w:b/>
                <w:bCs/>
                <w:color w:val="0B2436"/>
                <w:sz w:val="30"/>
                <w:szCs w:val="30"/>
              </w:rPr>
              <w:t xml:space="preserve">Rs. 543.5L</w:t>
            </w:r>
          </w:p>
          <w:p>
            <w:pPr>
              <w:spacing w:before="40"/>
            </w:pPr>
            <w:r>
              <w:rPr>
                <w:color w:val="0E7C74"/>
                <w:sz w:val="17"/>
                <w:szCs w:val="17"/>
              </w:rPr>
              <w:t xml:space="preserve">+9.0% YoY</w:t>
            </w:r>
          </w:p>
        </w:tc>
        <w:tc>
          <w:tcPr>
            <w:tcW w:type="dxa" w:w="187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b/>
                <w:bCs/>
                <w:color w:val="5B6472"/>
                <w:sz w:val="17"/>
                <w:szCs w:val="17"/>
              </w:rPr>
              <w:t xml:space="preserve">TOTAL PROFIT</w:t>
            </w:r>
          </w:p>
          <w:p>
            <w:pPr>
              <w:spacing w:before="60"/>
            </w:pPr>
            <w:r>
              <w:rPr>
                <w:b/>
                <w:bCs/>
                <w:color w:val="0B2436"/>
                <w:sz w:val="30"/>
                <w:szCs w:val="30"/>
              </w:rPr>
              <w:t xml:space="preserve">Rs. 87.8L</w:t>
            </w:r>
          </w:p>
          <w:p>
            <w:pPr>
              <w:spacing w:before="40"/>
            </w:pPr>
            <w:r>
              <w:rPr>
                <w:color w:val="0E7C74"/>
                <w:sz w:val="17"/>
                <w:szCs w:val="17"/>
              </w:rPr>
              <w:t xml:space="preserve">16.2% margin</w:t>
            </w:r>
          </w:p>
        </w:tc>
        <w:tc>
          <w:tcPr>
            <w:tcW w:type="dxa" w:w="187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b/>
                <w:bCs/>
                <w:color w:val="5B6472"/>
                <w:sz w:val="17"/>
                <w:szCs w:val="17"/>
              </w:rPr>
              <w:t xml:space="preserve">TOTAL ORDERS</w:t>
            </w:r>
          </w:p>
          <w:p>
            <w:pPr>
              <w:spacing w:before="60"/>
            </w:pPr>
            <w:r>
              <w:rPr>
                <w:b/>
                <w:bCs/>
                <w:color w:val="0B2436"/>
                <w:sz w:val="30"/>
                <w:szCs w:val="30"/>
              </w:rPr>
              <w:t xml:space="preserve">5,610</w:t>
            </w:r>
          </w:p>
          <w:p>
            <w:pPr>
              <w:spacing w:before="40"/>
            </w:pPr>
            <w:r>
              <w:rPr>
                <w:color w:val="0E7C74"/>
                <w:sz w:val="17"/>
                <w:szCs w:val="17"/>
              </w:rPr>
              <w:t xml:space="preserve">24 months</w:t>
            </w:r>
          </w:p>
        </w:tc>
        <w:tc>
          <w:tcPr>
            <w:tcW w:type="dxa" w:w="187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b/>
                <w:bCs/>
                <w:color w:val="5B6472"/>
                <w:sz w:val="17"/>
                <w:szCs w:val="17"/>
              </w:rPr>
              <w:t xml:space="preserve">AVG ORDER VALUE</w:t>
            </w:r>
          </w:p>
          <w:p>
            <w:pPr>
              <w:spacing w:before="60"/>
            </w:pPr>
            <w:r>
              <w:rPr>
                <w:b/>
                <w:bCs/>
                <w:color w:val="0B2436"/>
                <w:sz w:val="30"/>
                <w:szCs w:val="30"/>
              </w:rPr>
              <w:t xml:space="preserve">Rs. 9,688</w:t>
            </w:r>
          </w:p>
          <w:p>
            <w:pPr>
              <w:spacing w:before="40"/>
            </w:pPr>
            <w:r>
              <w:rPr>
                <w:color w:val="0E7C74"/>
                <w:sz w:val="17"/>
                <w:szCs w:val="17"/>
              </w:rPr>
              <w:t xml:space="preserve">per transaction</w:t>
            </w:r>
          </w:p>
        </w:tc>
        <w:tc>
          <w:tcPr>
            <w:tcW w:type="dxa" w:w="187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b/>
                <w:bCs/>
                <w:color w:val="5B6472"/>
                <w:sz w:val="17"/>
                <w:szCs w:val="17"/>
              </w:rPr>
              <w:t xml:space="preserve">TOP CATEGORY</w:t>
            </w:r>
          </w:p>
          <w:p>
            <w:pPr>
              <w:spacing w:before="60"/>
            </w:pPr>
            <w:r>
              <w:rPr>
                <w:b/>
                <w:bCs/>
                <w:color w:val="0B2436"/>
                <w:sz w:val="30"/>
                <w:szCs w:val="30"/>
              </w:rPr>
              <w:t xml:space="preserve">Technology</w:t>
            </w:r>
          </w:p>
          <w:p>
            <w:pPr>
              <w:spacing w:before="40"/>
            </w:pPr>
            <w:r>
              <w:rPr>
                <w:color w:val="0E7C74"/>
                <w:sz w:val="17"/>
                <w:szCs w:val="17"/>
              </w:rPr>
              <w:t xml:space="preserve">58.1% of revenue</w:t>
            </w:r>
          </w:p>
        </w:tc>
      </w:tr>
    </w:tbl>
    <w:p>
      <w:pPr>
        <w:spacing w:after="300"/>
      </w:pPr>
    </w:p>
    <w:p>
      <w:pPr>
        <w:pStyle w:val="Heading1"/>
        <w:spacing w:after="160" w:before="360"/>
      </w:pPr>
      <w:r>
        <w:rPr>
          <w:b/>
          <w:bCs/>
          <w:color w:val="0B2436"/>
          <w:sz w:val="30"/>
          <w:szCs w:val="30"/>
        </w:rPr>
        <w:t xml:space="preserve">2. Revenue Trend Over Time</w:t>
      </w:r>
    </w:p>
    <w:p>
      <w:pPr>
        <w:spacing w:after="160" w:line="300"/>
      </w:pPr>
      <w:r>
        <w:rPr>
          <w:color w:val="222831"/>
          <w:sz w:val="22"/>
          <w:szCs w:val="22"/>
        </w:rPr>
        <w:t xml:space="preserve">Monthly revenue shows a repeatable seasonal pattern: a slow start each January-February, a steady mid-year climb, and a strong festive-season peak from October through December. In 2024, revenue rose from Rs. 12.6L in January to a peak of Rs. 35.2L in December, a 3.8x seasonal swing. The same pattern repeats in 2025 at a higher baseline, confirming genuine year-over-year growth rather than random fluctuation.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950"/>
      </w:tblGrid>
      <w:tr>
        <w:trPr>
          <w:tblHeader/>
        </w:trPr>
        <w:tc>
          <w:tcPr>
            <w:tcW w:type="dxa" w:w="2200"/>
            <w:shd w:fill="0B24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2600"/>
            <w:shd w:fill="0B24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Sales</w:t>
            </w:r>
          </w:p>
        </w:tc>
        <w:tc>
          <w:tcPr>
            <w:tcW w:type="dxa" w:w="2600"/>
            <w:shd w:fill="0B24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Profit</w:t>
            </w:r>
          </w:p>
        </w:tc>
        <w:tc>
          <w:tcPr>
            <w:tcW w:type="dxa" w:w="1950"/>
            <w:shd w:fill="0B24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Orders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2024-01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12,64,950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2,01,563</w:t>
            </w:r>
          </w:p>
        </w:tc>
        <w:tc>
          <w:tcPr>
            <w:tcW w:type="dxa" w:w="1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129</w:t>
            </w:r>
          </w:p>
        </w:tc>
      </w:tr>
      <w:tr>
        <w:tc>
          <w:tcPr>
            <w:tcW w:type="dxa" w:w="22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2024-02</w:t>
            </w:r>
          </w:p>
        </w:tc>
        <w:tc>
          <w:tcPr>
            <w:tcW w:type="dxa" w:w="26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13,72,952</w:t>
            </w:r>
          </w:p>
        </w:tc>
        <w:tc>
          <w:tcPr>
            <w:tcW w:type="dxa" w:w="26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2,25,859</w:t>
            </w:r>
          </w:p>
        </w:tc>
        <w:tc>
          <w:tcPr>
            <w:tcW w:type="dxa" w:w="195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152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2024-03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19,83,854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3,25,706</w:t>
            </w:r>
          </w:p>
        </w:tc>
        <w:tc>
          <w:tcPr>
            <w:tcW w:type="dxa" w:w="1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203</w:t>
            </w:r>
          </w:p>
        </w:tc>
      </w:tr>
      <w:tr>
        <w:tc>
          <w:tcPr>
            <w:tcW w:type="dxa" w:w="22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2024-04</w:t>
            </w:r>
          </w:p>
        </w:tc>
        <w:tc>
          <w:tcPr>
            <w:tcW w:type="dxa" w:w="26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18,37,556</w:t>
            </w:r>
          </w:p>
        </w:tc>
        <w:tc>
          <w:tcPr>
            <w:tcW w:type="dxa" w:w="26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2,84,715</w:t>
            </w:r>
          </w:p>
        </w:tc>
        <w:tc>
          <w:tcPr>
            <w:tcW w:type="dxa" w:w="195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181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2024-05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18,59,705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2,99,591</w:t>
            </w:r>
          </w:p>
        </w:tc>
        <w:tc>
          <w:tcPr>
            <w:tcW w:type="dxa" w:w="1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184</w:t>
            </w:r>
          </w:p>
        </w:tc>
      </w:tr>
      <w:tr>
        <w:tc>
          <w:tcPr>
            <w:tcW w:type="dxa" w:w="22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2024-06</w:t>
            </w:r>
          </w:p>
        </w:tc>
        <w:tc>
          <w:tcPr>
            <w:tcW w:type="dxa" w:w="26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22,17,613</w:t>
            </w:r>
          </w:p>
        </w:tc>
        <w:tc>
          <w:tcPr>
            <w:tcW w:type="dxa" w:w="26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3,55,400</w:t>
            </w:r>
          </w:p>
        </w:tc>
        <w:tc>
          <w:tcPr>
            <w:tcW w:type="dxa" w:w="195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214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2024-07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19,35,888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3,20,189</w:t>
            </w:r>
          </w:p>
        </w:tc>
        <w:tc>
          <w:tcPr>
            <w:tcW w:type="dxa" w:w="1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211</w:t>
            </w:r>
          </w:p>
        </w:tc>
      </w:tr>
      <w:tr>
        <w:tc>
          <w:tcPr>
            <w:tcW w:type="dxa" w:w="22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2024-08</w:t>
            </w:r>
          </w:p>
        </w:tc>
        <w:tc>
          <w:tcPr>
            <w:tcW w:type="dxa" w:w="26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19,54,278</w:t>
            </w:r>
          </w:p>
        </w:tc>
        <w:tc>
          <w:tcPr>
            <w:tcW w:type="dxa" w:w="26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3,13,041</w:t>
            </w:r>
          </w:p>
        </w:tc>
        <w:tc>
          <w:tcPr>
            <w:tcW w:type="dxa" w:w="195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194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2024-09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15,44,770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2,50,800</w:t>
            </w:r>
          </w:p>
        </w:tc>
        <w:tc>
          <w:tcPr>
            <w:tcW w:type="dxa" w:w="1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168</w:t>
            </w:r>
          </w:p>
        </w:tc>
      </w:tr>
      <w:tr>
        <w:tc>
          <w:tcPr>
            <w:tcW w:type="dxa" w:w="22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2024-10</w:t>
            </w:r>
          </w:p>
        </w:tc>
        <w:tc>
          <w:tcPr>
            <w:tcW w:type="dxa" w:w="26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31,14,284</w:t>
            </w:r>
          </w:p>
        </w:tc>
        <w:tc>
          <w:tcPr>
            <w:tcW w:type="dxa" w:w="26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5,29,573</w:t>
            </w:r>
          </w:p>
        </w:tc>
        <w:tc>
          <w:tcPr>
            <w:tcW w:type="dxa" w:w="195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333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2024-11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33,99,036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5,34,154</w:t>
            </w:r>
          </w:p>
        </w:tc>
        <w:tc>
          <w:tcPr>
            <w:tcW w:type="dxa" w:w="1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309</w:t>
            </w:r>
          </w:p>
        </w:tc>
      </w:tr>
      <w:tr>
        <w:tc>
          <w:tcPr>
            <w:tcW w:type="dxa" w:w="22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2024-12</w:t>
            </w:r>
          </w:p>
        </w:tc>
        <w:tc>
          <w:tcPr>
            <w:tcW w:type="dxa" w:w="26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35,23,413</w:t>
            </w:r>
          </w:p>
        </w:tc>
        <w:tc>
          <w:tcPr>
            <w:tcW w:type="dxa" w:w="26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5,57,090</w:t>
            </w:r>
          </w:p>
        </w:tc>
        <w:tc>
          <w:tcPr>
            <w:tcW w:type="dxa" w:w="195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288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2025-01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12,38,128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2,15,440</w:t>
            </w:r>
          </w:p>
        </w:tc>
        <w:tc>
          <w:tcPr>
            <w:tcW w:type="dxa" w:w="1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167</w:t>
            </w:r>
          </w:p>
        </w:tc>
      </w:tr>
      <w:tr>
        <w:tc>
          <w:tcPr>
            <w:tcW w:type="dxa" w:w="22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2025-02</w:t>
            </w:r>
          </w:p>
        </w:tc>
        <w:tc>
          <w:tcPr>
            <w:tcW w:type="dxa" w:w="26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13,33,025</w:t>
            </w:r>
          </w:p>
        </w:tc>
        <w:tc>
          <w:tcPr>
            <w:tcW w:type="dxa" w:w="26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2,08,235</w:t>
            </w:r>
          </w:p>
        </w:tc>
        <w:tc>
          <w:tcPr>
            <w:tcW w:type="dxa" w:w="195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145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2025-03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19,68,605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2,99,657</w:t>
            </w:r>
          </w:p>
        </w:tc>
        <w:tc>
          <w:tcPr>
            <w:tcW w:type="dxa" w:w="1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210</w:t>
            </w:r>
          </w:p>
        </w:tc>
      </w:tr>
      <w:tr>
        <w:tc>
          <w:tcPr>
            <w:tcW w:type="dxa" w:w="22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2025-04</w:t>
            </w:r>
          </w:p>
        </w:tc>
        <w:tc>
          <w:tcPr>
            <w:tcW w:type="dxa" w:w="26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20,41,599</w:t>
            </w:r>
          </w:p>
        </w:tc>
        <w:tc>
          <w:tcPr>
            <w:tcW w:type="dxa" w:w="26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3,23,215</w:t>
            </w:r>
          </w:p>
        </w:tc>
        <w:tc>
          <w:tcPr>
            <w:tcW w:type="dxa" w:w="195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239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2025-05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29,03,691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4,56,740</w:t>
            </w:r>
          </w:p>
        </w:tc>
        <w:tc>
          <w:tcPr>
            <w:tcW w:type="dxa" w:w="1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262</w:t>
            </w:r>
          </w:p>
        </w:tc>
      </w:tr>
      <w:tr>
        <w:tc>
          <w:tcPr>
            <w:tcW w:type="dxa" w:w="22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2025-06</w:t>
            </w:r>
          </w:p>
        </w:tc>
        <w:tc>
          <w:tcPr>
            <w:tcW w:type="dxa" w:w="26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21,26,493</w:t>
            </w:r>
          </w:p>
        </w:tc>
        <w:tc>
          <w:tcPr>
            <w:tcW w:type="dxa" w:w="26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3,52,691</w:t>
            </w:r>
          </w:p>
        </w:tc>
        <w:tc>
          <w:tcPr>
            <w:tcW w:type="dxa" w:w="195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250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2025-07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30,51,281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4,86,753</w:t>
            </w:r>
          </w:p>
        </w:tc>
        <w:tc>
          <w:tcPr>
            <w:tcW w:type="dxa" w:w="1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266</w:t>
            </w:r>
          </w:p>
        </w:tc>
      </w:tr>
      <w:tr>
        <w:tc>
          <w:tcPr>
            <w:tcW w:type="dxa" w:w="22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2025-08</w:t>
            </w:r>
          </w:p>
        </w:tc>
        <w:tc>
          <w:tcPr>
            <w:tcW w:type="dxa" w:w="26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22,67,023</w:t>
            </w:r>
          </w:p>
        </w:tc>
        <w:tc>
          <w:tcPr>
            <w:tcW w:type="dxa" w:w="26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3,62,924</w:t>
            </w:r>
          </w:p>
        </w:tc>
        <w:tc>
          <w:tcPr>
            <w:tcW w:type="dxa" w:w="195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236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2025-09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21,89,722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3,61,338</w:t>
            </w:r>
          </w:p>
        </w:tc>
        <w:tc>
          <w:tcPr>
            <w:tcW w:type="dxa" w:w="1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252</w:t>
            </w:r>
          </w:p>
        </w:tc>
      </w:tr>
      <w:tr>
        <w:tc>
          <w:tcPr>
            <w:tcW w:type="dxa" w:w="22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2025-10</w:t>
            </w:r>
          </w:p>
        </w:tc>
        <w:tc>
          <w:tcPr>
            <w:tcW w:type="dxa" w:w="26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30,42,983</w:t>
            </w:r>
          </w:p>
        </w:tc>
        <w:tc>
          <w:tcPr>
            <w:tcW w:type="dxa" w:w="26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4,96,846</w:t>
            </w:r>
          </w:p>
        </w:tc>
        <w:tc>
          <w:tcPr>
            <w:tcW w:type="dxa" w:w="195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321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2025-11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32,30,717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5,33,861</w:t>
            </w:r>
          </w:p>
        </w:tc>
        <w:tc>
          <w:tcPr>
            <w:tcW w:type="dxa" w:w="1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353</w:t>
            </w:r>
          </w:p>
        </w:tc>
      </w:tr>
      <w:tr>
        <w:tc>
          <w:tcPr>
            <w:tcW w:type="dxa" w:w="22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2025-12</w:t>
            </w:r>
          </w:p>
        </w:tc>
        <w:tc>
          <w:tcPr>
            <w:tcW w:type="dxa" w:w="26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29,48,525</w:t>
            </w:r>
          </w:p>
        </w:tc>
        <w:tc>
          <w:tcPr>
            <w:tcW w:type="dxa" w:w="26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4,89,340</w:t>
            </w:r>
          </w:p>
        </w:tc>
        <w:tc>
          <w:tcPr>
            <w:tcW w:type="dxa" w:w="195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343</w:t>
            </w:r>
          </w:p>
        </w:tc>
      </w:tr>
    </w:tbl>
    <w:p>
      <w:pPr>
        <w:spacing w:after="300"/>
      </w:pPr>
    </w:p>
    <w:p>
      <w:pPr>
        <w:pStyle w:val="Heading2"/>
        <w:spacing w:after="120" w:before="260"/>
      </w:pPr>
      <w:r>
        <w:rPr>
          <w:b/>
          <w:bCs/>
          <w:color w:val="0E7C74"/>
          <w:sz w:val="24"/>
          <w:szCs w:val="24"/>
        </w:rPr>
        <w:t xml:space="preserve">Key observation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color w:val="222831"/>
          <w:sz w:val="22"/>
          <w:szCs w:val="22"/>
        </w:rPr>
        <w:t xml:space="preserve">Q4 (Oct-Dec) consistently contributes roughly 30% of annual revenue despite being only 25% of the calendar year — the single biggest lever for planning inventory and marketing spend.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color w:val="222831"/>
          <w:sz w:val="22"/>
          <w:szCs w:val="22"/>
        </w:rPr>
        <w:t xml:space="preserve">January-February is consistently the weakest period each year, suggesting a need for early-year promotions or diversification into less seasonal categories.</w:t>
      </w:r>
    </w:p>
    <w:p>
      <w:pPr>
        <w:pStyle w:val="Heading1"/>
        <w:spacing w:after="160" w:before="360"/>
      </w:pPr>
      <w:r>
        <w:rPr>
          <w:b/>
          <w:bCs/>
          <w:color w:val="0B2436"/>
          <w:sz w:val="30"/>
          <w:szCs w:val="30"/>
        </w:rPr>
        <w:t xml:space="preserve">3. Top-Selling Products</w:t>
      </w:r>
    </w:p>
    <w:p>
      <w:pPr>
        <w:spacing w:after="160" w:line="300"/>
      </w:pPr>
      <w:r>
        <w:rPr>
          <w:color w:val="222831"/>
          <w:sz w:val="22"/>
          <w:szCs w:val="22"/>
        </w:rPr>
        <w:t xml:space="preserve">Laptop is the single largest revenue driver at Rs. 1,48,56,760 (27.3% of total company revenue), followed by Sofa Set and Smartphone. The top 5 products alone account for over 65% of total revenue, indicating a concentrated but high-performing core catalogue.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2200"/>
        <w:gridCol w:w="2200"/>
        <w:gridCol w:w="1250"/>
      </w:tblGrid>
      <w:tr>
        <w:trPr>
          <w:tblHeader/>
        </w:trPr>
        <w:tc>
          <w:tcPr>
            <w:tcW w:type="dxa" w:w="700"/>
            <w:shd w:fill="0B24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shd w:fill="0B24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2200"/>
            <w:shd w:fill="0B24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2200"/>
            <w:shd w:fill="0B24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Profit</w:t>
            </w:r>
          </w:p>
        </w:tc>
        <w:tc>
          <w:tcPr>
            <w:tcW w:type="dxa" w:w="1250"/>
            <w:shd w:fill="0B24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Units Sold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Laptop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1,48,56,760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20,60,716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323</w:t>
            </w:r>
          </w:p>
        </w:tc>
      </w:tr>
      <w:tr>
        <w:tc>
          <w:tcPr>
            <w:tcW w:type="dxa" w:w="7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Sofa Set</w:t>
            </w:r>
          </w:p>
        </w:tc>
        <w:tc>
          <w:tcPr>
            <w:tcW w:type="dxa" w:w="22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72,61,706</w:t>
            </w:r>
          </w:p>
        </w:tc>
        <w:tc>
          <w:tcPr>
            <w:tcW w:type="dxa" w:w="22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13,24,842</w:t>
            </w:r>
          </w:p>
        </w:tc>
        <w:tc>
          <w:tcPr>
            <w:tcW w:type="dxa" w:w="125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362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Smartphone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65,30,655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9,20,979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312</w:t>
            </w:r>
          </w:p>
        </w:tc>
      </w:tr>
      <w:tr>
        <w:tc>
          <w:tcPr>
            <w:tcW w:type="dxa" w:w="7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Tablet</w:t>
            </w:r>
          </w:p>
        </w:tc>
        <w:tc>
          <w:tcPr>
            <w:tcW w:type="dxa" w:w="22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47,18,918</w:t>
            </w:r>
          </w:p>
        </w:tc>
        <w:tc>
          <w:tcPr>
            <w:tcW w:type="dxa" w:w="22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6,71,204</w:t>
            </w:r>
          </w:p>
        </w:tc>
        <w:tc>
          <w:tcPr>
            <w:tcW w:type="dxa" w:w="125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321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Executive Desk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31,06,959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5,57,531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333</w:t>
            </w:r>
          </w:p>
        </w:tc>
      </w:tr>
      <w:tr>
        <w:tc>
          <w:tcPr>
            <w:tcW w:type="dxa" w:w="7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Vacuum Cleaner</w:t>
            </w:r>
          </w:p>
        </w:tc>
        <w:tc>
          <w:tcPr>
            <w:tcW w:type="dxa" w:w="22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26,85,803</w:t>
            </w:r>
          </w:p>
        </w:tc>
        <w:tc>
          <w:tcPr>
            <w:tcW w:type="dxa" w:w="22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5,34,959</w:t>
            </w:r>
          </w:p>
        </w:tc>
        <w:tc>
          <w:tcPr>
            <w:tcW w:type="dxa" w:w="125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317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Monitor 24in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26,00,024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3,68,805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300</w:t>
            </w:r>
          </w:p>
        </w:tc>
      </w:tr>
      <w:tr>
        <w:tc>
          <w:tcPr>
            <w:tcW w:type="dxa" w:w="7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Printer</w:t>
            </w:r>
          </w:p>
        </w:tc>
        <w:tc>
          <w:tcPr>
            <w:tcW w:type="dxa" w:w="22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20,98,550</w:t>
            </w:r>
          </w:p>
        </w:tc>
        <w:tc>
          <w:tcPr>
            <w:tcW w:type="dxa" w:w="22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2,94,929</w:t>
            </w:r>
          </w:p>
        </w:tc>
        <w:tc>
          <w:tcPr>
            <w:tcW w:type="dxa" w:w="125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289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Filing Cabinet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17,32,624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3,09,060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338</w:t>
            </w:r>
          </w:p>
        </w:tc>
      </w:tr>
      <w:tr>
        <w:tc>
          <w:tcPr>
            <w:tcW w:type="dxa" w:w="7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Air Fryer</w:t>
            </w:r>
          </w:p>
        </w:tc>
        <w:tc>
          <w:tcPr>
            <w:tcW w:type="dxa" w:w="22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16,78,062</w:t>
            </w:r>
          </w:p>
        </w:tc>
        <w:tc>
          <w:tcPr>
            <w:tcW w:type="dxa" w:w="22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3,38,609</w:t>
            </w:r>
          </w:p>
        </w:tc>
        <w:tc>
          <w:tcPr>
            <w:tcW w:type="dxa" w:w="125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282</w:t>
            </w:r>
          </w:p>
        </w:tc>
      </w:tr>
    </w:tbl>
    <w:p>
      <w:pPr>
        <w:spacing w:after="300"/>
      </w:pPr>
    </w:p>
    <w:p>
      <w:pPr>
        <w:pStyle w:val="Heading1"/>
        <w:spacing w:after="160" w:before="360"/>
      </w:pPr>
      <w:r>
        <w:rPr>
          <w:b/>
          <w:bCs/>
          <w:color w:val="0B2436"/>
          <w:sz w:val="30"/>
          <w:szCs w:val="30"/>
        </w:rPr>
        <w:t xml:space="preserve">4. Category &amp; Regional Profitability</w:t>
      </w:r>
    </w:p>
    <w:p>
      <w:pPr>
        <w:pStyle w:val="Heading2"/>
        <w:spacing w:after="120" w:before="260"/>
      </w:pPr>
      <w:r>
        <w:rPr>
          <w:b/>
          <w:bCs/>
          <w:color w:val="0E7C74"/>
          <w:sz w:val="24"/>
          <w:szCs w:val="24"/>
        </w:rPr>
        <w:t xml:space="preserve">By Category</w:t>
      </w:r>
    </w:p>
    <w:p>
      <w:pPr>
        <w:spacing w:after="160" w:line="300"/>
      </w:pPr>
      <w:r>
        <w:rPr>
          <w:color w:val="222831"/>
          <w:sz w:val="22"/>
          <w:szCs w:val="22"/>
        </w:rPr>
        <w:t xml:space="preserve">Technology generates the most revenue (Rs. 3,15,81,110) but has the thinnest margin at 14.0%. In contrast, Office Supplies carries the healthiest margin at 32.1%, despite being a much smaller share of revenue. This gap is the clearest profitability lever in the business.</w:t>
      </w:r>
    </w:p>
    <w:tbl>
      <w:tblPr>
        <w:tblW w:type="dxa" w:w="10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600"/>
        <w:gridCol w:w="1550"/>
      </w:tblGrid>
      <w:tr>
        <w:trPr>
          <w:tblHeader/>
        </w:trPr>
        <w:tc>
          <w:tcPr>
            <w:tcW w:type="dxa" w:w="2400"/>
            <w:shd w:fill="0B24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400"/>
            <w:shd w:fill="0B24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2400"/>
            <w:shd w:fill="0B24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Profit</w:t>
            </w:r>
          </w:p>
        </w:tc>
        <w:tc>
          <w:tcPr>
            <w:tcW w:type="dxa" w:w="1600"/>
            <w:shd w:fill="0B24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Margin %</w:t>
            </w:r>
          </w:p>
        </w:tc>
        <w:tc>
          <w:tcPr>
            <w:tcW w:type="dxa" w:w="1550"/>
            <w:shd w:fill="0B24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Orders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3,15,81,110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44,26,284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14.0%</w:t>
            </w:r>
          </w:p>
        </w:tc>
        <w:tc>
          <w:tcPr>
            <w:tcW w:type="dxa" w:w="1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1614</w:t>
            </w:r>
          </w:p>
        </w:tc>
      </w:tr>
      <w:tr>
        <w:tc>
          <w:tcPr>
            <w:tcW w:type="dxa" w:w="24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Furniture</w:t>
            </w:r>
          </w:p>
        </w:tc>
        <w:tc>
          <w:tcPr>
            <w:tcW w:type="dxa" w:w="24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1,52,82,886</w:t>
            </w:r>
          </w:p>
        </w:tc>
        <w:tc>
          <w:tcPr>
            <w:tcW w:type="dxa" w:w="24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27,62,885</w:t>
            </w:r>
          </w:p>
        </w:tc>
        <w:tc>
          <w:tcPr>
            <w:tcW w:type="dxa" w:w="16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18.1%</w:t>
            </w:r>
          </w:p>
        </w:tc>
        <w:tc>
          <w:tcPr>
            <w:tcW w:type="dxa" w:w="155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1386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Home Appliances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66,57,992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13,30,044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20.0%</w:t>
            </w:r>
          </w:p>
        </w:tc>
        <w:tc>
          <w:tcPr>
            <w:tcW w:type="dxa" w:w="1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1174</w:t>
            </w:r>
          </w:p>
        </w:tc>
      </w:tr>
      <w:tr>
        <w:tc>
          <w:tcPr>
            <w:tcW w:type="dxa" w:w="24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Office Supplies</w:t>
            </w:r>
          </w:p>
        </w:tc>
        <w:tc>
          <w:tcPr>
            <w:tcW w:type="dxa" w:w="24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8,28,103</w:t>
            </w:r>
          </w:p>
        </w:tc>
        <w:tc>
          <w:tcPr>
            <w:tcW w:type="dxa" w:w="24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2,65,508</w:t>
            </w:r>
          </w:p>
        </w:tc>
        <w:tc>
          <w:tcPr>
            <w:tcW w:type="dxa" w:w="16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32.1%</w:t>
            </w:r>
          </w:p>
        </w:tc>
        <w:tc>
          <w:tcPr>
            <w:tcW w:type="dxa" w:w="155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1436</w:t>
            </w:r>
          </w:p>
        </w:tc>
      </w:tr>
    </w:tbl>
    <w:p>
      <w:pPr>
        <w:spacing w:after="260"/>
      </w:pPr>
    </w:p>
    <w:p>
      <w:pPr>
        <w:pStyle w:val="Heading2"/>
        <w:spacing w:after="120" w:before="260"/>
      </w:pPr>
      <w:r>
        <w:rPr>
          <w:b/>
          <w:bCs/>
          <w:color w:val="0E7C74"/>
          <w:sz w:val="24"/>
          <w:szCs w:val="24"/>
        </w:rPr>
        <w:t xml:space="preserve">By Region</w:t>
      </w:r>
    </w:p>
    <w:p>
      <w:pPr>
        <w:spacing w:after="160" w:line="300"/>
      </w:pPr>
      <w:r>
        <w:rPr>
          <w:color w:val="222831"/>
          <w:sz w:val="22"/>
          <w:szCs w:val="22"/>
        </w:rPr>
        <w:t xml:space="preserve">North is the top-performing region at Rs. 1,52,43,914, while West trails all regions at Rs. 1,16,88,140 despite a comparable order count to South. This points to a value-per-order gap in West rather than a demand problem.</w:t>
      </w:r>
    </w:p>
    <w:tbl>
      <w:tblPr>
        <w:tblW w:type="dxa" w:w="10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600"/>
        <w:gridCol w:w="1550"/>
      </w:tblGrid>
      <w:tr>
        <w:trPr>
          <w:tblHeader/>
        </w:trPr>
        <w:tc>
          <w:tcPr>
            <w:tcW w:type="dxa" w:w="2400"/>
            <w:shd w:fill="0B24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Region</w:t>
            </w:r>
          </w:p>
        </w:tc>
        <w:tc>
          <w:tcPr>
            <w:tcW w:type="dxa" w:w="2400"/>
            <w:shd w:fill="0B24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2400"/>
            <w:shd w:fill="0B24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Profit</w:t>
            </w:r>
          </w:p>
        </w:tc>
        <w:tc>
          <w:tcPr>
            <w:tcW w:type="dxa" w:w="1600"/>
            <w:shd w:fill="0B24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Margin %</w:t>
            </w:r>
          </w:p>
        </w:tc>
        <w:tc>
          <w:tcPr>
            <w:tcW w:type="dxa" w:w="1550"/>
            <w:shd w:fill="0B24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Orders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North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1,52,43,914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24,61,297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16.1%</w:t>
            </w:r>
          </w:p>
        </w:tc>
        <w:tc>
          <w:tcPr>
            <w:tcW w:type="dxa" w:w="1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1567</w:t>
            </w:r>
          </w:p>
        </w:tc>
      </w:tr>
      <w:tr>
        <w:tc>
          <w:tcPr>
            <w:tcW w:type="dxa" w:w="24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East</w:t>
            </w:r>
          </w:p>
        </w:tc>
        <w:tc>
          <w:tcPr>
            <w:tcW w:type="dxa" w:w="24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1,45,20,861</w:t>
            </w:r>
          </w:p>
        </w:tc>
        <w:tc>
          <w:tcPr>
            <w:tcW w:type="dxa" w:w="24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23,57,817</w:t>
            </w:r>
          </w:p>
        </w:tc>
        <w:tc>
          <w:tcPr>
            <w:tcW w:type="dxa" w:w="16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16.2%</w:t>
            </w:r>
          </w:p>
        </w:tc>
        <w:tc>
          <w:tcPr>
            <w:tcW w:type="dxa" w:w="155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1451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South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1,28,97,177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20,77,391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16.1%</w:t>
            </w:r>
          </w:p>
        </w:tc>
        <w:tc>
          <w:tcPr>
            <w:tcW w:type="dxa" w:w="1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1336</w:t>
            </w:r>
          </w:p>
        </w:tc>
      </w:tr>
      <w:tr>
        <w:tc>
          <w:tcPr>
            <w:tcW w:type="dxa" w:w="24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West</w:t>
            </w:r>
          </w:p>
        </w:tc>
        <w:tc>
          <w:tcPr>
            <w:tcW w:type="dxa" w:w="24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1,16,88,140</w:t>
            </w:r>
          </w:p>
        </w:tc>
        <w:tc>
          <w:tcPr>
            <w:tcW w:type="dxa" w:w="24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Rs. 18,88,215</w:t>
            </w:r>
          </w:p>
        </w:tc>
        <w:tc>
          <w:tcPr>
            <w:tcW w:type="dxa" w:w="160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16.2%</w:t>
            </w:r>
          </w:p>
        </w:tc>
        <w:tc>
          <w:tcPr>
            <w:tcW w:type="dxa" w:w="1550"/>
            <w:shd w:fill="F3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831"/>
                <w:sz w:val="18"/>
                <w:szCs w:val="18"/>
              </w:rPr>
              <w:t xml:space="preserve">1256</w:t>
            </w:r>
          </w:p>
        </w:tc>
      </w:tr>
    </w:tbl>
    <w:p>
      <w:pPr>
        <w:spacing w:after="300"/>
      </w:pPr>
    </w:p>
    <w:p>
      <w:pPr>
        <w:pStyle w:val="Heading1"/>
        <w:spacing w:after="160" w:before="360"/>
      </w:pPr>
      <w:r>
        <w:rPr>
          <w:b/>
          <w:bCs/>
          <w:color w:val="0B2436"/>
          <w:sz w:val="30"/>
          <w:szCs w:val="30"/>
        </w:rPr>
        <w:t xml:space="preserve">5. Key Business Insights</w:t>
      </w:r>
    </w:p>
    <w:p>
      <w:pPr>
        <w:pStyle w:val="ListParagraph"/>
        <w:numPr>
          <w:ilvl w:val="0"/>
          <w:numId w:val="2"/>
        </w:numPr>
        <w:spacing w:after="120" w:line="290"/>
      </w:pPr>
      <w:r>
        <w:rPr>
          <w:color w:val="222831"/>
          <w:sz w:val="22"/>
          <w:szCs w:val="22"/>
        </w:rPr>
        <w:t xml:space="preserve">Revenue grew 9.0% year-over-year, with the strongest seasonal spikes every October-December, roughly 60% above the January-February baseline.</w:t>
      </w:r>
    </w:p>
    <w:p>
      <w:pPr>
        <w:pStyle w:val="ListParagraph"/>
        <w:numPr>
          <w:ilvl w:val="0"/>
          <w:numId w:val="2"/>
        </w:numPr>
        <w:spacing w:after="120" w:line="290"/>
      </w:pPr>
      <w:r>
        <w:rPr>
          <w:color w:val="222831"/>
          <w:sz w:val="22"/>
          <w:szCs w:val="22"/>
        </w:rPr>
        <w:t xml:space="preserve">Technology drives 58% of revenue but has the thinnest margin (14%); Office Supplies is under 2% of revenue but the most profitable category (32% margin).</w:t>
      </w:r>
    </w:p>
    <w:p>
      <w:pPr>
        <w:pStyle w:val="ListParagraph"/>
        <w:numPr>
          <w:ilvl w:val="0"/>
          <w:numId w:val="2"/>
        </w:numPr>
        <w:spacing w:after="120" w:line="290"/>
      </w:pPr>
      <w:r>
        <w:rPr>
          <w:color w:val="222831"/>
          <w:sz w:val="22"/>
          <w:szCs w:val="22"/>
        </w:rPr>
        <w:t xml:space="preserve">Laptop alone generates about 27.3% of total company revenue — a single-SKU concentration risk worth monitoring.</w:t>
      </w:r>
    </w:p>
    <w:p>
      <w:pPr>
        <w:pStyle w:val="ListParagraph"/>
        <w:numPr>
          <w:ilvl w:val="0"/>
          <w:numId w:val="2"/>
        </w:numPr>
        <w:spacing w:after="120" w:line="290"/>
      </w:pPr>
      <w:r>
        <w:rPr>
          <w:color w:val="222831"/>
          <w:sz w:val="22"/>
          <w:szCs w:val="22"/>
        </w:rPr>
        <w:t xml:space="preserve">North and East together contribute 55% of company sales; West underperforms North by roughly Rs. 3.5L in monthly revenue despite similar order volumes.</w:t>
      </w:r>
    </w:p>
    <w:p>
      <w:pPr>
        <w:pStyle w:val="ListParagraph"/>
        <w:numPr>
          <w:ilvl w:val="0"/>
          <w:numId w:val="2"/>
        </w:numPr>
        <w:spacing w:after="120" w:line="290"/>
      </w:pPr>
      <w:r>
        <w:rPr>
          <w:color w:val="222831"/>
          <w:sz w:val="22"/>
          <w:szCs w:val="22"/>
        </w:rPr>
        <w:t xml:space="preserve">60% of all orders ship via Standard delivery — a real opportunity to test premium/express shipping upsells.</w:t>
      </w:r>
    </w:p>
    <w:p>
      <w:pPr>
        <w:pStyle w:val="Heading1"/>
        <w:spacing w:after="160" w:before="360"/>
      </w:pPr>
      <w:r>
        <w:rPr>
          <w:b/>
          <w:bCs/>
          <w:color w:val="0B2436"/>
          <w:sz w:val="30"/>
          <w:szCs w:val="30"/>
        </w:rPr>
        <w:t xml:space="preserve">6. Strategic Recommendations</w:t>
      </w:r>
    </w:p>
    <w:p>
      <w:pPr>
        <w:spacing w:after="60" w:before="160"/>
      </w:pPr>
      <w:r>
        <w:rPr>
          <w:b/>
          <w:bCs/>
          <w:color w:val="0B2436"/>
          <w:sz w:val="22"/>
          <w:szCs w:val="22"/>
        </w:rPr>
        <w:t xml:space="preserve">1. Diversify the category mix</w:t>
      </w:r>
    </w:p>
    <w:p>
      <w:pPr>
        <w:spacing w:after="160" w:line="300"/>
      </w:pPr>
      <w:r>
        <w:rPr>
          <w:color w:val="222831"/>
          <w:sz w:val="22"/>
          <w:szCs w:val="22"/>
        </w:rPr>
        <w:t xml:space="preserve">Cross-sell high-margin Office Supplies and Home Appliances alongside Technology purchases (e.g. bundle a desk organizer or kettle with a laptop order) to lift blended profitability without needing new customers.</w:t>
      </w:r>
    </w:p>
    <w:p>
      <w:pPr>
        <w:spacing w:after="60" w:before="160"/>
      </w:pPr>
      <w:r>
        <w:rPr>
          <w:b/>
          <w:bCs/>
          <w:color w:val="0B2436"/>
          <w:sz w:val="22"/>
          <w:szCs w:val="22"/>
        </w:rPr>
        <w:t xml:space="preserve">2. Plan inventory and marketing around Q4</w:t>
      </w:r>
    </w:p>
    <w:p>
      <w:pPr>
        <w:spacing w:after="160" w:line="300"/>
      </w:pPr>
      <w:r>
        <w:rPr>
          <w:color w:val="222831"/>
          <w:sz w:val="22"/>
          <w:szCs w:val="22"/>
        </w:rPr>
        <w:t xml:space="preserve">Begin stock build-up and campaign spend in September to fully capture the October-December demand spike, and mirror a scaled-down version of that promotional push in the slow January-February window.</w:t>
      </w:r>
    </w:p>
    <w:p>
      <w:pPr>
        <w:spacing w:after="60" w:before="160"/>
      </w:pPr>
      <w:r>
        <w:rPr>
          <w:b/>
          <w:bCs/>
          <w:color w:val="0B2436"/>
          <w:sz w:val="22"/>
          <w:szCs w:val="22"/>
        </w:rPr>
        <w:t xml:space="preserve">3. Reduce single-SKU dependency</w:t>
      </w:r>
    </w:p>
    <w:p>
      <w:pPr>
        <w:spacing w:after="160" w:line="300"/>
      </w:pPr>
      <w:r>
        <w:rPr>
          <w:color w:val="222831"/>
          <w:sz w:val="22"/>
          <w:szCs w:val="22"/>
        </w:rPr>
        <w:t xml:space="preserve">Bundle the Laptop with Monitor/Mouse/Bag accessories to increase attach-rate revenue and reduce reliance on standalone unit sales.</w:t>
      </w:r>
    </w:p>
    <w:p>
      <w:pPr>
        <w:spacing w:after="60" w:before="160"/>
      </w:pPr>
      <w:r>
        <w:rPr>
          <w:b/>
          <w:bCs/>
          <w:color w:val="0B2436"/>
          <w:sz w:val="22"/>
          <w:szCs w:val="22"/>
        </w:rPr>
        <w:t xml:space="preserve">4. Investigate the West region gap</w:t>
      </w:r>
    </w:p>
    <w:p>
      <w:pPr>
        <w:spacing w:after="160" w:line="300"/>
      </w:pPr>
      <w:r>
        <w:rPr>
          <w:color w:val="222831"/>
          <w:sz w:val="22"/>
          <w:szCs w:val="22"/>
        </w:rPr>
        <w:t xml:space="preserve">Audit local pricing, marketing reach, and delivery speed in West — order volume is healthy but revenue per order lags North and East, suggesting a value or assortment issue rather than a demand issue.</w:t>
      </w:r>
    </w:p>
    <w:p>
      <w:pPr>
        <w:spacing w:after="60" w:before="160"/>
      </w:pPr>
      <w:r>
        <w:rPr>
          <w:b/>
          <w:bCs/>
          <w:color w:val="0B2436"/>
          <w:sz w:val="22"/>
          <w:szCs w:val="22"/>
        </w:rPr>
        <w:t xml:space="preserve">5. Test premium shipping upsells</w:t>
      </w:r>
    </w:p>
    <w:p>
      <w:pPr>
        <w:spacing w:after="160" w:line="300"/>
      </w:pPr>
      <w:r>
        <w:rPr>
          <w:color w:val="222831"/>
          <w:sz w:val="22"/>
          <w:szCs w:val="22"/>
        </w:rPr>
        <w:t xml:space="preserve">Offer a discounted Express-shipping upgrade for orders above the average order value to shift the fulfilment mix and improve delivery experience and margin simultaneously.</w:t>
      </w:r>
    </w:p>
    <w:p>
      <w:pPr>
        <w:pStyle w:val="Heading1"/>
        <w:spacing w:after="160" w:before="360"/>
      </w:pPr>
      <w:r>
        <w:rPr>
          <w:b/>
          <w:bCs/>
          <w:color w:val="0B2436"/>
          <w:sz w:val="30"/>
          <w:szCs w:val="30"/>
        </w:rPr>
        <w:t xml:space="preserve">7. Methodology &amp; Data Notes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color w:val="222831"/>
          <w:sz w:val="22"/>
          <w:szCs w:val="22"/>
        </w:rPr>
        <w:t xml:space="preserve">Dataset: simulated e-commerce/retail sales transactions (Jan 2024 - Dec 2025), covering Order ID, Date, Region, Segment, Category, Product, Quantity, Unit Price, Discount, Sales, Profit and Ship Mode.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color w:val="222831"/>
          <w:sz w:val="22"/>
          <w:szCs w:val="22"/>
        </w:rPr>
        <w:t xml:space="preserve">Analysis performed in Python (pandas): data cleaning, monthly aggregation, category/region/segment grouping, and YoY growth calculation.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color w:val="222831"/>
          <w:sz w:val="22"/>
          <w:szCs w:val="22"/>
        </w:rPr>
        <w:t xml:space="preserve">Dashboard built with HTML/CSS/JavaScript (Chart.js) for an interactive, client-ready view; this document summarizes the same findings in report form.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color w:val="222831"/>
          <w:sz w:val="22"/>
          <w:szCs w:val="22"/>
        </w:rPr>
        <w:t xml:space="preserve">This dataset is simulated for demonstration. When applying this framework to a real business, replace the source file with actual POS/e-commerce export data — the analysis pipeline and report structure remain unchanged.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2"/>
        <w:sz w:val="16"/>
        <w:szCs w:val="16"/>
      </w:rPr>
      <w:t xml:space="preserve">Page </w:t>
    </w:r>
    <w:r>
      <w:rPr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472"/>
        <w:sz w:val="16"/>
        <w:szCs w:val="16"/>
      </w:rPr>
      <w:t xml:space="preserve"> of </w:t>
    </w:r>
    <w:r>
      <w:rPr>
        <w:color w:val="5B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472"/>
        <w:sz w:val="16"/>
        <w:szCs w:val="16"/>
      </w:rPr>
      <w:t xml:space="preserve">Meridian Retail Group — Sales Performance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2026-07-01T08:58:22.942Z</dcterms:created>
  <dcterms:modified xsi:type="dcterms:W3CDTF">2026-07-01T08:58:22.942Z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