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b/>
          <w:bCs/>
          <w:color w:val="5B4FE0"/>
          <w:sz w:val="20"/>
          <w:szCs w:val="20"/>
        </w:rPr>
        <w:t xml:space="preserve">CUSTOMER RETENTION &amp; CHURN ANALYSIS</w:t>
      </w:r>
    </w:p>
    <w:p>
      <w:pPr>
        <w:spacing w:after="200"/>
      </w:pPr>
      <w:r>
        <w:rPr>
          <w:b/>
          <w:bCs/>
          <w:color w:val="181A3D"/>
          <w:sz w:val="56"/>
          <w:szCs w:val="56"/>
        </w:rPr>
        <w:t xml:space="preserve">Orbit SaaS</w:t>
      </w:r>
    </w:p>
    <w:p>
      <w:pPr>
        <w:spacing w:after="500"/>
      </w:pPr>
      <w:r>
        <w:rPr>
          <w:color w:val="5B6472"/>
          <w:sz w:val="26"/>
          <w:szCs w:val="26"/>
        </w:rPr>
        <w:t xml:space="preserve">Retention Analysis Report &amp; Strategic Recommendations</w:t>
      </w:r>
    </w:p>
    <w:p>
      <w:pPr>
        <w:spacing w:after="60"/>
      </w:pPr>
      <w:r>
        <w:rPr>
          <w:color w:val="222831"/>
          <w:sz w:val="20"/>
          <w:szCs w:val="20"/>
        </w:rPr>
        <w:t xml:space="preserve">Reporting Period:  January 2024 – December 2025</w:t>
      </w:r>
    </w:p>
    <w:p>
      <w:pPr>
        <w:spacing w:after="60"/>
      </w:pPr>
      <w:r>
        <w:rPr>
          <w:color w:val="222831"/>
          <w:sz w:val="20"/>
          <w:szCs w:val="20"/>
        </w:rPr>
        <w:t xml:space="preserve">Dataset:  4,636 customers | 3 subscription plans | 4 regions | 5 acquisition channels</w:t>
      </w:r>
    </w:p>
    <w:p>
      <w:pPr>
        <w:spacing w:after="60"/>
      </w:pPr>
      <w:r>
        <w:rPr>
          <w:color w:val="222831"/>
          <w:sz w:val="20"/>
          <w:szCs w:val="20"/>
        </w:rPr>
        <w:t xml:space="preserve">Prepared for:  Product / Growth Leadership Review</w:t>
      </w:r>
    </w:p>
    <w:p>
      <w:pPr>
        <w:spacing w:after="700"/>
      </w:pPr>
      <w:r>
        <w:rPr>
          <w:color w:val="222831"/>
          <w:sz w:val="20"/>
          <w:szCs w:val="20"/>
        </w:rPr>
        <w:t xml:space="preserve">Prepared using:  Python (pandas), cohort analysis, interactive dashboarding</w:t>
      </w:r>
    </w:p>
    <w:p>
      <w:r>
        <w:rPr>
          <w:i/>
          <w:iCs/>
          <w:color w:val="5B6472"/>
          <w:sz w:val="18"/>
          <w:szCs w:val="18"/>
        </w:rPr>
        <w:t xml:space="preserve">Note: This report uses a simulated SaaS subscription dataset created for internship task demonstration purposes.</w:t>
      </w:r>
    </w:p>
    <w:p>
      <w:pPr>
        <w:pageBreakBefore/>
      </w:pPr>
      <w:r>
        <w:t xml:space="preserve"/>
      </w:r>
    </w:p>
    <w:p>
      <w:pPr>
        <w:pStyle w:val="Heading1"/>
        <w:spacing w:after="160" w:before="360"/>
      </w:pPr>
      <w:r>
        <w:rPr>
          <w:b/>
          <w:bCs/>
          <w:color w:val="181A3D"/>
          <w:sz w:val="30"/>
          <w:szCs w:val="30"/>
        </w:rPr>
        <w:t xml:space="preserve">1. Executive Summary</w:t>
      </w:r>
    </w:p>
    <w:p>
      <w:pPr>
        <w:spacing w:after="160" w:line="300"/>
      </w:pPr>
      <w:r>
        <w:rPr>
          <w:color w:val="222831"/>
          <w:sz w:val="22"/>
          <w:szCs w:val="22"/>
        </w:rPr>
        <w:t xml:space="preserve">Between January 2024 and December 2025, Orbit SaaS acquired 4,636 customers, of whom 1,491 (32.2%) have churned. 3,145 customers (67.8%) remain active today, generating Rs. 51.1L in monthly recurring revenue. Churned customers represent Rs. 19.7L in lost monthly recurring revenue.</w:t>
      </w:r>
    </w:p>
    <w:p>
      <w:pPr>
        <w:spacing w:after="160" w:line="300"/>
      </w:pPr>
      <w:r>
        <w:rPr>
          <w:color w:val="222831"/>
          <w:sz w:val="22"/>
          <w:szCs w:val="22"/>
        </w:rPr>
        <w:t xml:space="preserve">The average customer tenure is 8.6 months. Churn is heavily concentrated in the first 3 months after signup, and varies significantly by subscription plan, product usage level, and support experience. This report identifies where and why customers are leaving, and lays out prioritized actions to improve retention.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0"/>
            <w:tcBorders>
              <w:top w:val="single" w:color="D9DEE6" w:sz="4"/>
              <w:left w:val="single" w:color="D9DEE6" w:sz="4"/>
              <w:bottom w:val="single" w:color="D9DEE6" w:sz="4"/>
              <w:right w:val="single" w:color="D9DEE6" w:sz="4"/>
            </w:tcBorders>
            <w:shd w:fill="FFFFFF" w:val="clear"/>
            <w:tcMar>
              <w:top w:type="dxa" w:w="160"/>
              <w:left w:type="dxa" w:w="160"/>
              <w:bottom w:type="dxa" w:w="160"/>
              <w:right w:type="dxa" w:w="160"/>
            </w:tcMar>
          </w:tcPr>
          <w:p>
            <w:r>
              <w:rPr>
                <w:b/>
                <w:bCs/>
                <w:color w:val="5B6472"/>
                <w:sz w:val="17"/>
                <w:szCs w:val="17"/>
              </w:rPr>
              <w:t xml:space="preserve">TOTAL CUSTOMERS</w:t>
            </w:r>
          </w:p>
          <w:p>
            <w:pPr>
              <w:spacing w:before="60"/>
            </w:pPr>
            <w:r>
              <w:rPr>
                <w:b/>
                <w:bCs/>
                <w:color w:val="181A3D"/>
                <w:sz w:val="30"/>
                <w:szCs w:val="30"/>
              </w:rPr>
              <w:t xml:space="preserve">4,636</w:t>
            </w:r>
          </w:p>
          <w:p>
            <w:pPr>
              <w:spacing w:before="40"/>
            </w:pPr>
            <w:r>
              <w:rPr>
                <w:color w:val="5B4FE0"/>
                <w:sz w:val="17"/>
                <w:szCs w:val="17"/>
              </w:rPr>
              <w:t xml:space="preserve">since Jan 2024</w:t>
            </w:r>
          </w:p>
        </w:tc>
        <w:tc>
          <w:tcPr>
            <w:tcW w:type="dxa" w:w="1870"/>
            <w:tcBorders>
              <w:top w:val="single" w:color="D9DEE6" w:sz="4"/>
              <w:left w:val="single" w:color="D9DEE6" w:sz="4"/>
              <w:bottom w:val="single" w:color="D9DEE6" w:sz="4"/>
              <w:right w:val="single" w:color="D9DEE6" w:sz="4"/>
            </w:tcBorders>
            <w:shd w:fill="FFFFFF" w:val="clear"/>
            <w:tcMar>
              <w:top w:type="dxa" w:w="160"/>
              <w:left w:type="dxa" w:w="160"/>
              <w:bottom w:type="dxa" w:w="160"/>
              <w:right w:type="dxa" w:w="160"/>
            </w:tcMar>
          </w:tcPr>
          <w:p>
            <w:r>
              <w:rPr>
                <w:b/>
                <w:bCs/>
                <w:color w:val="5B6472"/>
                <w:sz w:val="17"/>
                <w:szCs w:val="17"/>
              </w:rPr>
              <w:t xml:space="preserve">CHURN RATE</w:t>
            </w:r>
          </w:p>
          <w:p>
            <w:pPr>
              <w:spacing w:before="60"/>
            </w:pPr>
            <w:r>
              <w:rPr>
                <w:b/>
                <w:bCs/>
                <w:color w:val="181A3D"/>
                <w:sz w:val="30"/>
                <w:szCs w:val="30"/>
              </w:rPr>
              <w:t xml:space="preserve">32.2%</w:t>
            </w:r>
          </w:p>
          <w:p>
            <w:pPr>
              <w:spacing w:before="40"/>
            </w:pPr>
            <w:r>
              <w:rPr>
                <w:color w:val="5B4FE0"/>
                <w:sz w:val="17"/>
                <w:szCs w:val="17"/>
              </w:rPr>
              <w:t xml:space="preserve">1,491 lost</w:t>
            </w:r>
          </w:p>
        </w:tc>
        <w:tc>
          <w:tcPr>
            <w:tcW w:type="dxa" w:w="1870"/>
            <w:tcBorders>
              <w:top w:val="single" w:color="D9DEE6" w:sz="4"/>
              <w:left w:val="single" w:color="D9DEE6" w:sz="4"/>
              <w:bottom w:val="single" w:color="D9DEE6" w:sz="4"/>
              <w:right w:val="single" w:color="D9DEE6" w:sz="4"/>
            </w:tcBorders>
            <w:shd w:fill="FFFFFF" w:val="clear"/>
            <w:tcMar>
              <w:top w:type="dxa" w:w="160"/>
              <w:left w:type="dxa" w:w="160"/>
              <w:bottom w:type="dxa" w:w="160"/>
              <w:right w:type="dxa" w:w="160"/>
            </w:tcMar>
          </w:tcPr>
          <w:p>
            <w:r>
              <w:rPr>
                <w:b/>
                <w:bCs/>
                <w:color w:val="5B6472"/>
                <w:sz w:val="17"/>
                <w:szCs w:val="17"/>
              </w:rPr>
              <w:t xml:space="preserve">ACTIVE CUSTOMERS</w:t>
            </w:r>
          </w:p>
          <w:p>
            <w:pPr>
              <w:spacing w:before="60"/>
            </w:pPr>
            <w:r>
              <w:rPr>
                <w:b/>
                <w:bCs/>
                <w:color w:val="181A3D"/>
                <w:sz w:val="30"/>
                <w:szCs w:val="30"/>
              </w:rPr>
              <w:t xml:space="preserve">3,145</w:t>
            </w:r>
          </w:p>
          <w:p>
            <w:pPr>
              <w:spacing w:before="40"/>
            </w:pPr>
            <w:r>
              <w:rPr>
                <w:color w:val="5B4FE0"/>
                <w:sz w:val="17"/>
                <w:szCs w:val="17"/>
              </w:rPr>
              <w:t xml:space="preserve">67.8% retained</w:t>
            </w:r>
          </w:p>
        </w:tc>
        <w:tc>
          <w:tcPr>
            <w:tcW w:type="dxa" w:w="1870"/>
            <w:tcBorders>
              <w:top w:val="single" w:color="D9DEE6" w:sz="4"/>
              <w:left w:val="single" w:color="D9DEE6" w:sz="4"/>
              <w:bottom w:val="single" w:color="D9DEE6" w:sz="4"/>
              <w:right w:val="single" w:color="D9DEE6" w:sz="4"/>
            </w:tcBorders>
            <w:shd w:fill="FFFFFF" w:val="clear"/>
            <w:tcMar>
              <w:top w:type="dxa" w:w="160"/>
              <w:left w:type="dxa" w:w="160"/>
              <w:bottom w:type="dxa" w:w="160"/>
              <w:right w:type="dxa" w:w="160"/>
            </w:tcMar>
          </w:tcPr>
          <w:p>
            <w:r>
              <w:rPr>
                <w:b/>
                <w:bCs/>
                <w:color w:val="5B6472"/>
                <w:sz w:val="17"/>
                <w:szCs w:val="17"/>
              </w:rPr>
              <w:t xml:space="preserve">AVG TENURE</w:t>
            </w:r>
          </w:p>
          <w:p>
            <w:pPr>
              <w:spacing w:before="60"/>
            </w:pPr>
            <w:r>
              <w:rPr>
                <w:b/>
                <w:bCs/>
                <w:color w:val="181A3D"/>
                <w:sz w:val="30"/>
                <w:szCs w:val="30"/>
              </w:rPr>
              <w:t xml:space="preserve">8.6 mo</w:t>
            </w:r>
          </w:p>
          <w:p>
            <w:pPr>
              <w:spacing w:before="40"/>
            </w:pPr>
            <w:r>
              <w:rPr>
                <w:color w:val="5B4FE0"/>
                <w:sz w:val="17"/>
                <w:szCs w:val="17"/>
              </w:rPr>
              <w:t xml:space="preserve">before churn/today</w:t>
            </w:r>
          </w:p>
        </w:tc>
        <w:tc>
          <w:tcPr>
            <w:tcW w:type="dxa" w:w="1870"/>
            <w:tcBorders>
              <w:top w:val="single" w:color="D9DEE6" w:sz="4"/>
              <w:left w:val="single" w:color="D9DEE6" w:sz="4"/>
              <w:bottom w:val="single" w:color="D9DEE6" w:sz="4"/>
              <w:right w:val="single" w:color="D9DEE6" w:sz="4"/>
            </w:tcBorders>
            <w:shd w:fill="FFFFFF" w:val="clear"/>
            <w:tcMar>
              <w:top w:type="dxa" w:w="160"/>
              <w:left w:type="dxa" w:w="160"/>
              <w:bottom w:type="dxa" w:w="160"/>
              <w:right w:type="dxa" w:w="160"/>
            </w:tcMar>
          </w:tcPr>
          <w:p>
            <w:r>
              <w:rPr>
                <w:b/>
                <w:bCs/>
                <w:color w:val="5B6472"/>
                <w:sz w:val="17"/>
                <w:szCs w:val="17"/>
              </w:rPr>
              <w:t xml:space="preserve">ACTIVE MRR</w:t>
            </w:r>
          </w:p>
          <w:p>
            <w:pPr>
              <w:spacing w:before="60"/>
            </w:pPr>
            <w:r>
              <w:rPr>
                <w:b/>
                <w:bCs/>
                <w:color w:val="181A3D"/>
                <w:sz w:val="30"/>
                <w:szCs w:val="30"/>
              </w:rPr>
              <w:t xml:space="preserve">Rs. 51.1L</w:t>
            </w:r>
          </w:p>
          <w:p>
            <w:pPr>
              <w:spacing w:before="40"/>
            </w:pPr>
            <w:r>
              <w:rPr>
                <w:color w:val="5B4FE0"/>
                <w:sz w:val="17"/>
                <w:szCs w:val="17"/>
              </w:rPr>
              <w:t xml:space="preserve">Rs. 19.7L lost/mo</w:t>
            </w:r>
          </w:p>
        </w:tc>
      </w:tr>
    </w:tbl>
    <w:p>
      <w:pPr>
        <w:spacing w:after="300"/>
      </w:pPr>
    </w:p>
    <w:p>
      <w:pPr>
        <w:pStyle w:val="Heading1"/>
        <w:spacing w:after="160" w:before="360"/>
      </w:pPr>
      <w:r>
        <w:rPr>
          <w:b/>
          <w:bCs/>
          <w:color w:val="181A3D"/>
          <w:sz w:val="30"/>
          <w:szCs w:val="30"/>
        </w:rPr>
        <w:t xml:space="preserve">2. Cohort Retention Analysis</w:t>
      </w:r>
    </w:p>
    <w:p>
      <w:pPr>
        <w:spacing w:after="160" w:line="300"/>
      </w:pPr>
      <w:r>
        <w:rPr>
          <w:color w:val="222831"/>
          <w:sz w:val="22"/>
          <w:szCs w:val="22"/>
        </w:rPr>
        <w:t xml:space="preserve">Tracking each monthly signup cohort over its first 12 months reveals a consistent pattern: retention drops fastest in the first 1-3 months, then stabilizes into a slower, steady decline. This is the classic SaaS retention curve — the earliest months are the highest-leverage window for intervention.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350"/>
        <w:gridCol w:w="1350"/>
        <w:gridCol w:w="1350"/>
        <w:gridCol w:w="1350"/>
        <w:gridCol w:w="1350"/>
      </w:tblGrid>
      <w:tr>
        <w:trPr>
          <w:tblHeader/>
        </w:trPr>
        <w:tc>
          <w:tcPr>
            <w:tcW w:type="dxa" w:w="1600"/>
            <w:shd w:fill="181A3D" w:val="clear"/>
            <w:tcMar>
              <w:top w:type="dxa" w:w="100"/>
              <w:left w:type="dxa" w:w="120"/>
              <w:bottom w:type="dxa" w:w="100"/>
              <w:right w:type="dxa" w:w="120"/>
            </w:tcMar>
          </w:tcPr>
          <w:p>
            <w:r>
              <w:rPr>
                <w:b/>
                <w:bCs/>
                <w:color w:val="FFFFFF"/>
                <w:sz w:val="18"/>
                <w:szCs w:val="18"/>
              </w:rPr>
              <w:t xml:space="preserve">Cohort</w:t>
            </w:r>
          </w:p>
        </w:tc>
        <w:tc>
          <w:tcPr>
            <w:tcW w:type="dxa" w:w="1200"/>
            <w:shd w:fill="181A3D" w:val="clear"/>
            <w:tcMar>
              <w:top w:type="dxa" w:w="100"/>
              <w:left w:type="dxa" w:w="120"/>
              <w:bottom w:type="dxa" w:w="100"/>
              <w:right w:type="dxa" w:w="120"/>
            </w:tcMar>
          </w:tcPr>
          <w:p>
            <w:r>
              <w:rPr>
                <w:b/>
                <w:bCs/>
                <w:color w:val="FFFFFF"/>
                <w:sz w:val="18"/>
                <w:szCs w:val="18"/>
              </w:rPr>
              <w:t xml:space="preserve">Size</w:t>
            </w:r>
          </w:p>
        </w:tc>
        <w:tc>
          <w:tcPr>
            <w:tcW w:type="dxa" w:w="1350"/>
            <w:shd w:fill="181A3D" w:val="clear"/>
            <w:tcMar>
              <w:top w:type="dxa" w:w="100"/>
              <w:left w:type="dxa" w:w="120"/>
              <w:bottom w:type="dxa" w:w="100"/>
              <w:right w:type="dxa" w:w="120"/>
            </w:tcMar>
          </w:tcPr>
          <w:p>
            <w:r>
              <w:rPr>
                <w:b/>
                <w:bCs/>
                <w:color w:val="FFFFFF"/>
                <w:sz w:val="18"/>
                <w:szCs w:val="18"/>
              </w:rPr>
              <w:t xml:space="preserve">Month 0</w:t>
            </w:r>
          </w:p>
        </w:tc>
        <w:tc>
          <w:tcPr>
            <w:tcW w:type="dxa" w:w="1350"/>
            <w:shd w:fill="181A3D" w:val="clear"/>
            <w:tcMar>
              <w:top w:type="dxa" w:w="100"/>
              <w:left w:type="dxa" w:w="120"/>
              <w:bottom w:type="dxa" w:w="100"/>
              <w:right w:type="dxa" w:w="120"/>
            </w:tcMar>
          </w:tcPr>
          <w:p>
            <w:r>
              <w:rPr>
                <w:b/>
                <w:bCs/>
                <w:color w:val="FFFFFF"/>
                <w:sz w:val="18"/>
                <w:szCs w:val="18"/>
              </w:rPr>
              <w:t xml:space="preserve">Month 3</w:t>
            </w:r>
          </w:p>
        </w:tc>
        <w:tc>
          <w:tcPr>
            <w:tcW w:type="dxa" w:w="1350"/>
            <w:shd w:fill="181A3D" w:val="clear"/>
            <w:tcMar>
              <w:top w:type="dxa" w:w="100"/>
              <w:left w:type="dxa" w:w="120"/>
              <w:bottom w:type="dxa" w:w="100"/>
              <w:right w:type="dxa" w:w="120"/>
            </w:tcMar>
          </w:tcPr>
          <w:p>
            <w:r>
              <w:rPr>
                <w:b/>
                <w:bCs/>
                <w:color w:val="FFFFFF"/>
                <w:sz w:val="18"/>
                <w:szCs w:val="18"/>
              </w:rPr>
              <w:t xml:space="preserve">Month 6</w:t>
            </w:r>
          </w:p>
        </w:tc>
        <w:tc>
          <w:tcPr>
            <w:tcW w:type="dxa" w:w="1350"/>
            <w:shd w:fill="181A3D" w:val="clear"/>
            <w:tcMar>
              <w:top w:type="dxa" w:w="100"/>
              <w:left w:type="dxa" w:w="120"/>
              <w:bottom w:type="dxa" w:w="100"/>
              <w:right w:type="dxa" w:w="120"/>
            </w:tcMar>
          </w:tcPr>
          <w:p>
            <w:r>
              <w:rPr>
                <w:b/>
                <w:bCs/>
                <w:color w:val="FFFFFF"/>
                <w:sz w:val="18"/>
                <w:szCs w:val="18"/>
              </w:rPr>
              <w:t xml:space="preserve">Month 9</w:t>
            </w:r>
          </w:p>
        </w:tc>
        <w:tc>
          <w:tcPr>
            <w:tcW w:type="dxa" w:w="1350"/>
            <w:shd w:fill="181A3D" w:val="clear"/>
            <w:tcMar>
              <w:top w:type="dxa" w:w="100"/>
              <w:left w:type="dxa" w:w="120"/>
              <w:bottom w:type="dxa" w:w="100"/>
              <w:right w:type="dxa" w:w="120"/>
            </w:tcMar>
          </w:tcPr>
          <w:p>
            <w:r>
              <w:rPr>
                <w:b/>
                <w:bCs/>
                <w:color w:val="FFFFFF"/>
                <w:sz w:val="18"/>
                <w:szCs w:val="18"/>
              </w:rPr>
              <w:t xml:space="preserve">Month 11</w:t>
            </w:r>
          </w:p>
        </w:tc>
      </w:tr>
      <w:tr>
        <w:tc>
          <w:tcPr>
            <w:tcW w:type="dxa" w:w="1600"/>
            <w:shd w:fill="FFFFFF" w:val="clear"/>
            <w:tcMar>
              <w:top w:type="dxa" w:w="90"/>
              <w:left w:type="dxa" w:w="120"/>
              <w:bottom w:type="dxa" w:w="90"/>
              <w:right w:type="dxa" w:w="120"/>
            </w:tcMar>
          </w:tcPr>
          <w:p>
            <w:r>
              <w:rPr>
                <w:color w:val="222831"/>
                <w:sz w:val="18"/>
                <w:szCs w:val="18"/>
              </w:rPr>
              <w:t xml:space="preserve">2024-01</w:t>
            </w:r>
          </w:p>
        </w:tc>
        <w:tc>
          <w:tcPr>
            <w:tcW w:type="dxa" w:w="1200"/>
            <w:shd w:fill="FFFFFF" w:val="clear"/>
            <w:tcMar>
              <w:top w:type="dxa" w:w="90"/>
              <w:left w:type="dxa" w:w="120"/>
              <w:bottom w:type="dxa" w:w="90"/>
              <w:right w:type="dxa" w:w="120"/>
            </w:tcMar>
          </w:tcPr>
          <w:p>
            <w:r>
              <w:rPr>
                <w:color w:val="222831"/>
                <w:sz w:val="18"/>
                <w:szCs w:val="18"/>
              </w:rPr>
              <w:t xml:space="preserve">146</w:t>
            </w:r>
          </w:p>
        </w:tc>
        <w:tc>
          <w:tcPr>
            <w:tcW w:type="dxa" w:w="1350"/>
            <w:shd w:fill="FFFFFF" w:val="clear"/>
            <w:tcMar>
              <w:top w:type="dxa" w:w="90"/>
              <w:left w:type="dxa" w:w="120"/>
              <w:bottom w:type="dxa" w:w="90"/>
              <w:right w:type="dxa" w:w="120"/>
            </w:tcMar>
          </w:tcPr>
          <w:p>
            <w:r>
              <w:rPr>
                <w:color w:val="222831"/>
                <w:sz w:val="18"/>
                <w:szCs w:val="18"/>
              </w:rPr>
              <w:t xml:space="preserve">100%</w:t>
            </w:r>
          </w:p>
        </w:tc>
        <w:tc>
          <w:tcPr>
            <w:tcW w:type="dxa" w:w="1350"/>
            <w:shd w:fill="FFFFFF" w:val="clear"/>
            <w:tcMar>
              <w:top w:type="dxa" w:w="90"/>
              <w:left w:type="dxa" w:w="120"/>
              <w:bottom w:type="dxa" w:w="90"/>
              <w:right w:type="dxa" w:w="120"/>
            </w:tcMar>
          </w:tcPr>
          <w:p>
            <w:r>
              <w:rPr>
                <w:color w:val="222831"/>
                <w:sz w:val="18"/>
                <w:szCs w:val="18"/>
              </w:rPr>
              <w:t xml:space="preserve">86.3%</w:t>
            </w:r>
          </w:p>
        </w:tc>
        <w:tc>
          <w:tcPr>
            <w:tcW w:type="dxa" w:w="1350"/>
            <w:shd w:fill="FFFFFF" w:val="clear"/>
            <w:tcMar>
              <w:top w:type="dxa" w:w="90"/>
              <w:left w:type="dxa" w:w="120"/>
              <w:bottom w:type="dxa" w:w="90"/>
              <w:right w:type="dxa" w:w="120"/>
            </w:tcMar>
          </w:tcPr>
          <w:p>
            <w:r>
              <w:rPr>
                <w:color w:val="222831"/>
                <w:sz w:val="18"/>
                <w:szCs w:val="18"/>
              </w:rPr>
              <w:t xml:space="preserve">76.7%</w:t>
            </w:r>
          </w:p>
        </w:tc>
        <w:tc>
          <w:tcPr>
            <w:tcW w:type="dxa" w:w="1350"/>
            <w:shd w:fill="FFFFFF" w:val="clear"/>
            <w:tcMar>
              <w:top w:type="dxa" w:w="90"/>
              <w:left w:type="dxa" w:w="120"/>
              <w:bottom w:type="dxa" w:w="90"/>
              <w:right w:type="dxa" w:w="120"/>
            </w:tcMar>
          </w:tcPr>
          <w:p>
            <w:r>
              <w:rPr>
                <w:color w:val="222831"/>
                <w:sz w:val="18"/>
                <w:szCs w:val="18"/>
              </w:rPr>
              <w:t xml:space="preserve">69.9%</w:t>
            </w:r>
          </w:p>
        </w:tc>
        <w:tc>
          <w:tcPr>
            <w:tcW w:type="dxa" w:w="1350"/>
            <w:shd w:fill="FFFFFF" w:val="clear"/>
            <w:tcMar>
              <w:top w:type="dxa" w:w="90"/>
              <w:left w:type="dxa" w:w="120"/>
              <w:bottom w:type="dxa" w:w="90"/>
              <w:right w:type="dxa" w:w="120"/>
            </w:tcMar>
          </w:tcPr>
          <w:p>
            <w:r>
              <w:rPr>
                <w:color w:val="222831"/>
                <w:sz w:val="18"/>
                <w:szCs w:val="18"/>
              </w:rPr>
              <w:t xml:space="preserve">65.8%</w:t>
            </w:r>
          </w:p>
        </w:tc>
      </w:tr>
      <w:tr>
        <w:tc>
          <w:tcPr>
            <w:tcW w:type="dxa" w:w="1600"/>
            <w:shd w:fill="F3F4F7" w:val="clear"/>
            <w:tcMar>
              <w:top w:type="dxa" w:w="90"/>
              <w:left w:type="dxa" w:w="120"/>
              <w:bottom w:type="dxa" w:w="90"/>
              <w:right w:type="dxa" w:w="120"/>
            </w:tcMar>
          </w:tcPr>
          <w:p>
            <w:r>
              <w:rPr>
                <w:color w:val="222831"/>
                <w:sz w:val="18"/>
                <w:szCs w:val="18"/>
              </w:rPr>
              <w:t xml:space="preserve">2024-02</w:t>
            </w:r>
          </w:p>
        </w:tc>
        <w:tc>
          <w:tcPr>
            <w:tcW w:type="dxa" w:w="1200"/>
            <w:shd w:fill="F3F4F7" w:val="clear"/>
            <w:tcMar>
              <w:top w:type="dxa" w:w="90"/>
              <w:left w:type="dxa" w:w="120"/>
              <w:bottom w:type="dxa" w:w="90"/>
              <w:right w:type="dxa" w:w="120"/>
            </w:tcMar>
          </w:tcPr>
          <w:p>
            <w:r>
              <w:rPr>
                <w:color w:val="222831"/>
                <w:sz w:val="18"/>
                <w:szCs w:val="18"/>
              </w:rPr>
              <w:t xml:space="preserve">147</w:t>
            </w:r>
          </w:p>
        </w:tc>
        <w:tc>
          <w:tcPr>
            <w:tcW w:type="dxa" w:w="1350"/>
            <w:shd w:fill="F3F4F7" w:val="clear"/>
            <w:tcMar>
              <w:top w:type="dxa" w:w="90"/>
              <w:left w:type="dxa" w:w="120"/>
              <w:bottom w:type="dxa" w:w="90"/>
              <w:right w:type="dxa" w:w="120"/>
            </w:tcMar>
          </w:tcPr>
          <w:p>
            <w:r>
              <w:rPr>
                <w:color w:val="222831"/>
                <w:sz w:val="18"/>
                <w:szCs w:val="18"/>
              </w:rPr>
              <w:t xml:space="preserve">100%</w:t>
            </w:r>
          </w:p>
        </w:tc>
        <w:tc>
          <w:tcPr>
            <w:tcW w:type="dxa" w:w="1350"/>
            <w:shd w:fill="F3F4F7" w:val="clear"/>
            <w:tcMar>
              <w:top w:type="dxa" w:w="90"/>
              <w:left w:type="dxa" w:w="120"/>
              <w:bottom w:type="dxa" w:w="90"/>
              <w:right w:type="dxa" w:w="120"/>
            </w:tcMar>
          </w:tcPr>
          <w:p>
            <w:r>
              <w:rPr>
                <w:color w:val="222831"/>
                <w:sz w:val="18"/>
                <w:szCs w:val="18"/>
              </w:rPr>
              <w:t xml:space="preserve">95.2%</w:t>
            </w:r>
          </w:p>
        </w:tc>
        <w:tc>
          <w:tcPr>
            <w:tcW w:type="dxa" w:w="1350"/>
            <w:shd w:fill="F3F4F7" w:val="clear"/>
            <w:tcMar>
              <w:top w:type="dxa" w:w="90"/>
              <w:left w:type="dxa" w:w="120"/>
              <w:bottom w:type="dxa" w:w="90"/>
              <w:right w:type="dxa" w:w="120"/>
            </w:tcMar>
          </w:tcPr>
          <w:p>
            <w:r>
              <w:rPr>
                <w:color w:val="222831"/>
                <w:sz w:val="18"/>
                <w:szCs w:val="18"/>
              </w:rPr>
              <w:t xml:space="preserve">87.1%</w:t>
            </w:r>
          </w:p>
        </w:tc>
        <w:tc>
          <w:tcPr>
            <w:tcW w:type="dxa" w:w="1350"/>
            <w:shd w:fill="F3F4F7" w:val="clear"/>
            <w:tcMar>
              <w:top w:type="dxa" w:w="90"/>
              <w:left w:type="dxa" w:w="120"/>
              <w:bottom w:type="dxa" w:w="90"/>
              <w:right w:type="dxa" w:w="120"/>
            </w:tcMar>
          </w:tcPr>
          <w:p>
            <w:r>
              <w:rPr>
                <w:color w:val="222831"/>
                <w:sz w:val="18"/>
                <w:szCs w:val="18"/>
              </w:rPr>
              <w:t xml:space="preserve">78.2%</w:t>
            </w:r>
          </w:p>
        </w:tc>
        <w:tc>
          <w:tcPr>
            <w:tcW w:type="dxa" w:w="1350"/>
            <w:shd w:fill="F3F4F7" w:val="clear"/>
            <w:tcMar>
              <w:top w:type="dxa" w:w="90"/>
              <w:left w:type="dxa" w:w="120"/>
              <w:bottom w:type="dxa" w:w="90"/>
              <w:right w:type="dxa" w:w="120"/>
            </w:tcMar>
          </w:tcPr>
          <w:p>
            <w:r>
              <w:rPr>
                <w:color w:val="222831"/>
                <w:sz w:val="18"/>
                <w:szCs w:val="18"/>
              </w:rPr>
              <w:t xml:space="preserve">74.1%</w:t>
            </w:r>
          </w:p>
        </w:tc>
      </w:tr>
      <w:tr>
        <w:tc>
          <w:tcPr>
            <w:tcW w:type="dxa" w:w="1600"/>
            <w:shd w:fill="FFFFFF" w:val="clear"/>
            <w:tcMar>
              <w:top w:type="dxa" w:w="90"/>
              <w:left w:type="dxa" w:w="120"/>
              <w:bottom w:type="dxa" w:w="90"/>
              <w:right w:type="dxa" w:w="120"/>
            </w:tcMar>
          </w:tcPr>
          <w:p>
            <w:r>
              <w:rPr>
                <w:color w:val="222831"/>
                <w:sz w:val="18"/>
                <w:szCs w:val="18"/>
              </w:rPr>
              <w:t xml:space="preserve">2024-03</w:t>
            </w:r>
          </w:p>
        </w:tc>
        <w:tc>
          <w:tcPr>
            <w:tcW w:type="dxa" w:w="1200"/>
            <w:shd w:fill="FFFFFF" w:val="clear"/>
            <w:tcMar>
              <w:top w:type="dxa" w:w="90"/>
              <w:left w:type="dxa" w:w="120"/>
              <w:bottom w:type="dxa" w:w="90"/>
              <w:right w:type="dxa" w:w="120"/>
            </w:tcMar>
          </w:tcPr>
          <w:p>
            <w:r>
              <w:rPr>
                <w:color w:val="222831"/>
                <w:sz w:val="18"/>
                <w:szCs w:val="18"/>
              </w:rPr>
              <w:t xml:space="preserve">126</w:t>
            </w:r>
          </w:p>
        </w:tc>
        <w:tc>
          <w:tcPr>
            <w:tcW w:type="dxa" w:w="1350"/>
            <w:shd w:fill="FFFFFF" w:val="clear"/>
            <w:tcMar>
              <w:top w:type="dxa" w:w="90"/>
              <w:left w:type="dxa" w:w="120"/>
              <w:bottom w:type="dxa" w:w="90"/>
              <w:right w:type="dxa" w:w="120"/>
            </w:tcMar>
          </w:tcPr>
          <w:p>
            <w:r>
              <w:rPr>
                <w:color w:val="222831"/>
                <w:sz w:val="18"/>
                <w:szCs w:val="18"/>
              </w:rPr>
              <w:t xml:space="preserve">100%</w:t>
            </w:r>
          </w:p>
        </w:tc>
        <w:tc>
          <w:tcPr>
            <w:tcW w:type="dxa" w:w="1350"/>
            <w:shd w:fill="FFFFFF" w:val="clear"/>
            <w:tcMar>
              <w:top w:type="dxa" w:w="90"/>
              <w:left w:type="dxa" w:w="120"/>
              <w:bottom w:type="dxa" w:w="90"/>
              <w:right w:type="dxa" w:w="120"/>
            </w:tcMar>
          </w:tcPr>
          <w:p>
            <w:r>
              <w:rPr>
                <w:color w:val="222831"/>
                <w:sz w:val="18"/>
                <w:szCs w:val="18"/>
              </w:rPr>
              <w:t xml:space="preserve">91.3%</w:t>
            </w:r>
          </w:p>
        </w:tc>
        <w:tc>
          <w:tcPr>
            <w:tcW w:type="dxa" w:w="1350"/>
            <w:shd w:fill="FFFFFF" w:val="clear"/>
            <w:tcMar>
              <w:top w:type="dxa" w:w="90"/>
              <w:left w:type="dxa" w:w="120"/>
              <w:bottom w:type="dxa" w:w="90"/>
              <w:right w:type="dxa" w:w="120"/>
            </w:tcMar>
          </w:tcPr>
          <w:p>
            <w:r>
              <w:rPr>
                <w:color w:val="222831"/>
                <w:sz w:val="18"/>
                <w:szCs w:val="18"/>
              </w:rPr>
              <w:t xml:space="preserve">78.6%</w:t>
            </w:r>
          </w:p>
        </w:tc>
        <w:tc>
          <w:tcPr>
            <w:tcW w:type="dxa" w:w="1350"/>
            <w:shd w:fill="FFFFFF" w:val="clear"/>
            <w:tcMar>
              <w:top w:type="dxa" w:w="90"/>
              <w:left w:type="dxa" w:w="120"/>
              <w:bottom w:type="dxa" w:w="90"/>
              <w:right w:type="dxa" w:w="120"/>
            </w:tcMar>
          </w:tcPr>
          <w:p>
            <w:r>
              <w:rPr>
                <w:color w:val="222831"/>
                <w:sz w:val="18"/>
                <w:szCs w:val="18"/>
              </w:rPr>
              <w:t xml:space="preserve">69%</w:t>
            </w:r>
          </w:p>
        </w:tc>
        <w:tc>
          <w:tcPr>
            <w:tcW w:type="dxa" w:w="1350"/>
            <w:shd w:fill="FFFFFF" w:val="clear"/>
            <w:tcMar>
              <w:top w:type="dxa" w:w="90"/>
              <w:left w:type="dxa" w:w="120"/>
              <w:bottom w:type="dxa" w:w="90"/>
              <w:right w:type="dxa" w:w="120"/>
            </w:tcMar>
          </w:tcPr>
          <w:p>
            <w:r>
              <w:rPr>
                <w:color w:val="222831"/>
                <w:sz w:val="18"/>
                <w:szCs w:val="18"/>
              </w:rPr>
              <w:t xml:space="preserve">64.3%</w:t>
            </w:r>
          </w:p>
        </w:tc>
      </w:tr>
      <w:tr>
        <w:tc>
          <w:tcPr>
            <w:tcW w:type="dxa" w:w="1600"/>
            <w:shd w:fill="F3F4F7" w:val="clear"/>
            <w:tcMar>
              <w:top w:type="dxa" w:w="90"/>
              <w:left w:type="dxa" w:w="120"/>
              <w:bottom w:type="dxa" w:w="90"/>
              <w:right w:type="dxa" w:w="120"/>
            </w:tcMar>
          </w:tcPr>
          <w:p>
            <w:r>
              <w:rPr>
                <w:color w:val="222831"/>
                <w:sz w:val="18"/>
                <w:szCs w:val="18"/>
              </w:rPr>
              <w:t xml:space="preserve">2024-04</w:t>
            </w:r>
          </w:p>
        </w:tc>
        <w:tc>
          <w:tcPr>
            <w:tcW w:type="dxa" w:w="1200"/>
            <w:shd w:fill="F3F4F7" w:val="clear"/>
            <w:tcMar>
              <w:top w:type="dxa" w:w="90"/>
              <w:left w:type="dxa" w:w="120"/>
              <w:bottom w:type="dxa" w:w="90"/>
              <w:right w:type="dxa" w:w="120"/>
            </w:tcMar>
          </w:tcPr>
          <w:p>
            <w:r>
              <w:rPr>
                <w:color w:val="222831"/>
                <w:sz w:val="18"/>
                <w:szCs w:val="18"/>
              </w:rPr>
              <w:t xml:space="preserve">143</w:t>
            </w:r>
          </w:p>
        </w:tc>
        <w:tc>
          <w:tcPr>
            <w:tcW w:type="dxa" w:w="1350"/>
            <w:shd w:fill="F3F4F7" w:val="clear"/>
            <w:tcMar>
              <w:top w:type="dxa" w:w="90"/>
              <w:left w:type="dxa" w:w="120"/>
              <w:bottom w:type="dxa" w:w="90"/>
              <w:right w:type="dxa" w:w="120"/>
            </w:tcMar>
          </w:tcPr>
          <w:p>
            <w:r>
              <w:rPr>
                <w:color w:val="222831"/>
                <w:sz w:val="18"/>
                <w:szCs w:val="18"/>
              </w:rPr>
              <w:t xml:space="preserve">100%</w:t>
            </w:r>
          </w:p>
        </w:tc>
        <w:tc>
          <w:tcPr>
            <w:tcW w:type="dxa" w:w="1350"/>
            <w:shd w:fill="F3F4F7" w:val="clear"/>
            <w:tcMar>
              <w:top w:type="dxa" w:w="90"/>
              <w:left w:type="dxa" w:w="120"/>
              <w:bottom w:type="dxa" w:w="90"/>
              <w:right w:type="dxa" w:w="120"/>
            </w:tcMar>
          </w:tcPr>
          <w:p>
            <w:r>
              <w:rPr>
                <w:color w:val="222831"/>
                <w:sz w:val="18"/>
                <w:szCs w:val="18"/>
              </w:rPr>
              <w:t xml:space="preserve">91.6%</w:t>
            </w:r>
          </w:p>
        </w:tc>
        <w:tc>
          <w:tcPr>
            <w:tcW w:type="dxa" w:w="1350"/>
            <w:shd w:fill="F3F4F7" w:val="clear"/>
            <w:tcMar>
              <w:top w:type="dxa" w:w="90"/>
              <w:left w:type="dxa" w:w="120"/>
              <w:bottom w:type="dxa" w:w="90"/>
              <w:right w:type="dxa" w:w="120"/>
            </w:tcMar>
          </w:tcPr>
          <w:p>
            <w:r>
              <w:rPr>
                <w:color w:val="222831"/>
                <w:sz w:val="18"/>
                <w:szCs w:val="18"/>
              </w:rPr>
              <w:t xml:space="preserve">81.1%</w:t>
            </w:r>
          </w:p>
        </w:tc>
        <w:tc>
          <w:tcPr>
            <w:tcW w:type="dxa" w:w="1350"/>
            <w:shd w:fill="F3F4F7" w:val="clear"/>
            <w:tcMar>
              <w:top w:type="dxa" w:w="90"/>
              <w:left w:type="dxa" w:w="120"/>
              <w:bottom w:type="dxa" w:w="90"/>
              <w:right w:type="dxa" w:w="120"/>
            </w:tcMar>
          </w:tcPr>
          <w:p>
            <w:r>
              <w:rPr>
                <w:color w:val="222831"/>
                <w:sz w:val="18"/>
                <w:szCs w:val="18"/>
              </w:rPr>
              <w:t xml:space="preserve">67.8%</w:t>
            </w:r>
          </w:p>
        </w:tc>
        <w:tc>
          <w:tcPr>
            <w:tcW w:type="dxa" w:w="1350"/>
            <w:shd w:fill="F3F4F7" w:val="clear"/>
            <w:tcMar>
              <w:top w:type="dxa" w:w="90"/>
              <w:left w:type="dxa" w:w="120"/>
              <w:bottom w:type="dxa" w:w="90"/>
              <w:right w:type="dxa" w:w="120"/>
            </w:tcMar>
          </w:tcPr>
          <w:p>
            <w:r>
              <w:rPr>
                <w:color w:val="222831"/>
                <w:sz w:val="18"/>
                <w:szCs w:val="18"/>
              </w:rPr>
              <w:t xml:space="preserve">62.9%</w:t>
            </w:r>
          </w:p>
        </w:tc>
      </w:tr>
      <w:tr>
        <w:tc>
          <w:tcPr>
            <w:tcW w:type="dxa" w:w="1600"/>
            <w:shd w:fill="FFFFFF" w:val="clear"/>
            <w:tcMar>
              <w:top w:type="dxa" w:w="90"/>
              <w:left w:type="dxa" w:w="120"/>
              <w:bottom w:type="dxa" w:w="90"/>
              <w:right w:type="dxa" w:w="120"/>
            </w:tcMar>
          </w:tcPr>
          <w:p>
            <w:r>
              <w:rPr>
                <w:color w:val="222831"/>
                <w:sz w:val="18"/>
                <w:szCs w:val="18"/>
              </w:rPr>
              <w:t xml:space="preserve">2024-05</w:t>
            </w:r>
          </w:p>
        </w:tc>
        <w:tc>
          <w:tcPr>
            <w:tcW w:type="dxa" w:w="1200"/>
            <w:shd w:fill="FFFFFF" w:val="clear"/>
            <w:tcMar>
              <w:top w:type="dxa" w:w="90"/>
              <w:left w:type="dxa" w:w="120"/>
              <w:bottom w:type="dxa" w:w="90"/>
              <w:right w:type="dxa" w:w="120"/>
            </w:tcMar>
          </w:tcPr>
          <w:p>
            <w:r>
              <w:rPr>
                <w:color w:val="222831"/>
                <w:sz w:val="18"/>
                <w:szCs w:val="18"/>
              </w:rPr>
              <w:t xml:space="preserve">188</w:t>
            </w:r>
          </w:p>
        </w:tc>
        <w:tc>
          <w:tcPr>
            <w:tcW w:type="dxa" w:w="1350"/>
            <w:shd w:fill="FFFFFF" w:val="clear"/>
            <w:tcMar>
              <w:top w:type="dxa" w:w="90"/>
              <w:left w:type="dxa" w:w="120"/>
              <w:bottom w:type="dxa" w:w="90"/>
              <w:right w:type="dxa" w:w="120"/>
            </w:tcMar>
          </w:tcPr>
          <w:p>
            <w:r>
              <w:rPr>
                <w:color w:val="222831"/>
                <w:sz w:val="18"/>
                <w:szCs w:val="18"/>
              </w:rPr>
              <w:t xml:space="preserve">100%</w:t>
            </w:r>
          </w:p>
        </w:tc>
        <w:tc>
          <w:tcPr>
            <w:tcW w:type="dxa" w:w="1350"/>
            <w:shd w:fill="FFFFFF" w:val="clear"/>
            <w:tcMar>
              <w:top w:type="dxa" w:w="90"/>
              <w:left w:type="dxa" w:w="120"/>
              <w:bottom w:type="dxa" w:w="90"/>
              <w:right w:type="dxa" w:w="120"/>
            </w:tcMar>
          </w:tcPr>
          <w:p>
            <w:r>
              <w:rPr>
                <w:color w:val="222831"/>
                <w:sz w:val="18"/>
                <w:szCs w:val="18"/>
              </w:rPr>
              <w:t xml:space="preserve">90.4%</w:t>
            </w:r>
          </w:p>
        </w:tc>
        <w:tc>
          <w:tcPr>
            <w:tcW w:type="dxa" w:w="1350"/>
            <w:shd w:fill="FFFFFF" w:val="clear"/>
            <w:tcMar>
              <w:top w:type="dxa" w:w="90"/>
              <w:left w:type="dxa" w:w="120"/>
              <w:bottom w:type="dxa" w:w="90"/>
              <w:right w:type="dxa" w:w="120"/>
            </w:tcMar>
          </w:tcPr>
          <w:p>
            <w:r>
              <w:rPr>
                <w:color w:val="222831"/>
                <w:sz w:val="18"/>
                <w:szCs w:val="18"/>
              </w:rPr>
              <w:t xml:space="preserve">83%</w:t>
            </w:r>
          </w:p>
        </w:tc>
        <w:tc>
          <w:tcPr>
            <w:tcW w:type="dxa" w:w="1350"/>
            <w:shd w:fill="FFFFFF" w:val="clear"/>
            <w:tcMar>
              <w:top w:type="dxa" w:w="90"/>
              <w:left w:type="dxa" w:w="120"/>
              <w:bottom w:type="dxa" w:w="90"/>
              <w:right w:type="dxa" w:w="120"/>
            </w:tcMar>
          </w:tcPr>
          <w:p>
            <w:r>
              <w:rPr>
                <w:color w:val="222831"/>
                <w:sz w:val="18"/>
                <w:szCs w:val="18"/>
              </w:rPr>
              <w:t xml:space="preserve">72.9%</w:t>
            </w:r>
          </w:p>
        </w:tc>
        <w:tc>
          <w:tcPr>
            <w:tcW w:type="dxa" w:w="1350"/>
            <w:shd w:fill="FFFFFF" w:val="clear"/>
            <w:tcMar>
              <w:top w:type="dxa" w:w="90"/>
              <w:left w:type="dxa" w:w="120"/>
              <w:bottom w:type="dxa" w:w="90"/>
              <w:right w:type="dxa" w:w="120"/>
            </w:tcMar>
          </w:tcPr>
          <w:p>
            <w:r>
              <w:rPr>
                <w:color w:val="222831"/>
                <w:sz w:val="18"/>
                <w:szCs w:val="18"/>
              </w:rPr>
              <w:t xml:space="preserve">68.6%</w:t>
            </w:r>
          </w:p>
        </w:tc>
      </w:tr>
      <w:tr>
        <w:tc>
          <w:tcPr>
            <w:tcW w:type="dxa" w:w="1600"/>
            <w:shd w:fill="F3F4F7" w:val="clear"/>
            <w:tcMar>
              <w:top w:type="dxa" w:w="90"/>
              <w:left w:type="dxa" w:w="120"/>
              <w:bottom w:type="dxa" w:w="90"/>
              <w:right w:type="dxa" w:w="120"/>
            </w:tcMar>
          </w:tcPr>
          <w:p>
            <w:r>
              <w:rPr>
                <w:color w:val="222831"/>
                <w:sz w:val="18"/>
                <w:szCs w:val="18"/>
              </w:rPr>
              <w:t xml:space="preserve">2024-06</w:t>
            </w:r>
          </w:p>
        </w:tc>
        <w:tc>
          <w:tcPr>
            <w:tcW w:type="dxa" w:w="1200"/>
            <w:shd w:fill="F3F4F7" w:val="clear"/>
            <w:tcMar>
              <w:top w:type="dxa" w:w="90"/>
              <w:left w:type="dxa" w:w="120"/>
              <w:bottom w:type="dxa" w:w="90"/>
              <w:right w:type="dxa" w:w="120"/>
            </w:tcMar>
          </w:tcPr>
          <w:p>
            <w:r>
              <w:rPr>
                <w:color w:val="222831"/>
                <w:sz w:val="18"/>
                <w:szCs w:val="18"/>
              </w:rPr>
              <w:t xml:space="preserve">183</w:t>
            </w:r>
          </w:p>
        </w:tc>
        <w:tc>
          <w:tcPr>
            <w:tcW w:type="dxa" w:w="1350"/>
            <w:shd w:fill="F3F4F7" w:val="clear"/>
            <w:tcMar>
              <w:top w:type="dxa" w:w="90"/>
              <w:left w:type="dxa" w:w="120"/>
              <w:bottom w:type="dxa" w:w="90"/>
              <w:right w:type="dxa" w:w="120"/>
            </w:tcMar>
          </w:tcPr>
          <w:p>
            <w:r>
              <w:rPr>
                <w:color w:val="222831"/>
                <w:sz w:val="18"/>
                <w:szCs w:val="18"/>
              </w:rPr>
              <w:t xml:space="preserve">100%</w:t>
            </w:r>
          </w:p>
        </w:tc>
        <w:tc>
          <w:tcPr>
            <w:tcW w:type="dxa" w:w="1350"/>
            <w:shd w:fill="F3F4F7" w:val="clear"/>
            <w:tcMar>
              <w:top w:type="dxa" w:w="90"/>
              <w:left w:type="dxa" w:w="120"/>
              <w:bottom w:type="dxa" w:w="90"/>
              <w:right w:type="dxa" w:w="120"/>
            </w:tcMar>
          </w:tcPr>
          <w:p>
            <w:r>
              <w:rPr>
                <w:color w:val="222831"/>
                <w:sz w:val="18"/>
                <w:szCs w:val="18"/>
              </w:rPr>
              <w:t xml:space="preserve">88%</w:t>
            </w:r>
          </w:p>
        </w:tc>
        <w:tc>
          <w:tcPr>
            <w:tcW w:type="dxa" w:w="1350"/>
            <w:shd w:fill="F3F4F7" w:val="clear"/>
            <w:tcMar>
              <w:top w:type="dxa" w:w="90"/>
              <w:left w:type="dxa" w:w="120"/>
              <w:bottom w:type="dxa" w:w="90"/>
              <w:right w:type="dxa" w:w="120"/>
            </w:tcMar>
          </w:tcPr>
          <w:p>
            <w:r>
              <w:rPr>
                <w:color w:val="222831"/>
                <w:sz w:val="18"/>
                <w:szCs w:val="18"/>
              </w:rPr>
              <w:t xml:space="preserve">77.6%</w:t>
            </w:r>
          </w:p>
        </w:tc>
        <w:tc>
          <w:tcPr>
            <w:tcW w:type="dxa" w:w="1350"/>
            <w:shd w:fill="F3F4F7" w:val="clear"/>
            <w:tcMar>
              <w:top w:type="dxa" w:w="90"/>
              <w:left w:type="dxa" w:w="120"/>
              <w:bottom w:type="dxa" w:w="90"/>
              <w:right w:type="dxa" w:w="120"/>
            </w:tcMar>
          </w:tcPr>
          <w:p>
            <w:r>
              <w:rPr>
                <w:color w:val="222831"/>
                <w:sz w:val="18"/>
                <w:szCs w:val="18"/>
              </w:rPr>
              <w:t xml:space="preserve">70.5%</w:t>
            </w:r>
          </w:p>
        </w:tc>
        <w:tc>
          <w:tcPr>
            <w:tcW w:type="dxa" w:w="1350"/>
            <w:shd w:fill="F3F4F7" w:val="clear"/>
            <w:tcMar>
              <w:top w:type="dxa" w:w="90"/>
              <w:left w:type="dxa" w:w="120"/>
              <w:bottom w:type="dxa" w:w="90"/>
              <w:right w:type="dxa" w:w="120"/>
            </w:tcMar>
          </w:tcPr>
          <w:p>
            <w:r>
              <w:rPr>
                <w:color w:val="222831"/>
                <w:sz w:val="18"/>
                <w:szCs w:val="18"/>
              </w:rPr>
              <w:t xml:space="preserve">63.9%</w:t>
            </w:r>
          </w:p>
        </w:tc>
      </w:tr>
      <w:tr>
        <w:tc>
          <w:tcPr>
            <w:tcW w:type="dxa" w:w="1600"/>
            <w:shd w:fill="FFFFFF" w:val="clear"/>
            <w:tcMar>
              <w:top w:type="dxa" w:w="90"/>
              <w:left w:type="dxa" w:w="120"/>
              <w:bottom w:type="dxa" w:w="90"/>
              <w:right w:type="dxa" w:w="120"/>
            </w:tcMar>
          </w:tcPr>
          <w:p>
            <w:r>
              <w:rPr>
                <w:color w:val="222831"/>
                <w:sz w:val="18"/>
                <w:szCs w:val="18"/>
              </w:rPr>
              <w:t xml:space="preserve">2024-07</w:t>
            </w:r>
          </w:p>
        </w:tc>
        <w:tc>
          <w:tcPr>
            <w:tcW w:type="dxa" w:w="1200"/>
            <w:shd w:fill="FFFFFF" w:val="clear"/>
            <w:tcMar>
              <w:top w:type="dxa" w:w="90"/>
              <w:left w:type="dxa" w:w="120"/>
              <w:bottom w:type="dxa" w:w="90"/>
              <w:right w:type="dxa" w:w="120"/>
            </w:tcMar>
          </w:tcPr>
          <w:p>
            <w:r>
              <w:rPr>
                <w:color w:val="222831"/>
                <w:sz w:val="18"/>
                <w:szCs w:val="18"/>
              </w:rPr>
              <w:t xml:space="preserve">172</w:t>
            </w:r>
          </w:p>
        </w:tc>
        <w:tc>
          <w:tcPr>
            <w:tcW w:type="dxa" w:w="1350"/>
            <w:shd w:fill="FFFFFF" w:val="clear"/>
            <w:tcMar>
              <w:top w:type="dxa" w:w="90"/>
              <w:left w:type="dxa" w:w="120"/>
              <w:bottom w:type="dxa" w:w="90"/>
              <w:right w:type="dxa" w:w="120"/>
            </w:tcMar>
          </w:tcPr>
          <w:p>
            <w:r>
              <w:rPr>
                <w:color w:val="222831"/>
                <w:sz w:val="18"/>
                <w:szCs w:val="18"/>
              </w:rPr>
              <w:t xml:space="preserve">100%</w:t>
            </w:r>
          </w:p>
        </w:tc>
        <w:tc>
          <w:tcPr>
            <w:tcW w:type="dxa" w:w="1350"/>
            <w:shd w:fill="FFFFFF" w:val="clear"/>
            <w:tcMar>
              <w:top w:type="dxa" w:w="90"/>
              <w:left w:type="dxa" w:w="120"/>
              <w:bottom w:type="dxa" w:w="90"/>
              <w:right w:type="dxa" w:w="120"/>
            </w:tcMar>
          </w:tcPr>
          <w:p>
            <w:r>
              <w:rPr>
                <w:color w:val="222831"/>
                <w:sz w:val="18"/>
                <w:szCs w:val="18"/>
              </w:rPr>
              <w:t xml:space="preserve">87.8%</w:t>
            </w:r>
          </w:p>
        </w:tc>
        <w:tc>
          <w:tcPr>
            <w:tcW w:type="dxa" w:w="1350"/>
            <w:shd w:fill="FFFFFF" w:val="clear"/>
            <w:tcMar>
              <w:top w:type="dxa" w:w="90"/>
              <w:left w:type="dxa" w:w="120"/>
              <w:bottom w:type="dxa" w:w="90"/>
              <w:right w:type="dxa" w:w="120"/>
            </w:tcMar>
          </w:tcPr>
          <w:p>
            <w:r>
              <w:rPr>
                <w:color w:val="222831"/>
                <w:sz w:val="18"/>
                <w:szCs w:val="18"/>
              </w:rPr>
              <w:t xml:space="preserve">80.8%</w:t>
            </w:r>
          </w:p>
        </w:tc>
        <w:tc>
          <w:tcPr>
            <w:tcW w:type="dxa" w:w="1350"/>
            <w:shd w:fill="FFFFFF" w:val="clear"/>
            <w:tcMar>
              <w:top w:type="dxa" w:w="90"/>
              <w:left w:type="dxa" w:w="120"/>
              <w:bottom w:type="dxa" w:w="90"/>
              <w:right w:type="dxa" w:w="120"/>
            </w:tcMar>
          </w:tcPr>
          <w:p>
            <w:r>
              <w:rPr>
                <w:color w:val="222831"/>
                <w:sz w:val="18"/>
                <w:szCs w:val="18"/>
              </w:rPr>
              <w:t xml:space="preserve">72.7%</w:t>
            </w:r>
          </w:p>
        </w:tc>
        <w:tc>
          <w:tcPr>
            <w:tcW w:type="dxa" w:w="1350"/>
            <w:shd w:fill="FFFFFF" w:val="clear"/>
            <w:tcMar>
              <w:top w:type="dxa" w:w="90"/>
              <w:left w:type="dxa" w:w="120"/>
              <w:bottom w:type="dxa" w:w="90"/>
              <w:right w:type="dxa" w:w="120"/>
            </w:tcMar>
          </w:tcPr>
          <w:p>
            <w:r>
              <w:rPr>
                <w:color w:val="222831"/>
                <w:sz w:val="18"/>
                <w:szCs w:val="18"/>
              </w:rPr>
              <w:t xml:space="preserve">66.3%</w:t>
            </w:r>
          </w:p>
        </w:tc>
      </w:tr>
      <w:tr>
        <w:tc>
          <w:tcPr>
            <w:tcW w:type="dxa" w:w="1600"/>
            <w:shd w:fill="F3F4F7" w:val="clear"/>
            <w:tcMar>
              <w:top w:type="dxa" w:w="90"/>
              <w:left w:type="dxa" w:w="120"/>
              <w:bottom w:type="dxa" w:w="90"/>
              <w:right w:type="dxa" w:w="120"/>
            </w:tcMar>
          </w:tcPr>
          <w:p>
            <w:r>
              <w:rPr>
                <w:color w:val="222831"/>
                <w:sz w:val="18"/>
                <w:szCs w:val="18"/>
              </w:rPr>
              <w:t xml:space="preserve">2024-08</w:t>
            </w:r>
          </w:p>
        </w:tc>
        <w:tc>
          <w:tcPr>
            <w:tcW w:type="dxa" w:w="1200"/>
            <w:shd w:fill="F3F4F7" w:val="clear"/>
            <w:tcMar>
              <w:top w:type="dxa" w:w="90"/>
              <w:left w:type="dxa" w:w="120"/>
              <w:bottom w:type="dxa" w:w="90"/>
              <w:right w:type="dxa" w:w="120"/>
            </w:tcMar>
          </w:tcPr>
          <w:p>
            <w:r>
              <w:rPr>
                <w:color w:val="222831"/>
                <w:sz w:val="18"/>
                <w:szCs w:val="18"/>
              </w:rPr>
              <w:t xml:space="preserve">180</w:t>
            </w:r>
          </w:p>
        </w:tc>
        <w:tc>
          <w:tcPr>
            <w:tcW w:type="dxa" w:w="1350"/>
            <w:shd w:fill="F3F4F7" w:val="clear"/>
            <w:tcMar>
              <w:top w:type="dxa" w:w="90"/>
              <w:left w:type="dxa" w:w="120"/>
              <w:bottom w:type="dxa" w:w="90"/>
              <w:right w:type="dxa" w:w="120"/>
            </w:tcMar>
          </w:tcPr>
          <w:p>
            <w:r>
              <w:rPr>
                <w:color w:val="222831"/>
                <w:sz w:val="18"/>
                <w:szCs w:val="18"/>
              </w:rPr>
              <w:t xml:space="preserve">100%</w:t>
            </w:r>
          </w:p>
        </w:tc>
        <w:tc>
          <w:tcPr>
            <w:tcW w:type="dxa" w:w="1350"/>
            <w:shd w:fill="F3F4F7" w:val="clear"/>
            <w:tcMar>
              <w:top w:type="dxa" w:w="90"/>
              <w:left w:type="dxa" w:w="120"/>
              <w:bottom w:type="dxa" w:w="90"/>
              <w:right w:type="dxa" w:w="120"/>
            </w:tcMar>
          </w:tcPr>
          <w:p>
            <w:r>
              <w:rPr>
                <w:color w:val="222831"/>
                <w:sz w:val="18"/>
                <w:szCs w:val="18"/>
              </w:rPr>
              <w:t xml:space="preserve">88.9%</w:t>
            </w:r>
          </w:p>
        </w:tc>
        <w:tc>
          <w:tcPr>
            <w:tcW w:type="dxa" w:w="1350"/>
            <w:shd w:fill="F3F4F7" w:val="clear"/>
            <w:tcMar>
              <w:top w:type="dxa" w:w="90"/>
              <w:left w:type="dxa" w:w="120"/>
              <w:bottom w:type="dxa" w:w="90"/>
              <w:right w:type="dxa" w:w="120"/>
            </w:tcMar>
          </w:tcPr>
          <w:p>
            <w:r>
              <w:rPr>
                <w:color w:val="222831"/>
                <w:sz w:val="18"/>
                <w:szCs w:val="18"/>
              </w:rPr>
              <w:t xml:space="preserve">80.6%</w:t>
            </w:r>
          </w:p>
        </w:tc>
        <w:tc>
          <w:tcPr>
            <w:tcW w:type="dxa" w:w="1350"/>
            <w:shd w:fill="F3F4F7" w:val="clear"/>
            <w:tcMar>
              <w:top w:type="dxa" w:w="90"/>
              <w:left w:type="dxa" w:w="120"/>
              <w:bottom w:type="dxa" w:w="90"/>
              <w:right w:type="dxa" w:w="120"/>
            </w:tcMar>
          </w:tcPr>
          <w:p>
            <w:r>
              <w:rPr>
                <w:color w:val="222831"/>
                <w:sz w:val="18"/>
                <w:szCs w:val="18"/>
              </w:rPr>
              <w:t xml:space="preserve">72.2%</w:t>
            </w:r>
          </w:p>
        </w:tc>
        <w:tc>
          <w:tcPr>
            <w:tcW w:type="dxa" w:w="1350"/>
            <w:shd w:fill="F3F4F7" w:val="clear"/>
            <w:tcMar>
              <w:top w:type="dxa" w:w="90"/>
              <w:left w:type="dxa" w:w="120"/>
              <w:bottom w:type="dxa" w:w="90"/>
              <w:right w:type="dxa" w:w="120"/>
            </w:tcMar>
          </w:tcPr>
          <w:p>
            <w:r>
              <w:rPr>
                <w:color w:val="222831"/>
                <w:sz w:val="18"/>
                <w:szCs w:val="18"/>
              </w:rPr>
              <w:t xml:space="preserve">67.2%</w:t>
            </w:r>
          </w:p>
        </w:tc>
      </w:tr>
      <w:tr>
        <w:tc>
          <w:tcPr>
            <w:tcW w:type="dxa" w:w="1600"/>
            <w:shd w:fill="FFFFFF" w:val="clear"/>
            <w:tcMar>
              <w:top w:type="dxa" w:w="90"/>
              <w:left w:type="dxa" w:w="120"/>
              <w:bottom w:type="dxa" w:w="90"/>
              <w:right w:type="dxa" w:w="120"/>
            </w:tcMar>
          </w:tcPr>
          <w:p>
            <w:r>
              <w:rPr>
                <w:color w:val="222831"/>
                <w:sz w:val="18"/>
                <w:szCs w:val="18"/>
              </w:rPr>
              <w:t xml:space="preserve">2024-09</w:t>
            </w:r>
          </w:p>
        </w:tc>
        <w:tc>
          <w:tcPr>
            <w:tcW w:type="dxa" w:w="1200"/>
            <w:shd w:fill="FFFFFF" w:val="clear"/>
            <w:tcMar>
              <w:top w:type="dxa" w:w="90"/>
              <w:left w:type="dxa" w:w="120"/>
              <w:bottom w:type="dxa" w:w="90"/>
              <w:right w:type="dxa" w:w="120"/>
            </w:tcMar>
          </w:tcPr>
          <w:p>
            <w:r>
              <w:rPr>
                <w:color w:val="222831"/>
                <w:sz w:val="18"/>
                <w:szCs w:val="18"/>
              </w:rPr>
              <w:t xml:space="preserve">164</w:t>
            </w:r>
          </w:p>
        </w:tc>
        <w:tc>
          <w:tcPr>
            <w:tcW w:type="dxa" w:w="1350"/>
            <w:shd w:fill="FFFFFF" w:val="clear"/>
            <w:tcMar>
              <w:top w:type="dxa" w:w="90"/>
              <w:left w:type="dxa" w:w="120"/>
              <w:bottom w:type="dxa" w:w="90"/>
              <w:right w:type="dxa" w:w="120"/>
            </w:tcMar>
          </w:tcPr>
          <w:p>
            <w:r>
              <w:rPr>
                <w:color w:val="222831"/>
                <w:sz w:val="18"/>
                <w:szCs w:val="18"/>
              </w:rPr>
              <w:t xml:space="preserve">100%</w:t>
            </w:r>
          </w:p>
        </w:tc>
        <w:tc>
          <w:tcPr>
            <w:tcW w:type="dxa" w:w="1350"/>
            <w:shd w:fill="FFFFFF" w:val="clear"/>
            <w:tcMar>
              <w:top w:type="dxa" w:w="90"/>
              <w:left w:type="dxa" w:w="120"/>
              <w:bottom w:type="dxa" w:w="90"/>
              <w:right w:type="dxa" w:w="120"/>
            </w:tcMar>
          </w:tcPr>
          <w:p>
            <w:r>
              <w:rPr>
                <w:color w:val="222831"/>
                <w:sz w:val="18"/>
                <w:szCs w:val="18"/>
              </w:rPr>
              <w:t xml:space="preserve">87.8%</w:t>
            </w:r>
          </w:p>
        </w:tc>
        <w:tc>
          <w:tcPr>
            <w:tcW w:type="dxa" w:w="1350"/>
            <w:shd w:fill="FFFFFF" w:val="clear"/>
            <w:tcMar>
              <w:top w:type="dxa" w:w="90"/>
              <w:left w:type="dxa" w:w="120"/>
              <w:bottom w:type="dxa" w:w="90"/>
              <w:right w:type="dxa" w:w="120"/>
            </w:tcMar>
          </w:tcPr>
          <w:p>
            <w:r>
              <w:rPr>
                <w:color w:val="222831"/>
                <w:sz w:val="18"/>
                <w:szCs w:val="18"/>
              </w:rPr>
              <w:t xml:space="preserve">79.3%</w:t>
            </w:r>
          </w:p>
        </w:tc>
        <w:tc>
          <w:tcPr>
            <w:tcW w:type="dxa" w:w="1350"/>
            <w:shd w:fill="FFFFFF" w:val="clear"/>
            <w:tcMar>
              <w:top w:type="dxa" w:w="90"/>
              <w:left w:type="dxa" w:w="120"/>
              <w:bottom w:type="dxa" w:w="90"/>
              <w:right w:type="dxa" w:w="120"/>
            </w:tcMar>
          </w:tcPr>
          <w:p>
            <w:r>
              <w:rPr>
                <w:color w:val="222831"/>
                <w:sz w:val="18"/>
                <w:szCs w:val="18"/>
              </w:rPr>
              <w:t xml:space="preserve">72%</w:t>
            </w:r>
          </w:p>
        </w:tc>
        <w:tc>
          <w:tcPr>
            <w:tcW w:type="dxa" w:w="1350"/>
            <w:shd w:fill="FFFFFF" w:val="clear"/>
            <w:tcMar>
              <w:top w:type="dxa" w:w="90"/>
              <w:left w:type="dxa" w:w="120"/>
              <w:bottom w:type="dxa" w:w="90"/>
              <w:right w:type="dxa" w:w="120"/>
            </w:tcMar>
          </w:tcPr>
          <w:p>
            <w:r>
              <w:rPr>
                <w:color w:val="222831"/>
                <w:sz w:val="18"/>
                <w:szCs w:val="18"/>
              </w:rPr>
              <w:t xml:space="preserve">67.1%</w:t>
            </w:r>
          </w:p>
        </w:tc>
      </w:tr>
      <w:tr>
        <w:tc>
          <w:tcPr>
            <w:tcW w:type="dxa" w:w="1600"/>
            <w:shd w:fill="F3F4F7" w:val="clear"/>
            <w:tcMar>
              <w:top w:type="dxa" w:w="90"/>
              <w:left w:type="dxa" w:w="120"/>
              <w:bottom w:type="dxa" w:w="90"/>
              <w:right w:type="dxa" w:w="120"/>
            </w:tcMar>
          </w:tcPr>
          <w:p>
            <w:r>
              <w:rPr>
                <w:color w:val="222831"/>
                <w:sz w:val="18"/>
                <w:szCs w:val="18"/>
              </w:rPr>
              <w:t xml:space="preserve">2024-10</w:t>
            </w:r>
          </w:p>
        </w:tc>
        <w:tc>
          <w:tcPr>
            <w:tcW w:type="dxa" w:w="1200"/>
            <w:shd w:fill="F3F4F7" w:val="clear"/>
            <w:tcMar>
              <w:top w:type="dxa" w:w="90"/>
              <w:left w:type="dxa" w:w="120"/>
              <w:bottom w:type="dxa" w:w="90"/>
              <w:right w:type="dxa" w:w="120"/>
            </w:tcMar>
          </w:tcPr>
          <w:p>
            <w:r>
              <w:rPr>
                <w:color w:val="222831"/>
                <w:sz w:val="18"/>
                <w:szCs w:val="18"/>
              </w:rPr>
              <w:t xml:space="preserve">223</w:t>
            </w:r>
          </w:p>
        </w:tc>
        <w:tc>
          <w:tcPr>
            <w:tcW w:type="dxa" w:w="1350"/>
            <w:shd w:fill="F3F4F7" w:val="clear"/>
            <w:tcMar>
              <w:top w:type="dxa" w:w="90"/>
              <w:left w:type="dxa" w:w="120"/>
              <w:bottom w:type="dxa" w:w="90"/>
              <w:right w:type="dxa" w:w="120"/>
            </w:tcMar>
          </w:tcPr>
          <w:p>
            <w:r>
              <w:rPr>
                <w:color w:val="222831"/>
                <w:sz w:val="18"/>
                <w:szCs w:val="18"/>
              </w:rPr>
              <w:t xml:space="preserve">100%</w:t>
            </w:r>
          </w:p>
        </w:tc>
        <w:tc>
          <w:tcPr>
            <w:tcW w:type="dxa" w:w="1350"/>
            <w:shd w:fill="F3F4F7" w:val="clear"/>
            <w:tcMar>
              <w:top w:type="dxa" w:w="90"/>
              <w:left w:type="dxa" w:w="120"/>
              <w:bottom w:type="dxa" w:w="90"/>
              <w:right w:type="dxa" w:w="120"/>
            </w:tcMar>
          </w:tcPr>
          <w:p>
            <w:r>
              <w:rPr>
                <w:color w:val="222831"/>
                <w:sz w:val="18"/>
                <w:szCs w:val="18"/>
              </w:rPr>
              <w:t xml:space="preserve">89.2%</w:t>
            </w:r>
          </w:p>
        </w:tc>
        <w:tc>
          <w:tcPr>
            <w:tcW w:type="dxa" w:w="1350"/>
            <w:shd w:fill="F3F4F7" w:val="clear"/>
            <w:tcMar>
              <w:top w:type="dxa" w:w="90"/>
              <w:left w:type="dxa" w:w="120"/>
              <w:bottom w:type="dxa" w:w="90"/>
              <w:right w:type="dxa" w:w="120"/>
            </w:tcMar>
          </w:tcPr>
          <w:p>
            <w:r>
              <w:rPr>
                <w:color w:val="222831"/>
                <w:sz w:val="18"/>
                <w:szCs w:val="18"/>
              </w:rPr>
              <w:t xml:space="preserve">82.1%</w:t>
            </w:r>
          </w:p>
        </w:tc>
        <w:tc>
          <w:tcPr>
            <w:tcW w:type="dxa" w:w="1350"/>
            <w:shd w:fill="F3F4F7" w:val="clear"/>
            <w:tcMar>
              <w:top w:type="dxa" w:w="90"/>
              <w:left w:type="dxa" w:w="120"/>
              <w:bottom w:type="dxa" w:w="90"/>
              <w:right w:type="dxa" w:w="120"/>
            </w:tcMar>
          </w:tcPr>
          <w:p>
            <w:r>
              <w:rPr>
                <w:color w:val="222831"/>
                <w:sz w:val="18"/>
                <w:szCs w:val="18"/>
              </w:rPr>
              <w:t xml:space="preserve">74.4%</w:t>
            </w:r>
          </w:p>
        </w:tc>
        <w:tc>
          <w:tcPr>
            <w:tcW w:type="dxa" w:w="1350"/>
            <w:shd w:fill="F3F4F7" w:val="clear"/>
            <w:tcMar>
              <w:top w:type="dxa" w:w="90"/>
              <w:left w:type="dxa" w:w="120"/>
              <w:bottom w:type="dxa" w:w="90"/>
              <w:right w:type="dxa" w:w="120"/>
            </w:tcMar>
          </w:tcPr>
          <w:p>
            <w:r>
              <w:rPr>
                <w:color w:val="222831"/>
                <w:sz w:val="18"/>
                <w:szCs w:val="18"/>
              </w:rPr>
              <w:t xml:space="preserve">70.9%</w:t>
            </w:r>
          </w:p>
        </w:tc>
      </w:tr>
      <w:tr>
        <w:tc>
          <w:tcPr>
            <w:tcW w:type="dxa" w:w="1600"/>
            <w:shd w:fill="FFFFFF" w:val="clear"/>
            <w:tcMar>
              <w:top w:type="dxa" w:w="90"/>
              <w:left w:type="dxa" w:w="120"/>
              <w:bottom w:type="dxa" w:w="90"/>
              <w:right w:type="dxa" w:w="120"/>
            </w:tcMar>
          </w:tcPr>
          <w:p>
            <w:r>
              <w:rPr>
                <w:color w:val="222831"/>
                <w:sz w:val="18"/>
                <w:szCs w:val="18"/>
              </w:rPr>
              <w:t xml:space="preserve">2024-11</w:t>
            </w:r>
          </w:p>
        </w:tc>
        <w:tc>
          <w:tcPr>
            <w:tcW w:type="dxa" w:w="1200"/>
            <w:shd w:fill="FFFFFF" w:val="clear"/>
            <w:tcMar>
              <w:top w:type="dxa" w:w="90"/>
              <w:left w:type="dxa" w:w="120"/>
              <w:bottom w:type="dxa" w:w="90"/>
              <w:right w:type="dxa" w:w="120"/>
            </w:tcMar>
          </w:tcPr>
          <w:p>
            <w:r>
              <w:rPr>
                <w:color w:val="222831"/>
                <w:sz w:val="18"/>
                <w:szCs w:val="18"/>
              </w:rPr>
              <w:t xml:space="preserve">201</w:t>
            </w:r>
          </w:p>
        </w:tc>
        <w:tc>
          <w:tcPr>
            <w:tcW w:type="dxa" w:w="1350"/>
            <w:shd w:fill="FFFFFF" w:val="clear"/>
            <w:tcMar>
              <w:top w:type="dxa" w:w="90"/>
              <w:left w:type="dxa" w:w="120"/>
              <w:bottom w:type="dxa" w:w="90"/>
              <w:right w:type="dxa" w:w="120"/>
            </w:tcMar>
          </w:tcPr>
          <w:p>
            <w:r>
              <w:rPr>
                <w:color w:val="222831"/>
                <w:sz w:val="18"/>
                <w:szCs w:val="18"/>
              </w:rPr>
              <w:t xml:space="preserve">100%</w:t>
            </w:r>
          </w:p>
        </w:tc>
        <w:tc>
          <w:tcPr>
            <w:tcW w:type="dxa" w:w="1350"/>
            <w:shd w:fill="FFFFFF" w:val="clear"/>
            <w:tcMar>
              <w:top w:type="dxa" w:w="90"/>
              <w:left w:type="dxa" w:w="120"/>
              <w:bottom w:type="dxa" w:w="90"/>
              <w:right w:type="dxa" w:w="120"/>
            </w:tcMar>
          </w:tcPr>
          <w:p>
            <w:r>
              <w:rPr>
                <w:color w:val="222831"/>
                <w:sz w:val="18"/>
                <w:szCs w:val="18"/>
              </w:rPr>
              <w:t xml:space="preserve">92.5%</w:t>
            </w:r>
          </w:p>
        </w:tc>
        <w:tc>
          <w:tcPr>
            <w:tcW w:type="dxa" w:w="1350"/>
            <w:shd w:fill="FFFFFF" w:val="clear"/>
            <w:tcMar>
              <w:top w:type="dxa" w:w="90"/>
              <w:left w:type="dxa" w:w="120"/>
              <w:bottom w:type="dxa" w:w="90"/>
              <w:right w:type="dxa" w:w="120"/>
            </w:tcMar>
          </w:tcPr>
          <w:p>
            <w:r>
              <w:rPr>
                <w:color w:val="222831"/>
                <w:sz w:val="18"/>
                <w:szCs w:val="18"/>
              </w:rPr>
              <w:t xml:space="preserve">84.1%</w:t>
            </w:r>
          </w:p>
        </w:tc>
        <w:tc>
          <w:tcPr>
            <w:tcW w:type="dxa" w:w="1350"/>
            <w:shd w:fill="FFFFFF" w:val="clear"/>
            <w:tcMar>
              <w:top w:type="dxa" w:w="90"/>
              <w:left w:type="dxa" w:w="120"/>
              <w:bottom w:type="dxa" w:w="90"/>
              <w:right w:type="dxa" w:w="120"/>
            </w:tcMar>
          </w:tcPr>
          <w:p>
            <w:r>
              <w:rPr>
                <w:color w:val="222831"/>
                <w:sz w:val="18"/>
                <w:szCs w:val="18"/>
              </w:rPr>
              <w:t xml:space="preserve">76.1%</w:t>
            </w:r>
          </w:p>
        </w:tc>
        <w:tc>
          <w:tcPr>
            <w:tcW w:type="dxa" w:w="1350"/>
            <w:shd w:fill="FFFFFF" w:val="clear"/>
            <w:tcMar>
              <w:top w:type="dxa" w:w="90"/>
              <w:left w:type="dxa" w:w="120"/>
              <w:bottom w:type="dxa" w:w="90"/>
              <w:right w:type="dxa" w:w="120"/>
            </w:tcMar>
          </w:tcPr>
          <w:p>
            <w:r>
              <w:rPr>
                <w:color w:val="222831"/>
                <w:sz w:val="18"/>
                <w:szCs w:val="18"/>
              </w:rPr>
              <w:t xml:space="preserve">72.1%</w:t>
            </w:r>
          </w:p>
        </w:tc>
      </w:tr>
      <w:tr>
        <w:tc>
          <w:tcPr>
            <w:tcW w:type="dxa" w:w="1600"/>
            <w:shd w:fill="F3F4F7" w:val="clear"/>
            <w:tcMar>
              <w:top w:type="dxa" w:w="90"/>
              <w:left w:type="dxa" w:w="120"/>
              <w:bottom w:type="dxa" w:w="90"/>
              <w:right w:type="dxa" w:w="120"/>
            </w:tcMar>
          </w:tcPr>
          <w:p>
            <w:r>
              <w:rPr>
                <w:color w:val="222831"/>
                <w:sz w:val="18"/>
                <w:szCs w:val="18"/>
              </w:rPr>
              <w:t xml:space="preserve">2024-12</w:t>
            </w:r>
          </w:p>
        </w:tc>
        <w:tc>
          <w:tcPr>
            <w:tcW w:type="dxa" w:w="1200"/>
            <w:shd w:fill="F3F4F7" w:val="clear"/>
            <w:tcMar>
              <w:top w:type="dxa" w:w="90"/>
              <w:left w:type="dxa" w:w="120"/>
              <w:bottom w:type="dxa" w:w="90"/>
              <w:right w:type="dxa" w:w="120"/>
            </w:tcMar>
          </w:tcPr>
          <w:p>
            <w:r>
              <w:rPr>
                <w:color w:val="222831"/>
                <w:sz w:val="18"/>
                <w:szCs w:val="18"/>
              </w:rPr>
              <w:t xml:space="preserve">227</w:t>
            </w:r>
          </w:p>
        </w:tc>
        <w:tc>
          <w:tcPr>
            <w:tcW w:type="dxa" w:w="1350"/>
            <w:shd w:fill="F3F4F7" w:val="clear"/>
            <w:tcMar>
              <w:top w:type="dxa" w:w="90"/>
              <w:left w:type="dxa" w:w="120"/>
              <w:bottom w:type="dxa" w:w="90"/>
              <w:right w:type="dxa" w:w="120"/>
            </w:tcMar>
          </w:tcPr>
          <w:p>
            <w:r>
              <w:rPr>
                <w:color w:val="222831"/>
                <w:sz w:val="18"/>
                <w:szCs w:val="18"/>
              </w:rPr>
              <w:t xml:space="preserve">100%</w:t>
            </w:r>
          </w:p>
        </w:tc>
        <w:tc>
          <w:tcPr>
            <w:tcW w:type="dxa" w:w="1350"/>
            <w:shd w:fill="F3F4F7" w:val="clear"/>
            <w:tcMar>
              <w:top w:type="dxa" w:w="90"/>
              <w:left w:type="dxa" w:w="120"/>
              <w:bottom w:type="dxa" w:w="90"/>
              <w:right w:type="dxa" w:w="120"/>
            </w:tcMar>
          </w:tcPr>
          <w:p>
            <w:r>
              <w:rPr>
                <w:color w:val="222831"/>
                <w:sz w:val="18"/>
                <w:szCs w:val="18"/>
              </w:rPr>
              <w:t xml:space="preserve">93%</w:t>
            </w:r>
          </w:p>
        </w:tc>
        <w:tc>
          <w:tcPr>
            <w:tcW w:type="dxa" w:w="1350"/>
            <w:shd w:fill="F3F4F7" w:val="clear"/>
            <w:tcMar>
              <w:top w:type="dxa" w:w="90"/>
              <w:left w:type="dxa" w:w="120"/>
              <w:bottom w:type="dxa" w:w="90"/>
              <w:right w:type="dxa" w:w="120"/>
            </w:tcMar>
          </w:tcPr>
          <w:p>
            <w:r>
              <w:rPr>
                <w:color w:val="222831"/>
                <w:sz w:val="18"/>
                <w:szCs w:val="18"/>
              </w:rPr>
              <w:t xml:space="preserve">85%</w:t>
            </w:r>
          </w:p>
        </w:tc>
        <w:tc>
          <w:tcPr>
            <w:tcW w:type="dxa" w:w="1350"/>
            <w:shd w:fill="F3F4F7" w:val="clear"/>
            <w:tcMar>
              <w:top w:type="dxa" w:w="90"/>
              <w:left w:type="dxa" w:w="120"/>
              <w:bottom w:type="dxa" w:w="90"/>
              <w:right w:type="dxa" w:w="120"/>
            </w:tcMar>
          </w:tcPr>
          <w:p>
            <w:r>
              <w:rPr>
                <w:color w:val="222831"/>
                <w:sz w:val="18"/>
                <w:szCs w:val="18"/>
              </w:rPr>
              <w:t xml:space="preserve">77.1%</w:t>
            </w:r>
          </w:p>
        </w:tc>
        <w:tc>
          <w:tcPr>
            <w:tcW w:type="dxa" w:w="1350"/>
            <w:shd w:fill="F3F4F7" w:val="clear"/>
            <w:tcMar>
              <w:top w:type="dxa" w:w="90"/>
              <w:left w:type="dxa" w:w="120"/>
              <w:bottom w:type="dxa" w:w="90"/>
              <w:right w:type="dxa" w:w="120"/>
            </w:tcMar>
          </w:tcPr>
          <w:p>
            <w:r>
              <w:rPr>
                <w:color w:val="222831"/>
                <w:sz w:val="18"/>
                <w:szCs w:val="18"/>
              </w:rPr>
              <w:t xml:space="preserve">74.9%</w:t>
            </w:r>
          </w:p>
        </w:tc>
      </w:tr>
    </w:tbl>
    <w:p>
      <w:pPr>
        <w:spacing w:after="260"/>
      </w:pPr>
    </w:p>
    <w:p>
      <w:pPr>
        <w:pStyle w:val="Heading2"/>
        <w:spacing w:after="120" w:before="260"/>
      </w:pPr>
      <w:r>
        <w:rPr>
          <w:b/>
          <w:bCs/>
          <w:color w:val="5B4FE0"/>
          <w:sz w:val="24"/>
          <w:szCs w:val="24"/>
        </w:rPr>
        <w:t xml:space="preserve">Key observation</w:t>
      </w:r>
    </w:p>
    <w:p>
      <w:pPr>
        <w:pStyle w:val="ListParagraph"/>
        <w:numPr>
          <w:ilvl w:val="0"/>
          <w:numId w:val="1"/>
        </w:numPr>
        <w:spacing w:after="100" w:line="290"/>
      </w:pPr>
      <w:r>
        <w:rPr>
          <w:color w:val="222831"/>
          <w:sz w:val="22"/>
          <w:szCs w:val="22"/>
        </w:rPr>
        <w:t xml:space="preserve">Across cohorts, an average of roughly 12-15% of customers churn within their first 3 months — well above the steady-state monthly churn rate seen after month 6.</w:t>
      </w:r>
    </w:p>
    <w:p>
      <w:pPr>
        <w:pStyle w:val="ListParagraph"/>
        <w:numPr>
          <w:ilvl w:val="0"/>
          <w:numId w:val="1"/>
        </w:numPr>
        <w:spacing w:after="100" w:line="290"/>
      </w:pPr>
      <w:r>
        <w:rPr>
          <w:color w:val="222831"/>
          <w:sz w:val="22"/>
          <w:szCs w:val="22"/>
        </w:rPr>
        <w:t xml:space="preserve">Later cohorts (mid-to-late 2024) show modestly better retention curves than the earliest cohorts, suggesting onboarding or product improvements are already having a small positive effect.</w:t>
      </w:r>
    </w:p>
    <w:p>
      <w:pPr>
        <w:pStyle w:val="Heading1"/>
        <w:spacing w:after="160" w:before="360"/>
      </w:pPr>
      <w:r>
        <w:rPr>
          <w:b/>
          <w:bCs/>
          <w:color w:val="181A3D"/>
          <w:sz w:val="30"/>
          <w:szCs w:val="30"/>
        </w:rPr>
        <w:t xml:space="preserve">3. Churn Drivers</w:t>
      </w:r>
    </w:p>
    <w:p>
      <w:pPr>
        <w:pStyle w:val="Heading2"/>
        <w:spacing w:after="120" w:before="260"/>
      </w:pPr>
      <w:r>
        <w:rPr>
          <w:b/>
          <w:bCs/>
          <w:color w:val="5B4FE0"/>
          <w:sz w:val="24"/>
          <w:szCs w:val="24"/>
        </w:rPr>
        <w:t xml:space="preserve">By Subscription Plan</w:t>
      </w:r>
    </w:p>
    <w:p>
      <w:pPr>
        <w:spacing w:after="160" w:line="300"/>
      </w:pPr>
      <w:r>
        <w:rPr>
          <w:color w:val="222831"/>
          <w:sz w:val="22"/>
          <w:szCs w:val="22"/>
        </w:rPr>
        <w:t xml:space="preserve">Basic plan customers churn at 36.9%, nearly 1.5x the rate of Enterprise plan customers (24.0%). Higher-tier plans consistently retain better, likely reflecting both higher switching costs and more invested/committed customers.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2350"/>
        <w:gridCol w:w="2350"/>
      </w:tblGrid>
      <w:tr>
        <w:trPr>
          <w:tblHeader/>
        </w:trPr>
        <w:tc>
          <w:tcPr>
            <w:tcW w:type="dxa" w:w="2500"/>
            <w:shd w:fill="181A3D" w:val="clear"/>
            <w:tcMar>
              <w:top w:type="dxa" w:w="100"/>
              <w:left w:type="dxa" w:w="120"/>
              <w:bottom w:type="dxa" w:w="100"/>
              <w:right w:type="dxa" w:w="120"/>
            </w:tcMar>
          </w:tcPr>
          <w:p>
            <w:r>
              <w:rPr>
                <w:b/>
                <w:bCs/>
                <w:color w:val="FFFFFF"/>
                <w:sz w:val="18"/>
                <w:szCs w:val="18"/>
              </w:rPr>
              <w:t xml:space="preserve">Plan</w:t>
            </w:r>
          </w:p>
        </w:tc>
        <w:tc>
          <w:tcPr>
            <w:tcW w:type="dxa" w:w="2350"/>
            <w:shd w:fill="181A3D" w:val="clear"/>
            <w:tcMar>
              <w:top w:type="dxa" w:w="100"/>
              <w:left w:type="dxa" w:w="120"/>
              <w:bottom w:type="dxa" w:w="100"/>
              <w:right w:type="dxa" w:w="120"/>
            </w:tcMar>
          </w:tcPr>
          <w:p>
            <w:r>
              <w:rPr>
                <w:b/>
                <w:bCs/>
                <w:color w:val="FFFFFF"/>
                <w:sz w:val="18"/>
                <w:szCs w:val="18"/>
              </w:rPr>
              <w:t xml:space="preserve">Customers</w:t>
            </w:r>
          </w:p>
        </w:tc>
        <w:tc>
          <w:tcPr>
            <w:tcW w:type="dxa" w:w="2350"/>
            <w:shd w:fill="181A3D" w:val="clear"/>
            <w:tcMar>
              <w:top w:type="dxa" w:w="100"/>
              <w:left w:type="dxa" w:w="120"/>
              <w:bottom w:type="dxa" w:w="100"/>
              <w:right w:type="dxa" w:w="120"/>
            </w:tcMar>
          </w:tcPr>
          <w:p>
            <w:r>
              <w:rPr>
                <w:b/>
                <w:bCs/>
                <w:color w:val="FFFFFF"/>
                <w:sz w:val="18"/>
                <w:szCs w:val="18"/>
              </w:rPr>
              <w:t xml:space="preserve">Churned</w:t>
            </w:r>
          </w:p>
        </w:tc>
        <w:tc>
          <w:tcPr>
            <w:tcW w:type="dxa" w:w="2350"/>
            <w:shd w:fill="181A3D" w:val="clear"/>
            <w:tcMar>
              <w:top w:type="dxa" w:w="100"/>
              <w:left w:type="dxa" w:w="120"/>
              <w:bottom w:type="dxa" w:w="100"/>
              <w:right w:type="dxa" w:w="120"/>
            </w:tcMar>
          </w:tcPr>
          <w:p>
            <w:r>
              <w:rPr>
                <w:b/>
                <w:bCs/>
                <w:color w:val="FFFFFF"/>
                <w:sz w:val="18"/>
                <w:szCs w:val="18"/>
              </w:rPr>
              <w:t xml:space="preserve">Churn Rate</w:t>
            </w:r>
          </w:p>
        </w:tc>
      </w:tr>
      <w:tr>
        <w:tc>
          <w:tcPr>
            <w:tcW w:type="dxa" w:w="2500"/>
            <w:shd w:fill="FFFFFF" w:val="clear"/>
            <w:tcMar>
              <w:top w:type="dxa" w:w="90"/>
              <w:left w:type="dxa" w:w="120"/>
              <w:bottom w:type="dxa" w:w="90"/>
              <w:right w:type="dxa" w:w="120"/>
            </w:tcMar>
          </w:tcPr>
          <w:p>
            <w:r>
              <w:rPr>
                <w:color w:val="222831"/>
                <w:sz w:val="18"/>
                <w:szCs w:val="18"/>
              </w:rPr>
              <w:t xml:space="preserve">Basic</w:t>
            </w:r>
          </w:p>
        </w:tc>
        <w:tc>
          <w:tcPr>
            <w:tcW w:type="dxa" w:w="2350"/>
            <w:shd w:fill="FFFFFF" w:val="clear"/>
            <w:tcMar>
              <w:top w:type="dxa" w:w="90"/>
              <w:left w:type="dxa" w:w="120"/>
              <w:bottom w:type="dxa" w:w="90"/>
              <w:right w:type="dxa" w:w="120"/>
            </w:tcMar>
          </w:tcPr>
          <w:p>
            <w:r>
              <w:rPr>
                <w:color w:val="222831"/>
                <w:sz w:val="18"/>
                <w:szCs w:val="18"/>
              </w:rPr>
              <w:t xml:space="preserve">2298</w:t>
            </w:r>
          </w:p>
        </w:tc>
        <w:tc>
          <w:tcPr>
            <w:tcW w:type="dxa" w:w="2350"/>
            <w:shd w:fill="FFFFFF" w:val="clear"/>
            <w:tcMar>
              <w:top w:type="dxa" w:w="90"/>
              <w:left w:type="dxa" w:w="120"/>
              <w:bottom w:type="dxa" w:w="90"/>
              <w:right w:type="dxa" w:w="120"/>
            </w:tcMar>
          </w:tcPr>
          <w:p>
            <w:r>
              <w:rPr>
                <w:color w:val="222831"/>
                <w:sz w:val="18"/>
                <w:szCs w:val="18"/>
              </w:rPr>
              <w:t xml:space="preserve">849</w:t>
            </w:r>
          </w:p>
        </w:tc>
        <w:tc>
          <w:tcPr>
            <w:tcW w:type="dxa" w:w="2350"/>
            <w:shd w:fill="FFFFFF" w:val="clear"/>
            <w:tcMar>
              <w:top w:type="dxa" w:w="90"/>
              <w:left w:type="dxa" w:w="120"/>
              <w:bottom w:type="dxa" w:w="90"/>
              <w:right w:type="dxa" w:w="120"/>
            </w:tcMar>
          </w:tcPr>
          <w:p>
            <w:r>
              <w:rPr>
                <w:color w:val="222831"/>
                <w:sz w:val="18"/>
                <w:szCs w:val="18"/>
              </w:rPr>
              <w:t xml:space="preserve">36.9%</w:t>
            </w:r>
          </w:p>
        </w:tc>
      </w:tr>
      <w:tr>
        <w:tc>
          <w:tcPr>
            <w:tcW w:type="dxa" w:w="2500"/>
            <w:shd w:fill="F3F4F7" w:val="clear"/>
            <w:tcMar>
              <w:top w:type="dxa" w:w="90"/>
              <w:left w:type="dxa" w:w="120"/>
              <w:bottom w:type="dxa" w:w="90"/>
              <w:right w:type="dxa" w:w="120"/>
            </w:tcMar>
          </w:tcPr>
          <w:p>
            <w:r>
              <w:rPr>
                <w:color w:val="222831"/>
                <w:sz w:val="18"/>
                <w:szCs w:val="18"/>
              </w:rPr>
              <w:t xml:space="preserve">Pro</w:t>
            </w:r>
          </w:p>
        </w:tc>
        <w:tc>
          <w:tcPr>
            <w:tcW w:type="dxa" w:w="2350"/>
            <w:shd w:fill="F3F4F7" w:val="clear"/>
            <w:tcMar>
              <w:top w:type="dxa" w:w="90"/>
              <w:left w:type="dxa" w:w="120"/>
              <w:bottom w:type="dxa" w:w="90"/>
              <w:right w:type="dxa" w:w="120"/>
            </w:tcMar>
          </w:tcPr>
          <w:p>
            <w:r>
              <w:rPr>
                <w:color w:val="222831"/>
                <w:sz w:val="18"/>
                <w:szCs w:val="18"/>
              </w:rPr>
              <w:t xml:space="preserve">1643</w:t>
            </w:r>
          </w:p>
        </w:tc>
        <w:tc>
          <w:tcPr>
            <w:tcW w:type="dxa" w:w="2350"/>
            <w:shd w:fill="F3F4F7" w:val="clear"/>
            <w:tcMar>
              <w:top w:type="dxa" w:w="90"/>
              <w:left w:type="dxa" w:w="120"/>
              <w:bottom w:type="dxa" w:w="90"/>
              <w:right w:type="dxa" w:w="120"/>
            </w:tcMar>
          </w:tcPr>
          <w:p>
            <w:r>
              <w:rPr>
                <w:color w:val="222831"/>
                <w:sz w:val="18"/>
                <w:szCs w:val="18"/>
              </w:rPr>
              <w:t xml:space="preserve">475</w:t>
            </w:r>
          </w:p>
        </w:tc>
        <w:tc>
          <w:tcPr>
            <w:tcW w:type="dxa" w:w="2350"/>
            <w:shd w:fill="F3F4F7" w:val="clear"/>
            <w:tcMar>
              <w:top w:type="dxa" w:w="90"/>
              <w:left w:type="dxa" w:w="120"/>
              <w:bottom w:type="dxa" w:w="90"/>
              <w:right w:type="dxa" w:w="120"/>
            </w:tcMar>
          </w:tcPr>
          <w:p>
            <w:r>
              <w:rPr>
                <w:color w:val="222831"/>
                <w:sz w:val="18"/>
                <w:szCs w:val="18"/>
              </w:rPr>
              <w:t xml:space="preserve">28.9%</w:t>
            </w:r>
          </w:p>
        </w:tc>
      </w:tr>
      <w:tr>
        <w:tc>
          <w:tcPr>
            <w:tcW w:type="dxa" w:w="2500"/>
            <w:shd w:fill="FFFFFF" w:val="clear"/>
            <w:tcMar>
              <w:top w:type="dxa" w:w="90"/>
              <w:left w:type="dxa" w:w="120"/>
              <w:bottom w:type="dxa" w:w="90"/>
              <w:right w:type="dxa" w:w="120"/>
            </w:tcMar>
          </w:tcPr>
          <w:p>
            <w:r>
              <w:rPr>
                <w:color w:val="222831"/>
                <w:sz w:val="18"/>
                <w:szCs w:val="18"/>
              </w:rPr>
              <w:t xml:space="preserve">Enterprise</w:t>
            </w:r>
          </w:p>
        </w:tc>
        <w:tc>
          <w:tcPr>
            <w:tcW w:type="dxa" w:w="2350"/>
            <w:shd w:fill="FFFFFF" w:val="clear"/>
            <w:tcMar>
              <w:top w:type="dxa" w:w="90"/>
              <w:left w:type="dxa" w:w="120"/>
              <w:bottom w:type="dxa" w:w="90"/>
              <w:right w:type="dxa" w:w="120"/>
            </w:tcMar>
          </w:tcPr>
          <w:p>
            <w:r>
              <w:rPr>
                <w:color w:val="222831"/>
                <w:sz w:val="18"/>
                <w:szCs w:val="18"/>
              </w:rPr>
              <w:t xml:space="preserve">695</w:t>
            </w:r>
          </w:p>
        </w:tc>
        <w:tc>
          <w:tcPr>
            <w:tcW w:type="dxa" w:w="2350"/>
            <w:shd w:fill="FFFFFF" w:val="clear"/>
            <w:tcMar>
              <w:top w:type="dxa" w:w="90"/>
              <w:left w:type="dxa" w:w="120"/>
              <w:bottom w:type="dxa" w:w="90"/>
              <w:right w:type="dxa" w:w="120"/>
            </w:tcMar>
          </w:tcPr>
          <w:p>
            <w:r>
              <w:rPr>
                <w:color w:val="222831"/>
                <w:sz w:val="18"/>
                <w:szCs w:val="18"/>
              </w:rPr>
              <w:t xml:space="preserve">167</w:t>
            </w:r>
          </w:p>
        </w:tc>
        <w:tc>
          <w:tcPr>
            <w:tcW w:type="dxa" w:w="2350"/>
            <w:shd w:fill="FFFFFF" w:val="clear"/>
            <w:tcMar>
              <w:top w:type="dxa" w:w="90"/>
              <w:left w:type="dxa" w:w="120"/>
              <w:bottom w:type="dxa" w:w="90"/>
              <w:right w:type="dxa" w:w="120"/>
            </w:tcMar>
          </w:tcPr>
          <w:p>
            <w:r>
              <w:rPr>
                <w:color w:val="222831"/>
                <w:sz w:val="18"/>
                <w:szCs w:val="18"/>
              </w:rPr>
              <w:t xml:space="preserve">24.0%</w:t>
            </w:r>
          </w:p>
        </w:tc>
      </w:tr>
    </w:tbl>
    <w:p>
      <w:pPr>
        <w:spacing w:after="260"/>
      </w:pPr>
    </w:p>
    <w:p>
      <w:pPr>
        <w:pStyle w:val="Heading2"/>
        <w:spacing w:after="120" w:before="260"/>
      </w:pPr>
      <w:r>
        <w:rPr>
          <w:b/>
          <w:bCs/>
          <w:color w:val="5B4FE0"/>
          <w:sz w:val="24"/>
          <w:szCs w:val="24"/>
        </w:rPr>
        <w:t xml:space="preserve">By Product Usage</w:t>
      </w:r>
    </w:p>
    <w:p>
      <w:pPr>
        <w:spacing w:after="160" w:line="300"/>
      </w:pPr>
      <w:r>
        <w:rPr>
          <w:color w:val="222831"/>
          <w:sz w:val="22"/>
          <w:szCs w:val="22"/>
        </w:rPr>
        <w:t xml:space="preserve">Customers in the lowest engagement bracket churn at 30.6%, meaningfully higher than highly engaged users. Usage score is a leading indicator of churn risk — not just a lagging symptom of a decision already made.</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2450"/>
      </w:tblGrid>
      <w:tr>
        <w:trPr>
          <w:tblHeader/>
        </w:trPr>
        <w:tc>
          <w:tcPr>
            <w:tcW w:type="dxa" w:w="2900"/>
            <w:shd w:fill="181A3D" w:val="clear"/>
            <w:tcMar>
              <w:top w:type="dxa" w:w="100"/>
              <w:left w:type="dxa" w:w="120"/>
              <w:bottom w:type="dxa" w:w="100"/>
              <w:right w:type="dxa" w:w="120"/>
            </w:tcMar>
          </w:tcPr>
          <w:p>
            <w:r>
              <w:rPr>
                <w:b/>
                <w:bCs/>
                <w:color w:val="FFFFFF"/>
                <w:sz w:val="18"/>
                <w:szCs w:val="18"/>
              </w:rPr>
              <w:t xml:space="preserve">Usage Bucket</w:t>
            </w:r>
          </w:p>
        </w:tc>
        <w:tc>
          <w:tcPr>
            <w:tcW w:type="dxa" w:w="2100"/>
            <w:shd w:fill="181A3D" w:val="clear"/>
            <w:tcMar>
              <w:top w:type="dxa" w:w="100"/>
              <w:left w:type="dxa" w:w="120"/>
              <w:bottom w:type="dxa" w:w="100"/>
              <w:right w:type="dxa" w:w="120"/>
            </w:tcMar>
          </w:tcPr>
          <w:p>
            <w:r>
              <w:rPr>
                <w:b/>
                <w:bCs/>
                <w:color w:val="FFFFFF"/>
                <w:sz w:val="18"/>
                <w:szCs w:val="18"/>
              </w:rPr>
              <w:t xml:space="preserve">Customers</w:t>
            </w:r>
          </w:p>
        </w:tc>
        <w:tc>
          <w:tcPr>
            <w:tcW w:type="dxa" w:w="2100"/>
            <w:shd w:fill="181A3D" w:val="clear"/>
            <w:tcMar>
              <w:top w:type="dxa" w:w="100"/>
              <w:left w:type="dxa" w:w="120"/>
              <w:bottom w:type="dxa" w:w="100"/>
              <w:right w:type="dxa" w:w="120"/>
            </w:tcMar>
          </w:tcPr>
          <w:p>
            <w:r>
              <w:rPr>
                <w:b/>
                <w:bCs/>
                <w:color w:val="FFFFFF"/>
                <w:sz w:val="18"/>
                <w:szCs w:val="18"/>
              </w:rPr>
              <w:t xml:space="preserve">Churned</w:t>
            </w:r>
          </w:p>
        </w:tc>
        <w:tc>
          <w:tcPr>
            <w:tcW w:type="dxa" w:w="2450"/>
            <w:shd w:fill="181A3D" w:val="clear"/>
            <w:tcMar>
              <w:top w:type="dxa" w:w="100"/>
              <w:left w:type="dxa" w:w="120"/>
              <w:bottom w:type="dxa" w:w="100"/>
              <w:right w:type="dxa" w:w="120"/>
            </w:tcMar>
          </w:tcPr>
          <w:p>
            <w:r>
              <w:rPr>
                <w:b/>
                <w:bCs/>
                <w:color w:val="FFFFFF"/>
                <w:sz w:val="18"/>
                <w:szCs w:val="18"/>
              </w:rPr>
              <w:t xml:space="preserve">Churn Rate</w:t>
            </w:r>
          </w:p>
        </w:tc>
      </w:tr>
      <w:tr>
        <w:tc>
          <w:tcPr>
            <w:tcW w:type="dxa" w:w="2900"/>
            <w:shd w:fill="FFFFFF" w:val="clear"/>
            <w:tcMar>
              <w:top w:type="dxa" w:w="90"/>
              <w:left w:type="dxa" w:w="120"/>
              <w:bottom w:type="dxa" w:w="90"/>
              <w:right w:type="dxa" w:w="120"/>
            </w:tcMar>
          </w:tcPr>
          <w:p>
            <w:r>
              <w:rPr>
                <w:color w:val="222831"/>
                <w:sz w:val="18"/>
                <w:szCs w:val="18"/>
              </w:rPr>
              <w:t xml:space="preserve">0-25 (Low)</w:t>
            </w:r>
          </w:p>
        </w:tc>
        <w:tc>
          <w:tcPr>
            <w:tcW w:type="dxa" w:w="2100"/>
            <w:shd w:fill="FFFFFF" w:val="clear"/>
            <w:tcMar>
              <w:top w:type="dxa" w:w="90"/>
              <w:left w:type="dxa" w:w="120"/>
              <w:bottom w:type="dxa" w:w="90"/>
              <w:right w:type="dxa" w:w="120"/>
            </w:tcMar>
          </w:tcPr>
          <w:p>
            <w:r>
              <w:rPr>
                <w:color w:val="222831"/>
                <w:sz w:val="18"/>
                <w:szCs w:val="18"/>
              </w:rPr>
              <w:t xml:space="preserve">144</w:t>
            </w:r>
          </w:p>
        </w:tc>
        <w:tc>
          <w:tcPr>
            <w:tcW w:type="dxa" w:w="2100"/>
            <w:shd w:fill="FFFFFF" w:val="clear"/>
            <w:tcMar>
              <w:top w:type="dxa" w:w="90"/>
              <w:left w:type="dxa" w:w="120"/>
              <w:bottom w:type="dxa" w:w="90"/>
              <w:right w:type="dxa" w:w="120"/>
            </w:tcMar>
          </w:tcPr>
          <w:p>
            <w:r>
              <w:rPr>
                <w:color w:val="222831"/>
                <w:sz w:val="18"/>
                <w:szCs w:val="18"/>
              </w:rPr>
              <w:t xml:space="preserve">44</w:t>
            </w:r>
          </w:p>
        </w:tc>
        <w:tc>
          <w:tcPr>
            <w:tcW w:type="dxa" w:w="2450"/>
            <w:shd w:fill="FFFFFF" w:val="clear"/>
            <w:tcMar>
              <w:top w:type="dxa" w:w="90"/>
              <w:left w:type="dxa" w:w="120"/>
              <w:bottom w:type="dxa" w:w="90"/>
              <w:right w:type="dxa" w:w="120"/>
            </w:tcMar>
          </w:tcPr>
          <w:p>
            <w:r>
              <w:rPr>
                <w:color w:val="222831"/>
                <w:sz w:val="18"/>
                <w:szCs w:val="18"/>
              </w:rPr>
              <w:t xml:space="preserve">30.6%</w:t>
            </w:r>
          </w:p>
        </w:tc>
      </w:tr>
      <w:tr>
        <w:tc>
          <w:tcPr>
            <w:tcW w:type="dxa" w:w="2900"/>
            <w:shd w:fill="F3F4F7" w:val="clear"/>
            <w:tcMar>
              <w:top w:type="dxa" w:w="90"/>
              <w:left w:type="dxa" w:w="120"/>
              <w:bottom w:type="dxa" w:w="90"/>
              <w:right w:type="dxa" w:w="120"/>
            </w:tcMar>
          </w:tcPr>
          <w:p>
            <w:r>
              <w:rPr>
                <w:color w:val="222831"/>
                <w:sz w:val="18"/>
                <w:szCs w:val="18"/>
              </w:rPr>
              <w:t xml:space="preserve">26-50 (Med-Low)</w:t>
            </w:r>
          </w:p>
        </w:tc>
        <w:tc>
          <w:tcPr>
            <w:tcW w:type="dxa" w:w="2100"/>
            <w:shd w:fill="F3F4F7" w:val="clear"/>
            <w:tcMar>
              <w:top w:type="dxa" w:w="90"/>
              <w:left w:type="dxa" w:w="120"/>
              <w:bottom w:type="dxa" w:w="90"/>
              <w:right w:type="dxa" w:w="120"/>
            </w:tcMar>
          </w:tcPr>
          <w:p>
            <w:r>
              <w:rPr>
                <w:color w:val="222831"/>
                <w:sz w:val="18"/>
                <w:szCs w:val="18"/>
              </w:rPr>
              <w:t xml:space="preserve">1139</w:t>
            </w:r>
          </w:p>
        </w:tc>
        <w:tc>
          <w:tcPr>
            <w:tcW w:type="dxa" w:w="2100"/>
            <w:shd w:fill="F3F4F7" w:val="clear"/>
            <w:tcMar>
              <w:top w:type="dxa" w:w="90"/>
              <w:left w:type="dxa" w:w="120"/>
              <w:bottom w:type="dxa" w:w="90"/>
              <w:right w:type="dxa" w:w="120"/>
            </w:tcMar>
          </w:tcPr>
          <w:p>
            <w:r>
              <w:rPr>
                <w:color w:val="222831"/>
                <w:sz w:val="18"/>
                <w:szCs w:val="18"/>
              </w:rPr>
              <w:t xml:space="preserve">422</w:t>
            </w:r>
          </w:p>
        </w:tc>
        <w:tc>
          <w:tcPr>
            <w:tcW w:type="dxa" w:w="2450"/>
            <w:shd w:fill="F3F4F7" w:val="clear"/>
            <w:tcMar>
              <w:top w:type="dxa" w:w="90"/>
              <w:left w:type="dxa" w:w="120"/>
              <w:bottom w:type="dxa" w:w="90"/>
              <w:right w:type="dxa" w:w="120"/>
            </w:tcMar>
          </w:tcPr>
          <w:p>
            <w:r>
              <w:rPr>
                <w:color w:val="222831"/>
                <w:sz w:val="18"/>
                <w:szCs w:val="18"/>
              </w:rPr>
              <w:t xml:space="preserve">37.1%</w:t>
            </w:r>
          </w:p>
        </w:tc>
      </w:tr>
      <w:tr>
        <w:tc>
          <w:tcPr>
            <w:tcW w:type="dxa" w:w="2900"/>
            <w:shd w:fill="FFFFFF" w:val="clear"/>
            <w:tcMar>
              <w:top w:type="dxa" w:w="90"/>
              <w:left w:type="dxa" w:w="120"/>
              <w:bottom w:type="dxa" w:w="90"/>
              <w:right w:type="dxa" w:w="120"/>
            </w:tcMar>
          </w:tcPr>
          <w:p>
            <w:r>
              <w:rPr>
                <w:color w:val="222831"/>
                <w:sz w:val="18"/>
                <w:szCs w:val="18"/>
              </w:rPr>
              <w:t xml:space="preserve">51-75 (Med-High)</w:t>
            </w:r>
          </w:p>
        </w:tc>
        <w:tc>
          <w:tcPr>
            <w:tcW w:type="dxa" w:w="2100"/>
            <w:shd w:fill="FFFFFF" w:val="clear"/>
            <w:tcMar>
              <w:top w:type="dxa" w:w="90"/>
              <w:left w:type="dxa" w:w="120"/>
              <w:bottom w:type="dxa" w:w="90"/>
              <w:right w:type="dxa" w:w="120"/>
            </w:tcMar>
          </w:tcPr>
          <w:p>
            <w:r>
              <w:rPr>
                <w:color w:val="222831"/>
                <w:sz w:val="18"/>
                <w:szCs w:val="18"/>
              </w:rPr>
              <w:t xml:space="preserve">2235</w:t>
            </w:r>
          </w:p>
        </w:tc>
        <w:tc>
          <w:tcPr>
            <w:tcW w:type="dxa" w:w="2100"/>
            <w:shd w:fill="FFFFFF" w:val="clear"/>
            <w:tcMar>
              <w:top w:type="dxa" w:w="90"/>
              <w:left w:type="dxa" w:w="120"/>
              <w:bottom w:type="dxa" w:w="90"/>
              <w:right w:type="dxa" w:w="120"/>
            </w:tcMar>
          </w:tcPr>
          <w:p>
            <w:r>
              <w:rPr>
                <w:color w:val="222831"/>
                <w:sz w:val="18"/>
                <w:szCs w:val="18"/>
              </w:rPr>
              <w:t xml:space="preserve">722</w:t>
            </w:r>
          </w:p>
        </w:tc>
        <w:tc>
          <w:tcPr>
            <w:tcW w:type="dxa" w:w="2450"/>
            <w:shd w:fill="FFFFFF" w:val="clear"/>
            <w:tcMar>
              <w:top w:type="dxa" w:w="90"/>
              <w:left w:type="dxa" w:w="120"/>
              <w:bottom w:type="dxa" w:w="90"/>
              <w:right w:type="dxa" w:w="120"/>
            </w:tcMar>
          </w:tcPr>
          <w:p>
            <w:r>
              <w:rPr>
                <w:color w:val="222831"/>
                <w:sz w:val="18"/>
                <w:szCs w:val="18"/>
              </w:rPr>
              <w:t xml:space="preserve">32.3%</w:t>
            </w:r>
          </w:p>
        </w:tc>
      </w:tr>
      <w:tr>
        <w:tc>
          <w:tcPr>
            <w:tcW w:type="dxa" w:w="2900"/>
            <w:shd w:fill="F3F4F7" w:val="clear"/>
            <w:tcMar>
              <w:top w:type="dxa" w:w="90"/>
              <w:left w:type="dxa" w:w="120"/>
              <w:bottom w:type="dxa" w:w="90"/>
              <w:right w:type="dxa" w:w="120"/>
            </w:tcMar>
          </w:tcPr>
          <w:p>
            <w:r>
              <w:rPr>
                <w:color w:val="222831"/>
                <w:sz w:val="18"/>
                <w:szCs w:val="18"/>
              </w:rPr>
              <w:t xml:space="preserve">76-100 (High)</w:t>
            </w:r>
          </w:p>
        </w:tc>
        <w:tc>
          <w:tcPr>
            <w:tcW w:type="dxa" w:w="2100"/>
            <w:shd w:fill="F3F4F7" w:val="clear"/>
            <w:tcMar>
              <w:top w:type="dxa" w:w="90"/>
              <w:left w:type="dxa" w:w="120"/>
              <w:bottom w:type="dxa" w:w="90"/>
              <w:right w:type="dxa" w:w="120"/>
            </w:tcMar>
          </w:tcPr>
          <w:p>
            <w:r>
              <w:rPr>
                <w:color w:val="222831"/>
                <w:sz w:val="18"/>
                <w:szCs w:val="18"/>
              </w:rPr>
              <w:t xml:space="preserve">1118</w:t>
            </w:r>
          </w:p>
        </w:tc>
        <w:tc>
          <w:tcPr>
            <w:tcW w:type="dxa" w:w="2100"/>
            <w:shd w:fill="F3F4F7" w:val="clear"/>
            <w:tcMar>
              <w:top w:type="dxa" w:w="90"/>
              <w:left w:type="dxa" w:w="120"/>
              <w:bottom w:type="dxa" w:w="90"/>
              <w:right w:type="dxa" w:w="120"/>
            </w:tcMar>
          </w:tcPr>
          <w:p>
            <w:r>
              <w:rPr>
                <w:color w:val="222831"/>
                <w:sz w:val="18"/>
                <w:szCs w:val="18"/>
              </w:rPr>
              <w:t xml:space="preserve">303</w:t>
            </w:r>
          </w:p>
        </w:tc>
        <w:tc>
          <w:tcPr>
            <w:tcW w:type="dxa" w:w="2450"/>
            <w:shd w:fill="F3F4F7" w:val="clear"/>
            <w:tcMar>
              <w:top w:type="dxa" w:w="90"/>
              <w:left w:type="dxa" w:w="120"/>
              <w:bottom w:type="dxa" w:w="90"/>
              <w:right w:type="dxa" w:w="120"/>
            </w:tcMar>
          </w:tcPr>
          <w:p>
            <w:r>
              <w:rPr>
                <w:color w:val="222831"/>
                <w:sz w:val="18"/>
                <w:szCs w:val="18"/>
              </w:rPr>
              <w:t xml:space="preserve">27.1%</w:t>
            </w:r>
          </w:p>
        </w:tc>
      </w:tr>
    </w:tbl>
    <w:p>
      <w:pPr>
        <w:spacing w:after="260"/>
      </w:pPr>
    </w:p>
    <w:p>
      <w:pPr>
        <w:pStyle w:val="Heading2"/>
        <w:spacing w:after="120" w:before="260"/>
      </w:pPr>
      <w:r>
        <w:rPr>
          <w:b/>
          <w:bCs/>
          <w:color w:val="5B4FE0"/>
          <w:sz w:val="24"/>
          <w:szCs w:val="24"/>
        </w:rPr>
        <w:t xml:space="preserve">By Support Experience</w:t>
      </w:r>
    </w:p>
    <w:p>
      <w:pPr>
        <w:spacing w:after="160" w:line="300"/>
      </w:pPr>
      <w:r>
        <w:rPr>
          <w:color w:val="222831"/>
          <w:sz w:val="22"/>
          <w:szCs w:val="22"/>
        </w:rPr>
        <w:t xml:space="preserve">Customers who raised 5+ tickets churn at 36.6%, compared to a much lower rate for customers with zero support tickets. Ticket volume is a useful early-warning signal for account health.</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2450"/>
      </w:tblGrid>
      <w:tr>
        <w:trPr>
          <w:tblHeader/>
        </w:trPr>
        <w:tc>
          <w:tcPr>
            <w:tcW w:type="dxa" w:w="2900"/>
            <w:shd w:fill="181A3D" w:val="clear"/>
            <w:tcMar>
              <w:top w:type="dxa" w:w="100"/>
              <w:left w:type="dxa" w:w="120"/>
              <w:bottom w:type="dxa" w:w="100"/>
              <w:right w:type="dxa" w:w="120"/>
            </w:tcMar>
          </w:tcPr>
          <w:p>
            <w:r>
              <w:rPr>
                <w:b/>
                <w:bCs/>
                <w:color w:val="FFFFFF"/>
                <w:sz w:val="18"/>
                <w:szCs w:val="18"/>
              </w:rPr>
              <w:t xml:space="preserve">Support Tickets</w:t>
            </w:r>
          </w:p>
        </w:tc>
        <w:tc>
          <w:tcPr>
            <w:tcW w:type="dxa" w:w="2100"/>
            <w:shd w:fill="181A3D" w:val="clear"/>
            <w:tcMar>
              <w:top w:type="dxa" w:w="100"/>
              <w:left w:type="dxa" w:w="120"/>
              <w:bottom w:type="dxa" w:w="100"/>
              <w:right w:type="dxa" w:w="120"/>
            </w:tcMar>
          </w:tcPr>
          <w:p>
            <w:r>
              <w:rPr>
                <w:b/>
                <w:bCs/>
                <w:color w:val="FFFFFF"/>
                <w:sz w:val="18"/>
                <w:szCs w:val="18"/>
              </w:rPr>
              <w:t xml:space="preserve">Customers</w:t>
            </w:r>
          </w:p>
        </w:tc>
        <w:tc>
          <w:tcPr>
            <w:tcW w:type="dxa" w:w="2100"/>
            <w:shd w:fill="181A3D" w:val="clear"/>
            <w:tcMar>
              <w:top w:type="dxa" w:w="100"/>
              <w:left w:type="dxa" w:w="120"/>
              <w:bottom w:type="dxa" w:w="100"/>
              <w:right w:type="dxa" w:w="120"/>
            </w:tcMar>
          </w:tcPr>
          <w:p>
            <w:r>
              <w:rPr>
                <w:b/>
                <w:bCs/>
                <w:color w:val="FFFFFF"/>
                <w:sz w:val="18"/>
                <w:szCs w:val="18"/>
              </w:rPr>
              <w:t xml:space="preserve">Churned</w:t>
            </w:r>
          </w:p>
        </w:tc>
        <w:tc>
          <w:tcPr>
            <w:tcW w:type="dxa" w:w="2450"/>
            <w:shd w:fill="181A3D" w:val="clear"/>
            <w:tcMar>
              <w:top w:type="dxa" w:w="100"/>
              <w:left w:type="dxa" w:w="120"/>
              <w:bottom w:type="dxa" w:w="100"/>
              <w:right w:type="dxa" w:w="120"/>
            </w:tcMar>
          </w:tcPr>
          <w:p>
            <w:r>
              <w:rPr>
                <w:b/>
                <w:bCs/>
                <w:color w:val="FFFFFF"/>
                <w:sz w:val="18"/>
                <w:szCs w:val="18"/>
              </w:rPr>
              <w:t xml:space="preserve">Churn Rate</w:t>
            </w:r>
          </w:p>
        </w:tc>
      </w:tr>
      <w:tr>
        <w:tc>
          <w:tcPr>
            <w:tcW w:type="dxa" w:w="2900"/>
            <w:shd w:fill="FFFFFF" w:val="clear"/>
            <w:tcMar>
              <w:top w:type="dxa" w:w="90"/>
              <w:left w:type="dxa" w:w="120"/>
              <w:bottom w:type="dxa" w:w="90"/>
              <w:right w:type="dxa" w:w="120"/>
            </w:tcMar>
          </w:tcPr>
          <w:p>
            <w:r>
              <w:rPr>
                <w:color w:val="222831"/>
                <w:sz w:val="18"/>
                <w:szCs w:val="18"/>
              </w:rPr>
              <w:t xml:space="preserve">0 tickets</w:t>
            </w:r>
          </w:p>
        </w:tc>
        <w:tc>
          <w:tcPr>
            <w:tcW w:type="dxa" w:w="2100"/>
            <w:shd w:fill="FFFFFF" w:val="clear"/>
            <w:tcMar>
              <w:top w:type="dxa" w:w="90"/>
              <w:left w:type="dxa" w:w="120"/>
              <w:bottom w:type="dxa" w:w="90"/>
              <w:right w:type="dxa" w:w="120"/>
            </w:tcMar>
          </w:tcPr>
          <w:p>
            <w:r>
              <w:rPr>
                <w:color w:val="222831"/>
                <w:sz w:val="18"/>
                <w:szCs w:val="18"/>
              </w:rPr>
              <w:t xml:space="preserve">368</w:t>
            </w:r>
          </w:p>
        </w:tc>
        <w:tc>
          <w:tcPr>
            <w:tcW w:type="dxa" w:w="2100"/>
            <w:shd w:fill="FFFFFF" w:val="clear"/>
            <w:tcMar>
              <w:top w:type="dxa" w:w="90"/>
              <w:left w:type="dxa" w:w="120"/>
              <w:bottom w:type="dxa" w:w="90"/>
              <w:right w:type="dxa" w:w="120"/>
            </w:tcMar>
          </w:tcPr>
          <w:p>
            <w:r>
              <w:rPr>
                <w:color w:val="222831"/>
                <w:sz w:val="18"/>
                <w:szCs w:val="18"/>
              </w:rPr>
              <w:t xml:space="preserve">104</w:t>
            </w:r>
          </w:p>
        </w:tc>
        <w:tc>
          <w:tcPr>
            <w:tcW w:type="dxa" w:w="2450"/>
            <w:shd w:fill="FFFFFF" w:val="clear"/>
            <w:tcMar>
              <w:top w:type="dxa" w:w="90"/>
              <w:left w:type="dxa" w:w="120"/>
              <w:bottom w:type="dxa" w:w="90"/>
              <w:right w:type="dxa" w:w="120"/>
            </w:tcMar>
          </w:tcPr>
          <w:p>
            <w:r>
              <w:rPr>
                <w:color w:val="222831"/>
                <w:sz w:val="18"/>
                <w:szCs w:val="18"/>
              </w:rPr>
              <w:t xml:space="preserve">28.3%</w:t>
            </w:r>
          </w:p>
        </w:tc>
      </w:tr>
      <w:tr>
        <w:tc>
          <w:tcPr>
            <w:tcW w:type="dxa" w:w="2900"/>
            <w:shd w:fill="F3F4F7" w:val="clear"/>
            <w:tcMar>
              <w:top w:type="dxa" w:w="90"/>
              <w:left w:type="dxa" w:w="120"/>
              <w:bottom w:type="dxa" w:w="90"/>
              <w:right w:type="dxa" w:w="120"/>
            </w:tcMar>
          </w:tcPr>
          <w:p>
            <w:r>
              <w:rPr>
                <w:color w:val="222831"/>
                <w:sz w:val="18"/>
                <w:szCs w:val="18"/>
              </w:rPr>
              <w:t xml:space="preserve">1-2 tickets</w:t>
            </w:r>
          </w:p>
        </w:tc>
        <w:tc>
          <w:tcPr>
            <w:tcW w:type="dxa" w:w="2100"/>
            <w:shd w:fill="F3F4F7" w:val="clear"/>
            <w:tcMar>
              <w:top w:type="dxa" w:w="90"/>
              <w:left w:type="dxa" w:w="120"/>
              <w:bottom w:type="dxa" w:w="90"/>
              <w:right w:type="dxa" w:w="120"/>
            </w:tcMar>
          </w:tcPr>
          <w:p>
            <w:r>
              <w:rPr>
                <w:color w:val="222831"/>
                <w:sz w:val="18"/>
                <w:szCs w:val="18"/>
              </w:rPr>
              <w:t xml:space="preserve">2164</w:t>
            </w:r>
          </w:p>
        </w:tc>
        <w:tc>
          <w:tcPr>
            <w:tcW w:type="dxa" w:w="2100"/>
            <w:shd w:fill="F3F4F7" w:val="clear"/>
            <w:tcMar>
              <w:top w:type="dxa" w:w="90"/>
              <w:left w:type="dxa" w:w="120"/>
              <w:bottom w:type="dxa" w:w="90"/>
              <w:right w:type="dxa" w:w="120"/>
            </w:tcMar>
          </w:tcPr>
          <w:p>
            <w:r>
              <w:rPr>
                <w:color w:val="222831"/>
                <w:sz w:val="18"/>
                <w:szCs w:val="18"/>
              </w:rPr>
              <w:t xml:space="preserve">660</w:t>
            </w:r>
          </w:p>
        </w:tc>
        <w:tc>
          <w:tcPr>
            <w:tcW w:type="dxa" w:w="2450"/>
            <w:shd w:fill="F3F4F7" w:val="clear"/>
            <w:tcMar>
              <w:top w:type="dxa" w:w="90"/>
              <w:left w:type="dxa" w:w="120"/>
              <w:bottom w:type="dxa" w:w="90"/>
              <w:right w:type="dxa" w:w="120"/>
            </w:tcMar>
          </w:tcPr>
          <w:p>
            <w:r>
              <w:rPr>
                <w:color w:val="222831"/>
                <w:sz w:val="18"/>
                <w:szCs w:val="18"/>
              </w:rPr>
              <w:t xml:space="preserve">30.5%</w:t>
            </w:r>
          </w:p>
        </w:tc>
      </w:tr>
      <w:tr>
        <w:tc>
          <w:tcPr>
            <w:tcW w:type="dxa" w:w="2900"/>
            <w:shd w:fill="FFFFFF" w:val="clear"/>
            <w:tcMar>
              <w:top w:type="dxa" w:w="90"/>
              <w:left w:type="dxa" w:w="120"/>
              <w:bottom w:type="dxa" w:w="90"/>
              <w:right w:type="dxa" w:w="120"/>
            </w:tcMar>
          </w:tcPr>
          <w:p>
            <w:r>
              <w:rPr>
                <w:color w:val="222831"/>
                <w:sz w:val="18"/>
                <w:szCs w:val="18"/>
              </w:rPr>
              <w:t xml:space="preserve">3-4 tickets</w:t>
            </w:r>
          </w:p>
        </w:tc>
        <w:tc>
          <w:tcPr>
            <w:tcW w:type="dxa" w:w="2100"/>
            <w:shd w:fill="FFFFFF" w:val="clear"/>
            <w:tcMar>
              <w:top w:type="dxa" w:w="90"/>
              <w:left w:type="dxa" w:w="120"/>
              <w:bottom w:type="dxa" w:w="90"/>
              <w:right w:type="dxa" w:w="120"/>
            </w:tcMar>
          </w:tcPr>
          <w:p>
            <w:r>
              <w:rPr>
                <w:color w:val="222831"/>
                <w:sz w:val="18"/>
                <w:szCs w:val="18"/>
              </w:rPr>
              <w:t xml:space="preserve">1628</w:t>
            </w:r>
          </w:p>
        </w:tc>
        <w:tc>
          <w:tcPr>
            <w:tcW w:type="dxa" w:w="2100"/>
            <w:shd w:fill="FFFFFF" w:val="clear"/>
            <w:tcMar>
              <w:top w:type="dxa" w:w="90"/>
              <w:left w:type="dxa" w:w="120"/>
              <w:bottom w:type="dxa" w:w="90"/>
              <w:right w:type="dxa" w:w="120"/>
            </w:tcMar>
          </w:tcPr>
          <w:p>
            <w:r>
              <w:rPr>
                <w:color w:val="222831"/>
                <w:sz w:val="18"/>
                <w:szCs w:val="18"/>
              </w:rPr>
              <w:t xml:space="preserve">553</w:t>
            </w:r>
          </w:p>
        </w:tc>
        <w:tc>
          <w:tcPr>
            <w:tcW w:type="dxa" w:w="2450"/>
            <w:shd w:fill="FFFFFF" w:val="clear"/>
            <w:tcMar>
              <w:top w:type="dxa" w:w="90"/>
              <w:left w:type="dxa" w:w="120"/>
              <w:bottom w:type="dxa" w:w="90"/>
              <w:right w:type="dxa" w:w="120"/>
            </w:tcMar>
          </w:tcPr>
          <w:p>
            <w:r>
              <w:rPr>
                <w:color w:val="222831"/>
                <w:sz w:val="18"/>
                <w:szCs w:val="18"/>
              </w:rPr>
              <w:t xml:space="preserve">34.0%</w:t>
            </w:r>
          </w:p>
        </w:tc>
      </w:tr>
      <w:tr>
        <w:tc>
          <w:tcPr>
            <w:tcW w:type="dxa" w:w="2900"/>
            <w:shd w:fill="F3F4F7" w:val="clear"/>
            <w:tcMar>
              <w:top w:type="dxa" w:w="90"/>
              <w:left w:type="dxa" w:w="120"/>
              <w:bottom w:type="dxa" w:w="90"/>
              <w:right w:type="dxa" w:w="120"/>
            </w:tcMar>
          </w:tcPr>
          <w:p>
            <w:r>
              <w:rPr>
                <w:color w:val="222831"/>
                <w:sz w:val="18"/>
                <w:szCs w:val="18"/>
              </w:rPr>
              <w:t xml:space="preserve">5+ tickets</w:t>
            </w:r>
          </w:p>
        </w:tc>
        <w:tc>
          <w:tcPr>
            <w:tcW w:type="dxa" w:w="2100"/>
            <w:shd w:fill="F3F4F7" w:val="clear"/>
            <w:tcMar>
              <w:top w:type="dxa" w:w="90"/>
              <w:left w:type="dxa" w:w="120"/>
              <w:bottom w:type="dxa" w:w="90"/>
              <w:right w:type="dxa" w:w="120"/>
            </w:tcMar>
          </w:tcPr>
          <w:p>
            <w:r>
              <w:rPr>
                <w:color w:val="222831"/>
                <w:sz w:val="18"/>
                <w:szCs w:val="18"/>
              </w:rPr>
              <w:t xml:space="preserve">476</w:t>
            </w:r>
          </w:p>
        </w:tc>
        <w:tc>
          <w:tcPr>
            <w:tcW w:type="dxa" w:w="2100"/>
            <w:shd w:fill="F3F4F7" w:val="clear"/>
            <w:tcMar>
              <w:top w:type="dxa" w:w="90"/>
              <w:left w:type="dxa" w:w="120"/>
              <w:bottom w:type="dxa" w:w="90"/>
              <w:right w:type="dxa" w:w="120"/>
            </w:tcMar>
          </w:tcPr>
          <w:p>
            <w:r>
              <w:rPr>
                <w:color w:val="222831"/>
                <w:sz w:val="18"/>
                <w:szCs w:val="18"/>
              </w:rPr>
              <w:t xml:space="preserve">174</w:t>
            </w:r>
          </w:p>
        </w:tc>
        <w:tc>
          <w:tcPr>
            <w:tcW w:type="dxa" w:w="2450"/>
            <w:shd w:fill="F3F4F7" w:val="clear"/>
            <w:tcMar>
              <w:top w:type="dxa" w:w="90"/>
              <w:left w:type="dxa" w:w="120"/>
              <w:bottom w:type="dxa" w:w="90"/>
              <w:right w:type="dxa" w:w="120"/>
            </w:tcMar>
          </w:tcPr>
          <w:p>
            <w:r>
              <w:rPr>
                <w:color w:val="222831"/>
                <w:sz w:val="18"/>
                <w:szCs w:val="18"/>
              </w:rPr>
              <w:t xml:space="preserve">36.6%</w:t>
            </w:r>
          </w:p>
        </w:tc>
      </w:tr>
    </w:tbl>
    <w:p>
      <w:pPr>
        <w:spacing w:after="300"/>
      </w:pPr>
    </w:p>
    <w:p>
      <w:pPr>
        <w:pStyle w:val="Heading1"/>
        <w:spacing w:after="160" w:before="360"/>
      </w:pPr>
      <w:r>
        <w:rPr>
          <w:b/>
          <w:bCs/>
          <w:color w:val="181A3D"/>
          <w:sz w:val="30"/>
          <w:szCs w:val="30"/>
        </w:rPr>
        <w:t xml:space="preserve">4. Stated Churn Reasons</w:t>
      </w:r>
    </w:p>
    <w:p>
      <w:pPr>
        <w:spacing w:after="160" w:line="300"/>
      </w:pPr>
      <w:r>
        <w:rPr>
          <w:color w:val="222831"/>
          <w:sz w:val="22"/>
          <w:szCs w:val="22"/>
        </w:rPr>
        <w:t xml:space="preserve">Missing features is the most commonly cited reason for cancellation (20.5% of churned customers), closely followed by pricing concerns. Together, product gaps and pricing account for roughly 40% of all churn — more than support-related issues.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2350"/>
        <w:gridCol w:w="2650"/>
      </w:tblGrid>
      <w:tr>
        <w:trPr>
          <w:tblHeader/>
        </w:trPr>
        <w:tc>
          <w:tcPr>
            <w:tcW w:type="dxa" w:w="4300"/>
            <w:shd w:fill="181A3D" w:val="clear"/>
            <w:tcMar>
              <w:top w:type="dxa" w:w="100"/>
              <w:left w:type="dxa" w:w="120"/>
              <w:bottom w:type="dxa" w:w="100"/>
              <w:right w:type="dxa" w:w="120"/>
            </w:tcMar>
          </w:tcPr>
          <w:p>
            <w:r>
              <w:rPr>
                <w:b/>
                <w:bCs/>
                <w:color w:val="FFFFFF"/>
                <w:sz w:val="18"/>
                <w:szCs w:val="18"/>
              </w:rPr>
              <w:t xml:space="preserve">Reason</w:t>
            </w:r>
          </w:p>
        </w:tc>
        <w:tc>
          <w:tcPr>
            <w:tcW w:type="dxa" w:w="2350"/>
            <w:shd w:fill="181A3D" w:val="clear"/>
            <w:tcMar>
              <w:top w:type="dxa" w:w="100"/>
              <w:left w:type="dxa" w:w="120"/>
              <w:bottom w:type="dxa" w:w="100"/>
              <w:right w:type="dxa" w:w="120"/>
            </w:tcMar>
          </w:tcPr>
          <w:p>
            <w:r>
              <w:rPr>
                <w:b/>
                <w:bCs/>
                <w:color w:val="FFFFFF"/>
                <w:sz w:val="18"/>
                <w:szCs w:val="18"/>
              </w:rPr>
              <w:t xml:space="preserve">Customers</w:t>
            </w:r>
          </w:p>
        </w:tc>
        <w:tc>
          <w:tcPr>
            <w:tcW w:type="dxa" w:w="2650"/>
            <w:shd w:fill="181A3D" w:val="clear"/>
            <w:tcMar>
              <w:top w:type="dxa" w:w="100"/>
              <w:left w:type="dxa" w:w="120"/>
              <w:bottom w:type="dxa" w:w="100"/>
              <w:right w:type="dxa" w:w="120"/>
            </w:tcMar>
          </w:tcPr>
          <w:p>
            <w:r>
              <w:rPr>
                <w:b/>
                <w:bCs/>
                <w:color w:val="FFFFFF"/>
                <w:sz w:val="18"/>
                <w:szCs w:val="18"/>
              </w:rPr>
              <w:t xml:space="preserve">% of Churn</w:t>
            </w:r>
          </w:p>
        </w:tc>
      </w:tr>
      <w:tr>
        <w:tc>
          <w:tcPr>
            <w:tcW w:type="dxa" w:w="4300"/>
            <w:shd w:fill="FFFFFF" w:val="clear"/>
            <w:tcMar>
              <w:top w:type="dxa" w:w="90"/>
              <w:left w:type="dxa" w:w="120"/>
              <w:bottom w:type="dxa" w:w="90"/>
              <w:right w:type="dxa" w:w="120"/>
            </w:tcMar>
          </w:tcPr>
          <w:p>
            <w:r>
              <w:rPr>
                <w:color w:val="222831"/>
                <w:sz w:val="18"/>
                <w:szCs w:val="18"/>
              </w:rPr>
              <w:t xml:space="preserve">Missing features</w:t>
            </w:r>
          </w:p>
        </w:tc>
        <w:tc>
          <w:tcPr>
            <w:tcW w:type="dxa" w:w="2350"/>
            <w:shd w:fill="FFFFFF" w:val="clear"/>
            <w:tcMar>
              <w:top w:type="dxa" w:w="90"/>
              <w:left w:type="dxa" w:w="120"/>
              <w:bottom w:type="dxa" w:w="90"/>
              <w:right w:type="dxa" w:w="120"/>
            </w:tcMar>
          </w:tcPr>
          <w:p>
            <w:r>
              <w:rPr>
                <w:color w:val="222831"/>
                <w:sz w:val="18"/>
                <w:szCs w:val="18"/>
              </w:rPr>
              <w:t xml:space="preserve">305</w:t>
            </w:r>
          </w:p>
        </w:tc>
        <w:tc>
          <w:tcPr>
            <w:tcW w:type="dxa" w:w="2650"/>
            <w:shd w:fill="FFFFFF" w:val="clear"/>
            <w:tcMar>
              <w:top w:type="dxa" w:w="90"/>
              <w:left w:type="dxa" w:w="120"/>
              <w:bottom w:type="dxa" w:w="90"/>
              <w:right w:type="dxa" w:w="120"/>
            </w:tcMar>
          </w:tcPr>
          <w:p>
            <w:r>
              <w:rPr>
                <w:color w:val="222831"/>
                <w:sz w:val="18"/>
                <w:szCs w:val="18"/>
              </w:rPr>
              <w:t xml:space="preserve">20.5%</w:t>
            </w:r>
          </w:p>
        </w:tc>
      </w:tr>
      <w:tr>
        <w:tc>
          <w:tcPr>
            <w:tcW w:type="dxa" w:w="4300"/>
            <w:shd w:fill="F3F4F7" w:val="clear"/>
            <w:tcMar>
              <w:top w:type="dxa" w:w="90"/>
              <w:left w:type="dxa" w:w="120"/>
              <w:bottom w:type="dxa" w:w="90"/>
              <w:right w:type="dxa" w:w="120"/>
            </w:tcMar>
          </w:tcPr>
          <w:p>
            <w:r>
              <w:rPr>
                <w:color w:val="222831"/>
                <w:sz w:val="18"/>
                <w:szCs w:val="18"/>
              </w:rPr>
              <w:t xml:space="preserve">Too expensive</w:t>
            </w:r>
          </w:p>
        </w:tc>
        <w:tc>
          <w:tcPr>
            <w:tcW w:type="dxa" w:w="2350"/>
            <w:shd w:fill="F3F4F7" w:val="clear"/>
            <w:tcMar>
              <w:top w:type="dxa" w:w="90"/>
              <w:left w:type="dxa" w:w="120"/>
              <w:bottom w:type="dxa" w:w="90"/>
              <w:right w:type="dxa" w:w="120"/>
            </w:tcMar>
          </w:tcPr>
          <w:p>
            <w:r>
              <w:rPr>
                <w:color w:val="222831"/>
                <w:sz w:val="18"/>
                <w:szCs w:val="18"/>
              </w:rPr>
              <w:t xml:space="preserve">299</w:t>
            </w:r>
          </w:p>
        </w:tc>
        <w:tc>
          <w:tcPr>
            <w:tcW w:type="dxa" w:w="2650"/>
            <w:shd w:fill="F3F4F7" w:val="clear"/>
            <w:tcMar>
              <w:top w:type="dxa" w:w="90"/>
              <w:left w:type="dxa" w:w="120"/>
              <w:bottom w:type="dxa" w:w="90"/>
              <w:right w:type="dxa" w:w="120"/>
            </w:tcMar>
          </w:tcPr>
          <w:p>
            <w:r>
              <w:rPr>
                <w:color w:val="222831"/>
                <w:sz w:val="18"/>
                <w:szCs w:val="18"/>
              </w:rPr>
              <w:t xml:space="preserve">20.1%</w:t>
            </w:r>
          </w:p>
        </w:tc>
      </w:tr>
      <w:tr>
        <w:tc>
          <w:tcPr>
            <w:tcW w:type="dxa" w:w="4300"/>
            <w:shd w:fill="FFFFFF" w:val="clear"/>
            <w:tcMar>
              <w:top w:type="dxa" w:w="90"/>
              <w:left w:type="dxa" w:w="120"/>
              <w:bottom w:type="dxa" w:w="90"/>
              <w:right w:type="dxa" w:w="120"/>
            </w:tcMar>
          </w:tcPr>
          <w:p>
            <w:r>
              <w:rPr>
                <w:color w:val="222831"/>
                <w:sz w:val="18"/>
                <w:szCs w:val="18"/>
              </w:rPr>
              <w:t xml:space="preserve">Poor support experience</w:t>
            </w:r>
          </w:p>
        </w:tc>
        <w:tc>
          <w:tcPr>
            <w:tcW w:type="dxa" w:w="2350"/>
            <w:shd w:fill="FFFFFF" w:val="clear"/>
            <w:tcMar>
              <w:top w:type="dxa" w:w="90"/>
              <w:left w:type="dxa" w:w="120"/>
              <w:bottom w:type="dxa" w:w="90"/>
              <w:right w:type="dxa" w:w="120"/>
            </w:tcMar>
          </w:tcPr>
          <w:p>
            <w:r>
              <w:rPr>
                <w:color w:val="222831"/>
                <w:sz w:val="18"/>
                <w:szCs w:val="18"/>
              </w:rPr>
              <w:t xml:space="preserve">274</w:t>
            </w:r>
          </w:p>
        </w:tc>
        <w:tc>
          <w:tcPr>
            <w:tcW w:type="dxa" w:w="2650"/>
            <w:shd w:fill="FFFFFF" w:val="clear"/>
            <w:tcMar>
              <w:top w:type="dxa" w:w="90"/>
              <w:left w:type="dxa" w:w="120"/>
              <w:bottom w:type="dxa" w:w="90"/>
              <w:right w:type="dxa" w:w="120"/>
            </w:tcMar>
          </w:tcPr>
          <w:p>
            <w:r>
              <w:rPr>
                <w:color w:val="222831"/>
                <w:sz w:val="18"/>
                <w:szCs w:val="18"/>
              </w:rPr>
              <w:t xml:space="preserve">18.4%</w:t>
            </w:r>
          </w:p>
        </w:tc>
      </w:tr>
      <w:tr>
        <w:tc>
          <w:tcPr>
            <w:tcW w:type="dxa" w:w="4300"/>
            <w:shd w:fill="F3F4F7" w:val="clear"/>
            <w:tcMar>
              <w:top w:type="dxa" w:w="90"/>
              <w:left w:type="dxa" w:w="120"/>
              <w:bottom w:type="dxa" w:w="90"/>
              <w:right w:type="dxa" w:w="120"/>
            </w:tcMar>
          </w:tcPr>
          <w:p>
            <w:r>
              <w:rPr>
                <w:color w:val="222831"/>
                <w:sz w:val="18"/>
                <w:szCs w:val="18"/>
              </w:rPr>
              <w:t xml:space="preserve">Switched to competitor</w:t>
            </w:r>
          </w:p>
        </w:tc>
        <w:tc>
          <w:tcPr>
            <w:tcW w:type="dxa" w:w="2350"/>
            <w:shd w:fill="F3F4F7" w:val="clear"/>
            <w:tcMar>
              <w:top w:type="dxa" w:w="90"/>
              <w:left w:type="dxa" w:w="120"/>
              <w:bottom w:type="dxa" w:w="90"/>
              <w:right w:type="dxa" w:w="120"/>
            </w:tcMar>
          </w:tcPr>
          <w:p>
            <w:r>
              <w:rPr>
                <w:color w:val="222831"/>
                <w:sz w:val="18"/>
                <w:szCs w:val="18"/>
              </w:rPr>
              <w:t xml:space="preserve">252</w:t>
            </w:r>
          </w:p>
        </w:tc>
        <w:tc>
          <w:tcPr>
            <w:tcW w:type="dxa" w:w="2650"/>
            <w:shd w:fill="F3F4F7" w:val="clear"/>
            <w:tcMar>
              <w:top w:type="dxa" w:w="90"/>
              <w:left w:type="dxa" w:w="120"/>
              <w:bottom w:type="dxa" w:w="90"/>
              <w:right w:type="dxa" w:w="120"/>
            </w:tcMar>
          </w:tcPr>
          <w:p>
            <w:r>
              <w:rPr>
                <w:color w:val="222831"/>
                <w:sz w:val="18"/>
                <w:szCs w:val="18"/>
              </w:rPr>
              <w:t xml:space="preserve">16.9%</w:t>
            </w:r>
          </w:p>
        </w:tc>
      </w:tr>
      <w:tr>
        <w:tc>
          <w:tcPr>
            <w:tcW w:type="dxa" w:w="4300"/>
            <w:shd w:fill="FFFFFF" w:val="clear"/>
            <w:tcMar>
              <w:top w:type="dxa" w:w="90"/>
              <w:left w:type="dxa" w:w="120"/>
              <w:bottom w:type="dxa" w:w="90"/>
              <w:right w:type="dxa" w:w="120"/>
            </w:tcMar>
          </w:tcPr>
          <w:p>
            <w:r>
              <w:rPr>
                <w:color w:val="222831"/>
                <w:sz w:val="18"/>
                <w:szCs w:val="18"/>
              </w:rPr>
              <w:t xml:space="preserve">No longer needed</w:t>
            </w:r>
          </w:p>
        </w:tc>
        <w:tc>
          <w:tcPr>
            <w:tcW w:type="dxa" w:w="2350"/>
            <w:shd w:fill="FFFFFF" w:val="clear"/>
            <w:tcMar>
              <w:top w:type="dxa" w:w="90"/>
              <w:left w:type="dxa" w:w="120"/>
              <w:bottom w:type="dxa" w:w="90"/>
              <w:right w:type="dxa" w:w="120"/>
            </w:tcMar>
          </w:tcPr>
          <w:p>
            <w:r>
              <w:rPr>
                <w:color w:val="222831"/>
                <w:sz w:val="18"/>
                <w:szCs w:val="18"/>
              </w:rPr>
              <w:t xml:space="preserve">216</w:t>
            </w:r>
          </w:p>
        </w:tc>
        <w:tc>
          <w:tcPr>
            <w:tcW w:type="dxa" w:w="2650"/>
            <w:shd w:fill="FFFFFF" w:val="clear"/>
            <w:tcMar>
              <w:top w:type="dxa" w:w="90"/>
              <w:left w:type="dxa" w:w="120"/>
              <w:bottom w:type="dxa" w:w="90"/>
              <w:right w:type="dxa" w:w="120"/>
            </w:tcMar>
          </w:tcPr>
          <w:p>
            <w:r>
              <w:rPr>
                <w:color w:val="222831"/>
                <w:sz w:val="18"/>
                <w:szCs w:val="18"/>
              </w:rPr>
              <w:t xml:space="preserve">14.5%</w:t>
            </w:r>
          </w:p>
        </w:tc>
      </w:tr>
      <w:tr>
        <w:tc>
          <w:tcPr>
            <w:tcW w:type="dxa" w:w="4300"/>
            <w:shd w:fill="F3F4F7" w:val="clear"/>
            <w:tcMar>
              <w:top w:type="dxa" w:w="90"/>
              <w:left w:type="dxa" w:w="120"/>
              <w:bottom w:type="dxa" w:w="90"/>
              <w:right w:type="dxa" w:w="120"/>
            </w:tcMar>
          </w:tcPr>
          <w:p>
            <w:r>
              <w:rPr>
                <w:color w:val="222831"/>
                <w:sz w:val="18"/>
                <w:szCs w:val="18"/>
              </w:rPr>
              <w:t xml:space="preserve">Low product usage</w:t>
            </w:r>
          </w:p>
        </w:tc>
        <w:tc>
          <w:tcPr>
            <w:tcW w:type="dxa" w:w="2350"/>
            <w:shd w:fill="F3F4F7" w:val="clear"/>
            <w:tcMar>
              <w:top w:type="dxa" w:w="90"/>
              <w:left w:type="dxa" w:w="120"/>
              <w:bottom w:type="dxa" w:w="90"/>
              <w:right w:type="dxa" w:w="120"/>
            </w:tcMar>
          </w:tcPr>
          <w:p>
            <w:r>
              <w:rPr>
                <w:color w:val="222831"/>
                <w:sz w:val="18"/>
                <w:szCs w:val="18"/>
              </w:rPr>
              <w:t xml:space="preserve">145</w:t>
            </w:r>
          </w:p>
        </w:tc>
        <w:tc>
          <w:tcPr>
            <w:tcW w:type="dxa" w:w="2650"/>
            <w:shd w:fill="F3F4F7" w:val="clear"/>
            <w:tcMar>
              <w:top w:type="dxa" w:w="90"/>
              <w:left w:type="dxa" w:w="120"/>
              <w:bottom w:type="dxa" w:w="90"/>
              <w:right w:type="dxa" w:w="120"/>
            </w:tcMar>
          </w:tcPr>
          <w:p>
            <w:r>
              <w:rPr>
                <w:color w:val="222831"/>
                <w:sz w:val="18"/>
                <w:szCs w:val="18"/>
              </w:rPr>
              <w:t xml:space="preserve">9.7%</w:t>
            </w:r>
          </w:p>
        </w:tc>
      </w:tr>
    </w:tbl>
    <w:p>
      <w:pPr>
        <w:spacing w:after="300"/>
      </w:pPr>
    </w:p>
    <w:p>
      <w:pPr>
        <w:pStyle w:val="Heading1"/>
        <w:spacing w:after="160" w:before="360"/>
      </w:pPr>
      <w:r>
        <w:rPr>
          <w:b/>
          <w:bCs/>
          <w:color w:val="181A3D"/>
          <w:sz w:val="30"/>
          <w:szCs w:val="30"/>
        </w:rPr>
        <w:t xml:space="preserve">5. Retention by Acquisition Channel</w:t>
      </w:r>
    </w:p>
    <w:p>
      <w:pPr>
        <w:spacing w:after="160" w:line="300"/>
      </w:pPr>
      <w:r>
        <w:rPr>
          <w:color w:val="222831"/>
          <w:sz w:val="22"/>
          <w:szCs w:val="22"/>
        </w:rPr>
        <w:t xml:space="preserve">Not all acquisition channels bring in equally loyal customers. Partnership and Organic Search-acquired customers show meaningfully better retention than customers acquired through Social Media or Paid Ads, suggesting channel quality — not just channel volume — should factor into marketing budget decisions.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2050"/>
      </w:tblGrid>
      <w:tr>
        <w:trPr>
          <w:tblHeader/>
        </w:trPr>
        <w:tc>
          <w:tcPr>
            <w:tcW w:type="dxa" w:w="3300"/>
            <w:shd w:fill="181A3D" w:val="clear"/>
            <w:tcMar>
              <w:top w:type="dxa" w:w="100"/>
              <w:left w:type="dxa" w:w="120"/>
              <w:bottom w:type="dxa" w:w="100"/>
              <w:right w:type="dxa" w:w="120"/>
            </w:tcMar>
          </w:tcPr>
          <w:p>
            <w:r>
              <w:rPr>
                <w:b/>
                <w:bCs/>
                <w:color w:val="FFFFFF"/>
                <w:sz w:val="18"/>
                <w:szCs w:val="18"/>
              </w:rPr>
              <w:t xml:space="preserve">Channel</w:t>
            </w:r>
          </w:p>
        </w:tc>
        <w:tc>
          <w:tcPr>
            <w:tcW w:type="dxa" w:w="2100"/>
            <w:shd w:fill="181A3D" w:val="clear"/>
            <w:tcMar>
              <w:top w:type="dxa" w:w="100"/>
              <w:left w:type="dxa" w:w="120"/>
              <w:bottom w:type="dxa" w:w="100"/>
              <w:right w:type="dxa" w:w="120"/>
            </w:tcMar>
          </w:tcPr>
          <w:p>
            <w:r>
              <w:rPr>
                <w:b/>
                <w:bCs/>
                <w:color w:val="FFFFFF"/>
                <w:sz w:val="18"/>
                <w:szCs w:val="18"/>
              </w:rPr>
              <w:t xml:space="preserve">Customers</w:t>
            </w:r>
          </w:p>
        </w:tc>
        <w:tc>
          <w:tcPr>
            <w:tcW w:type="dxa" w:w="2100"/>
            <w:shd w:fill="181A3D" w:val="clear"/>
            <w:tcMar>
              <w:top w:type="dxa" w:w="100"/>
              <w:left w:type="dxa" w:w="120"/>
              <w:bottom w:type="dxa" w:w="100"/>
              <w:right w:type="dxa" w:w="120"/>
            </w:tcMar>
          </w:tcPr>
          <w:p>
            <w:r>
              <w:rPr>
                <w:b/>
                <w:bCs/>
                <w:color w:val="FFFFFF"/>
                <w:sz w:val="18"/>
                <w:szCs w:val="18"/>
              </w:rPr>
              <w:t xml:space="preserve">Churned</w:t>
            </w:r>
          </w:p>
        </w:tc>
        <w:tc>
          <w:tcPr>
            <w:tcW w:type="dxa" w:w="2050"/>
            <w:shd w:fill="181A3D" w:val="clear"/>
            <w:tcMar>
              <w:top w:type="dxa" w:w="100"/>
              <w:left w:type="dxa" w:w="120"/>
              <w:bottom w:type="dxa" w:w="100"/>
              <w:right w:type="dxa" w:w="120"/>
            </w:tcMar>
          </w:tcPr>
          <w:p>
            <w:r>
              <w:rPr>
                <w:b/>
                <w:bCs/>
                <w:color w:val="FFFFFF"/>
                <w:sz w:val="18"/>
                <w:szCs w:val="18"/>
              </w:rPr>
              <w:t xml:space="preserve">Churn Rate</w:t>
            </w:r>
          </w:p>
        </w:tc>
      </w:tr>
      <w:tr>
        <w:tc>
          <w:tcPr>
            <w:tcW w:type="dxa" w:w="3300"/>
            <w:shd w:fill="FFFFFF" w:val="clear"/>
            <w:tcMar>
              <w:top w:type="dxa" w:w="90"/>
              <w:left w:type="dxa" w:w="120"/>
              <w:bottom w:type="dxa" w:w="90"/>
              <w:right w:type="dxa" w:w="120"/>
            </w:tcMar>
          </w:tcPr>
          <w:p>
            <w:r>
              <w:rPr>
                <w:color w:val="222831"/>
                <w:sz w:val="18"/>
                <w:szCs w:val="18"/>
              </w:rPr>
              <w:t xml:space="preserve">Social Media</w:t>
            </w:r>
          </w:p>
        </w:tc>
        <w:tc>
          <w:tcPr>
            <w:tcW w:type="dxa" w:w="2100"/>
            <w:shd w:fill="FFFFFF" w:val="clear"/>
            <w:tcMar>
              <w:top w:type="dxa" w:w="90"/>
              <w:left w:type="dxa" w:w="120"/>
              <w:bottom w:type="dxa" w:w="90"/>
              <w:right w:type="dxa" w:w="120"/>
            </w:tcMar>
          </w:tcPr>
          <w:p>
            <w:r>
              <w:rPr>
                <w:color w:val="222831"/>
                <w:sz w:val="18"/>
                <w:szCs w:val="18"/>
              </w:rPr>
              <w:t xml:space="preserve">742</w:t>
            </w:r>
          </w:p>
        </w:tc>
        <w:tc>
          <w:tcPr>
            <w:tcW w:type="dxa" w:w="2100"/>
            <w:shd w:fill="FFFFFF" w:val="clear"/>
            <w:tcMar>
              <w:top w:type="dxa" w:w="90"/>
              <w:left w:type="dxa" w:w="120"/>
              <w:bottom w:type="dxa" w:w="90"/>
              <w:right w:type="dxa" w:w="120"/>
            </w:tcMar>
          </w:tcPr>
          <w:p>
            <w:r>
              <w:rPr>
                <w:color w:val="222831"/>
                <w:sz w:val="18"/>
                <w:szCs w:val="18"/>
              </w:rPr>
              <w:t xml:space="preserve">263</w:t>
            </w:r>
          </w:p>
        </w:tc>
        <w:tc>
          <w:tcPr>
            <w:tcW w:type="dxa" w:w="2050"/>
            <w:shd w:fill="FFFFFF" w:val="clear"/>
            <w:tcMar>
              <w:top w:type="dxa" w:w="90"/>
              <w:left w:type="dxa" w:w="120"/>
              <w:bottom w:type="dxa" w:w="90"/>
              <w:right w:type="dxa" w:w="120"/>
            </w:tcMar>
          </w:tcPr>
          <w:p>
            <w:r>
              <w:rPr>
                <w:color w:val="222831"/>
                <w:sz w:val="18"/>
                <w:szCs w:val="18"/>
              </w:rPr>
              <w:t xml:space="preserve">35.4%</w:t>
            </w:r>
          </w:p>
        </w:tc>
      </w:tr>
      <w:tr>
        <w:tc>
          <w:tcPr>
            <w:tcW w:type="dxa" w:w="3300"/>
            <w:shd w:fill="F3F4F7" w:val="clear"/>
            <w:tcMar>
              <w:top w:type="dxa" w:w="90"/>
              <w:left w:type="dxa" w:w="120"/>
              <w:bottom w:type="dxa" w:w="90"/>
              <w:right w:type="dxa" w:w="120"/>
            </w:tcMar>
          </w:tcPr>
          <w:p>
            <w:r>
              <w:rPr>
                <w:color w:val="222831"/>
                <w:sz w:val="18"/>
                <w:szCs w:val="18"/>
              </w:rPr>
              <w:t xml:space="preserve">Paid Ads</w:t>
            </w:r>
          </w:p>
        </w:tc>
        <w:tc>
          <w:tcPr>
            <w:tcW w:type="dxa" w:w="2100"/>
            <w:shd w:fill="F3F4F7" w:val="clear"/>
            <w:tcMar>
              <w:top w:type="dxa" w:w="90"/>
              <w:left w:type="dxa" w:w="120"/>
              <w:bottom w:type="dxa" w:w="90"/>
              <w:right w:type="dxa" w:w="120"/>
            </w:tcMar>
          </w:tcPr>
          <w:p>
            <w:r>
              <w:rPr>
                <w:color w:val="222831"/>
                <w:sz w:val="18"/>
                <w:szCs w:val="18"/>
              </w:rPr>
              <w:t xml:space="preserve">1214</w:t>
            </w:r>
          </w:p>
        </w:tc>
        <w:tc>
          <w:tcPr>
            <w:tcW w:type="dxa" w:w="2100"/>
            <w:shd w:fill="F3F4F7" w:val="clear"/>
            <w:tcMar>
              <w:top w:type="dxa" w:w="90"/>
              <w:left w:type="dxa" w:w="120"/>
              <w:bottom w:type="dxa" w:w="90"/>
              <w:right w:type="dxa" w:w="120"/>
            </w:tcMar>
          </w:tcPr>
          <w:p>
            <w:r>
              <w:rPr>
                <w:color w:val="222831"/>
                <w:sz w:val="18"/>
                <w:szCs w:val="18"/>
              </w:rPr>
              <w:t xml:space="preserve">413</w:t>
            </w:r>
          </w:p>
        </w:tc>
        <w:tc>
          <w:tcPr>
            <w:tcW w:type="dxa" w:w="2050"/>
            <w:shd w:fill="F3F4F7" w:val="clear"/>
            <w:tcMar>
              <w:top w:type="dxa" w:w="90"/>
              <w:left w:type="dxa" w:w="120"/>
              <w:bottom w:type="dxa" w:w="90"/>
              <w:right w:type="dxa" w:w="120"/>
            </w:tcMar>
          </w:tcPr>
          <w:p>
            <w:r>
              <w:rPr>
                <w:color w:val="222831"/>
                <w:sz w:val="18"/>
                <w:szCs w:val="18"/>
              </w:rPr>
              <w:t xml:space="preserve">34.0%</w:t>
            </w:r>
          </w:p>
        </w:tc>
      </w:tr>
      <w:tr>
        <w:tc>
          <w:tcPr>
            <w:tcW w:type="dxa" w:w="3300"/>
            <w:shd w:fill="FFFFFF" w:val="clear"/>
            <w:tcMar>
              <w:top w:type="dxa" w:w="90"/>
              <w:left w:type="dxa" w:w="120"/>
              <w:bottom w:type="dxa" w:w="90"/>
              <w:right w:type="dxa" w:w="120"/>
            </w:tcMar>
          </w:tcPr>
          <w:p>
            <w:r>
              <w:rPr>
                <w:color w:val="222831"/>
                <w:sz w:val="18"/>
                <w:szCs w:val="18"/>
              </w:rPr>
              <w:t xml:space="preserve">Referral</w:t>
            </w:r>
          </w:p>
        </w:tc>
        <w:tc>
          <w:tcPr>
            <w:tcW w:type="dxa" w:w="2100"/>
            <w:shd w:fill="FFFFFF" w:val="clear"/>
            <w:tcMar>
              <w:top w:type="dxa" w:w="90"/>
              <w:left w:type="dxa" w:w="120"/>
              <w:bottom w:type="dxa" w:w="90"/>
              <w:right w:type="dxa" w:w="120"/>
            </w:tcMar>
          </w:tcPr>
          <w:p>
            <w:r>
              <w:rPr>
                <w:color w:val="222831"/>
                <w:sz w:val="18"/>
                <w:szCs w:val="18"/>
              </w:rPr>
              <w:t xml:space="preserve">934</w:t>
            </w:r>
          </w:p>
        </w:tc>
        <w:tc>
          <w:tcPr>
            <w:tcW w:type="dxa" w:w="2100"/>
            <w:shd w:fill="FFFFFF" w:val="clear"/>
            <w:tcMar>
              <w:top w:type="dxa" w:w="90"/>
              <w:left w:type="dxa" w:w="120"/>
              <w:bottom w:type="dxa" w:w="90"/>
              <w:right w:type="dxa" w:w="120"/>
            </w:tcMar>
          </w:tcPr>
          <w:p>
            <w:r>
              <w:rPr>
                <w:color w:val="222831"/>
                <w:sz w:val="18"/>
                <w:szCs w:val="18"/>
              </w:rPr>
              <w:t xml:space="preserve">305</w:t>
            </w:r>
          </w:p>
        </w:tc>
        <w:tc>
          <w:tcPr>
            <w:tcW w:type="dxa" w:w="2050"/>
            <w:shd w:fill="FFFFFF" w:val="clear"/>
            <w:tcMar>
              <w:top w:type="dxa" w:w="90"/>
              <w:left w:type="dxa" w:w="120"/>
              <w:bottom w:type="dxa" w:w="90"/>
              <w:right w:type="dxa" w:w="120"/>
            </w:tcMar>
          </w:tcPr>
          <w:p>
            <w:r>
              <w:rPr>
                <w:color w:val="222831"/>
                <w:sz w:val="18"/>
                <w:szCs w:val="18"/>
              </w:rPr>
              <w:t xml:space="preserve">32.7%</w:t>
            </w:r>
          </w:p>
        </w:tc>
      </w:tr>
      <w:tr>
        <w:tc>
          <w:tcPr>
            <w:tcW w:type="dxa" w:w="3300"/>
            <w:shd w:fill="F3F4F7" w:val="clear"/>
            <w:tcMar>
              <w:top w:type="dxa" w:w="90"/>
              <w:left w:type="dxa" w:w="120"/>
              <w:bottom w:type="dxa" w:w="90"/>
              <w:right w:type="dxa" w:w="120"/>
            </w:tcMar>
          </w:tcPr>
          <w:p>
            <w:r>
              <w:rPr>
                <w:color w:val="222831"/>
                <w:sz w:val="18"/>
                <w:szCs w:val="18"/>
              </w:rPr>
              <w:t xml:space="preserve">Organic Search</w:t>
            </w:r>
          </w:p>
        </w:tc>
        <w:tc>
          <w:tcPr>
            <w:tcW w:type="dxa" w:w="2100"/>
            <w:shd w:fill="F3F4F7" w:val="clear"/>
            <w:tcMar>
              <w:top w:type="dxa" w:w="90"/>
              <w:left w:type="dxa" w:w="120"/>
              <w:bottom w:type="dxa" w:w="90"/>
              <w:right w:type="dxa" w:w="120"/>
            </w:tcMar>
          </w:tcPr>
          <w:p>
            <w:r>
              <w:rPr>
                <w:color w:val="222831"/>
                <w:sz w:val="18"/>
                <w:szCs w:val="18"/>
              </w:rPr>
              <w:t xml:space="preserve">1397</w:t>
            </w:r>
          </w:p>
        </w:tc>
        <w:tc>
          <w:tcPr>
            <w:tcW w:type="dxa" w:w="2100"/>
            <w:shd w:fill="F3F4F7" w:val="clear"/>
            <w:tcMar>
              <w:top w:type="dxa" w:w="90"/>
              <w:left w:type="dxa" w:w="120"/>
              <w:bottom w:type="dxa" w:w="90"/>
              <w:right w:type="dxa" w:w="120"/>
            </w:tcMar>
          </w:tcPr>
          <w:p>
            <w:r>
              <w:rPr>
                <w:color w:val="222831"/>
                <w:sz w:val="18"/>
                <w:szCs w:val="18"/>
              </w:rPr>
              <w:t xml:space="preserve">419</w:t>
            </w:r>
          </w:p>
        </w:tc>
        <w:tc>
          <w:tcPr>
            <w:tcW w:type="dxa" w:w="2050"/>
            <w:shd w:fill="F3F4F7" w:val="clear"/>
            <w:tcMar>
              <w:top w:type="dxa" w:w="90"/>
              <w:left w:type="dxa" w:w="120"/>
              <w:bottom w:type="dxa" w:w="90"/>
              <w:right w:type="dxa" w:w="120"/>
            </w:tcMar>
          </w:tcPr>
          <w:p>
            <w:r>
              <w:rPr>
                <w:color w:val="222831"/>
                <w:sz w:val="18"/>
                <w:szCs w:val="18"/>
              </w:rPr>
              <w:t xml:space="preserve">30.0%</w:t>
            </w:r>
          </w:p>
        </w:tc>
      </w:tr>
      <w:tr>
        <w:tc>
          <w:tcPr>
            <w:tcW w:type="dxa" w:w="3300"/>
            <w:shd w:fill="FFFFFF" w:val="clear"/>
            <w:tcMar>
              <w:top w:type="dxa" w:w="90"/>
              <w:left w:type="dxa" w:w="120"/>
              <w:bottom w:type="dxa" w:w="90"/>
              <w:right w:type="dxa" w:w="120"/>
            </w:tcMar>
          </w:tcPr>
          <w:p>
            <w:r>
              <w:rPr>
                <w:color w:val="222831"/>
                <w:sz w:val="18"/>
                <w:szCs w:val="18"/>
              </w:rPr>
              <w:t xml:space="preserve">Partnership</w:t>
            </w:r>
          </w:p>
        </w:tc>
        <w:tc>
          <w:tcPr>
            <w:tcW w:type="dxa" w:w="2100"/>
            <w:shd w:fill="FFFFFF" w:val="clear"/>
            <w:tcMar>
              <w:top w:type="dxa" w:w="90"/>
              <w:left w:type="dxa" w:w="120"/>
              <w:bottom w:type="dxa" w:w="90"/>
              <w:right w:type="dxa" w:w="120"/>
            </w:tcMar>
          </w:tcPr>
          <w:p>
            <w:r>
              <w:rPr>
                <w:color w:val="222831"/>
                <w:sz w:val="18"/>
                <w:szCs w:val="18"/>
              </w:rPr>
              <w:t xml:space="preserve">349</w:t>
            </w:r>
          </w:p>
        </w:tc>
        <w:tc>
          <w:tcPr>
            <w:tcW w:type="dxa" w:w="2100"/>
            <w:shd w:fill="FFFFFF" w:val="clear"/>
            <w:tcMar>
              <w:top w:type="dxa" w:w="90"/>
              <w:left w:type="dxa" w:w="120"/>
              <w:bottom w:type="dxa" w:w="90"/>
              <w:right w:type="dxa" w:w="120"/>
            </w:tcMar>
          </w:tcPr>
          <w:p>
            <w:r>
              <w:rPr>
                <w:color w:val="222831"/>
                <w:sz w:val="18"/>
                <w:szCs w:val="18"/>
              </w:rPr>
              <w:t xml:space="preserve">91</w:t>
            </w:r>
          </w:p>
        </w:tc>
        <w:tc>
          <w:tcPr>
            <w:tcW w:type="dxa" w:w="2050"/>
            <w:shd w:fill="FFFFFF" w:val="clear"/>
            <w:tcMar>
              <w:top w:type="dxa" w:w="90"/>
              <w:left w:type="dxa" w:w="120"/>
              <w:bottom w:type="dxa" w:w="90"/>
              <w:right w:type="dxa" w:w="120"/>
            </w:tcMar>
          </w:tcPr>
          <w:p>
            <w:r>
              <w:rPr>
                <w:color w:val="222831"/>
                <w:sz w:val="18"/>
                <w:szCs w:val="18"/>
              </w:rPr>
              <w:t xml:space="preserve">26.1%</w:t>
            </w:r>
          </w:p>
        </w:tc>
      </w:tr>
    </w:tbl>
    <w:p>
      <w:pPr>
        <w:spacing w:after="300"/>
      </w:pPr>
    </w:p>
    <w:p>
      <w:pPr>
        <w:pStyle w:val="Heading1"/>
        <w:spacing w:after="160" w:before="360"/>
      </w:pPr>
      <w:r>
        <w:rPr>
          <w:b/>
          <w:bCs/>
          <w:color w:val="181A3D"/>
          <w:sz w:val="30"/>
          <w:szCs w:val="30"/>
        </w:rPr>
        <w:t xml:space="preserve">6. Key Business Insights</w:t>
      </w:r>
    </w:p>
    <w:p>
      <w:pPr>
        <w:pStyle w:val="ListParagraph"/>
        <w:numPr>
          <w:ilvl w:val="0"/>
          <w:numId w:val="2"/>
        </w:numPr>
        <w:spacing w:after="120" w:line="290"/>
      </w:pPr>
      <w:r>
        <w:rPr>
          <w:color w:val="222831"/>
          <w:sz w:val="22"/>
          <w:szCs w:val="22"/>
        </w:rPr>
        <w:t xml:space="preserve">Overall churn stands at 32.2%, with the sharpest drop-off happening in the first 3 months after signup.</w:t>
      </w:r>
    </w:p>
    <w:p>
      <w:pPr>
        <w:pStyle w:val="ListParagraph"/>
        <w:numPr>
          <w:ilvl w:val="0"/>
          <w:numId w:val="2"/>
        </w:numPr>
        <w:spacing w:after="120" w:line="290"/>
      </w:pPr>
      <w:r>
        <w:rPr>
          <w:color w:val="222831"/>
          <w:sz w:val="22"/>
          <w:szCs w:val="22"/>
        </w:rPr>
        <w:t xml:space="preserve">Basic plan customers churn at nearly double the rate of Enterprise customers — cheaper plans attract less-committed customers.</w:t>
      </w:r>
    </w:p>
    <w:p>
      <w:pPr>
        <w:pStyle w:val="ListParagraph"/>
        <w:numPr>
          <w:ilvl w:val="0"/>
          <w:numId w:val="2"/>
        </w:numPr>
        <w:spacing w:after="120" w:line="290"/>
      </w:pPr>
      <w:r>
        <w:rPr>
          <w:color w:val="222831"/>
          <w:sz w:val="22"/>
          <w:szCs w:val="22"/>
        </w:rPr>
        <w:t xml:space="preserve">Missing features and pricing concerns together account for over 40% of stated churn reasons, ahead of support-related complaints.</w:t>
      </w:r>
    </w:p>
    <w:p>
      <w:pPr>
        <w:pStyle w:val="ListParagraph"/>
        <w:numPr>
          <w:ilvl w:val="0"/>
          <w:numId w:val="2"/>
        </w:numPr>
        <w:spacing w:after="120" w:line="290"/>
      </w:pPr>
      <w:r>
        <w:rPr>
          <w:color w:val="222831"/>
          <w:sz w:val="22"/>
          <w:szCs w:val="22"/>
        </w:rPr>
        <w:t xml:space="preserve">Low product engagement is a leading indicator: customers in the lowest usage bracket churn at meaningfully higher rates than highly engaged users.</w:t>
      </w:r>
    </w:p>
    <w:p>
      <w:pPr>
        <w:pStyle w:val="ListParagraph"/>
        <w:numPr>
          <w:ilvl w:val="0"/>
          <w:numId w:val="2"/>
        </w:numPr>
        <w:spacing w:after="120" w:line="290"/>
      </w:pPr>
      <w:r>
        <w:rPr>
          <w:color w:val="222831"/>
          <w:sz w:val="22"/>
          <w:szCs w:val="22"/>
        </w:rPr>
        <w:t xml:space="preserve">Customers who raise 5+ support tickets churn substantially more often than those with zero tickets — unresolved friction predicts churn.</w:t>
      </w:r>
    </w:p>
    <w:p>
      <w:pPr>
        <w:pStyle w:val="ListParagraph"/>
        <w:numPr>
          <w:ilvl w:val="0"/>
          <w:numId w:val="2"/>
        </w:numPr>
        <w:spacing w:after="120" w:line="290"/>
      </w:pPr>
      <w:r>
        <w:rPr>
          <w:color w:val="222831"/>
          <w:sz w:val="22"/>
          <w:szCs w:val="22"/>
        </w:rPr>
        <w:t xml:space="preserve">Partnership-acquired customers churn the least; Social Media-acquired customers churn the most — acquisition source affects long-term retention.</w:t>
      </w:r>
    </w:p>
    <w:p>
      <w:pPr>
        <w:pStyle w:val="Heading1"/>
        <w:spacing w:after="160" w:before="360"/>
      </w:pPr>
      <w:r>
        <w:rPr>
          <w:b/>
          <w:bCs/>
          <w:color w:val="181A3D"/>
          <w:sz w:val="30"/>
          <w:szCs w:val="30"/>
        </w:rPr>
        <w:t xml:space="preserve">7. Strategic Recommendations</w:t>
      </w:r>
    </w:p>
    <w:p>
      <w:pPr>
        <w:spacing w:after="60" w:before="160"/>
      </w:pPr>
      <w:r>
        <w:rPr>
          <w:b/>
          <w:bCs/>
          <w:color w:val="181A3D"/>
          <w:sz w:val="22"/>
          <w:szCs w:val="22"/>
        </w:rPr>
        <w:t xml:space="preserve">1. Fix the first 90 days</w:t>
      </w:r>
    </w:p>
    <w:p>
      <w:pPr>
        <w:spacing w:after="160" w:line="300"/>
      </w:pPr>
      <w:r>
        <w:rPr>
          <w:color w:val="222831"/>
          <w:sz w:val="22"/>
          <w:szCs w:val="22"/>
        </w:rPr>
        <w:t xml:space="preserve">Build a structured onboarding flow — milestone-based emails, in-app checklists, and an early check-in — since most churn happens before month 3.</w:t>
      </w:r>
    </w:p>
    <w:p>
      <w:pPr>
        <w:spacing w:after="60" w:before="160"/>
      </w:pPr>
      <w:r>
        <w:rPr>
          <w:b/>
          <w:bCs/>
          <w:color w:val="181A3D"/>
          <w:sz w:val="22"/>
          <w:szCs w:val="22"/>
        </w:rPr>
        <w:t xml:space="preserve">2. Re-position the Basic plan</w:t>
      </w:r>
    </w:p>
    <w:p>
      <w:pPr>
        <w:spacing w:after="160" w:line="300"/>
      </w:pPr>
      <w:r>
        <w:rPr>
          <w:color w:val="222831"/>
          <w:sz w:val="22"/>
          <w:szCs w:val="22"/>
        </w:rPr>
        <w:t xml:space="preserve">Either enrich the Basic tier's feature set to reduce cancellations, or use usage-based prompts to guide engaged Basic users toward Pro.</w:t>
      </w:r>
    </w:p>
    <w:p>
      <w:pPr>
        <w:spacing w:after="60" w:before="160"/>
      </w:pPr>
      <w:r>
        <w:rPr>
          <w:b/>
          <w:bCs/>
          <w:color w:val="181A3D"/>
          <w:sz w:val="22"/>
          <w:szCs w:val="22"/>
        </w:rPr>
        <w:t xml:space="preserve">3. Close the feature gap</w:t>
      </w:r>
    </w:p>
    <w:p>
      <w:pPr>
        <w:spacing w:after="160" w:line="300"/>
      </w:pPr>
      <w:r>
        <w:rPr>
          <w:color w:val="222831"/>
          <w:sz w:val="22"/>
          <w:szCs w:val="22"/>
        </w:rPr>
        <w:t xml:space="preserve">Prioritize product roadmap items around the most-cited 'missing features' reason in churn exit surveys — this is the single largest stated cause of churn.</w:t>
      </w:r>
    </w:p>
    <w:p>
      <w:pPr>
        <w:spacing w:after="60" w:before="160"/>
      </w:pPr>
      <w:r>
        <w:rPr>
          <w:b/>
          <w:bCs/>
          <w:color w:val="181A3D"/>
          <w:sz w:val="22"/>
          <w:szCs w:val="22"/>
        </w:rPr>
        <w:t xml:space="preserve">4. Trigger proactive outreach on low usage</w:t>
      </w:r>
    </w:p>
    <w:p>
      <w:pPr>
        <w:spacing w:after="160" w:line="300"/>
      </w:pPr>
      <w:r>
        <w:rPr>
          <w:color w:val="222831"/>
          <w:sz w:val="22"/>
          <w:szCs w:val="22"/>
        </w:rPr>
        <w:t xml:space="preserve">Flag accounts whose usage score drops below 50 for a check-in or re-engagement campaign before they reach the cancellation flow.</w:t>
      </w:r>
    </w:p>
    <w:p>
      <w:pPr>
        <w:spacing w:after="60" w:before="160"/>
      </w:pPr>
      <w:r>
        <w:rPr>
          <w:b/>
          <w:bCs/>
          <w:color w:val="181A3D"/>
          <w:sz w:val="22"/>
          <w:szCs w:val="22"/>
        </w:rPr>
        <w:t xml:space="preserve">5. Tighten support SLAs</w:t>
      </w:r>
    </w:p>
    <w:p>
      <w:pPr>
        <w:spacing w:after="160" w:line="300"/>
      </w:pPr>
      <w:r>
        <w:rPr>
          <w:color w:val="222831"/>
          <w:sz w:val="22"/>
          <w:szCs w:val="22"/>
        </w:rPr>
        <w:t xml:space="preserve">Treat support ticket count as an early-warning churn signal, not just an operational support metric, and prioritize faster resolution for repeat contacts.</w:t>
      </w:r>
    </w:p>
    <w:p>
      <w:pPr>
        <w:spacing w:after="60" w:before="160"/>
      </w:pPr>
      <w:r>
        <w:rPr>
          <w:b/>
          <w:bCs/>
          <w:color w:val="181A3D"/>
          <w:sz w:val="22"/>
          <w:szCs w:val="22"/>
        </w:rPr>
        <w:t xml:space="preserve">6. Rebalance acquisition spend</w:t>
      </w:r>
    </w:p>
    <w:p>
      <w:pPr>
        <w:spacing w:after="160" w:line="300"/>
      </w:pPr>
      <w:r>
        <w:rPr>
          <w:color w:val="222831"/>
          <w:sz w:val="22"/>
          <w:szCs w:val="22"/>
        </w:rPr>
        <w:t xml:space="preserve">Shift incremental marketing budget toward Partnership and Organic channels, which bring in the stickiest, longest-retained customers.</w:t>
      </w:r>
    </w:p>
    <w:p>
      <w:pPr>
        <w:pStyle w:val="Heading1"/>
        <w:spacing w:after="160" w:before="360"/>
      </w:pPr>
      <w:r>
        <w:rPr>
          <w:b/>
          <w:bCs/>
          <w:color w:val="181A3D"/>
          <w:sz w:val="30"/>
          <w:szCs w:val="30"/>
        </w:rPr>
        <w:t xml:space="preserve">8. Methodology &amp; Data Notes</w:t>
      </w:r>
    </w:p>
    <w:p>
      <w:pPr>
        <w:pStyle w:val="ListParagraph"/>
        <w:numPr>
          <w:ilvl w:val="0"/>
          <w:numId w:val="1"/>
        </w:numPr>
        <w:spacing w:after="100" w:line="290"/>
      </w:pPr>
      <w:r>
        <w:rPr>
          <w:color w:val="222831"/>
          <w:sz w:val="22"/>
          <w:szCs w:val="22"/>
        </w:rPr>
        <w:t xml:space="preserve">Dataset: simulated SaaS subscription data (Jan 2024 - Dec 2025), covering Customer ID, Signup Date, Plan, Region, Acquisition Channel, Monthly Revenue, Support Tickets, Usage Score, Satisfaction Score, Tenure, Churn Status, Churn Date and Churn Reason.</w:t>
      </w:r>
    </w:p>
    <w:p>
      <w:pPr>
        <w:pStyle w:val="ListParagraph"/>
        <w:numPr>
          <w:ilvl w:val="0"/>
          <w:numId w:val="1"/>
        </w:numPr>
        <w:spacing w:after="100" w:line="290"/>
      </w:pPr>
      <w:r>
        <w:rPr>
          <w:color w:val="222831"/>
          <w:sz w:val="22"/>
          <w:szCs w:val="22"/>
        </w:rPr>
        <w:t xml:space="preserve">Analysis performed in Python (pandas): cohort construction, monthly retention curves, churn-rate segmentation by plan/region/usage/support, and churn-reason breakdown.</w:t>
      </w:r>
    </w:p>
    <w:p>
      <w:pPr>
        <w:pStyle w:val="ListParagraph"/>
        <w:numPr>
          <w:ilvl w:val="0"/>
          <w:numId w:val="1"/>
        </w:numPr>
        <w:spacing w:after="100" w:line="290"/>
      </w:pPr>
      <w:r>
        <w:rPr>
          <w:color w:val="222831"/>
          <w:sz w:val="22"/>
          <w:szCs w:val="22"/>
        </w:rPr>
        <w:t xml:space="preserve">Dashboard built with HTML/CSS/JavaScript (Chart.js) for an interactive, client-ready view; this document summarizes the same findings in report form.</w:t>
      </w:r>
    </w:p>
    <w:p>
      <w:pPr>
        <w:pStyle w:val="ListParagraph"/>
        <w:numPr>
          <w:ilvl w:val="0"/>
          <w:numId w:val="1"/>
        </w:numPr>
        <w:spacing w:after="100" w:line="290"/>
      </w:pPr>
      <w:r>
        <w:rPr>
          <w:color w:val="222831"/>
          <w:sz w:val="22"/>
          <w:szCs w:val="22"/>
        </w:rPr>
        <w:t xml:space="preserve">This dataset is simulated for demonstration. When applying this framework to a real business, replace the source file with actual CRM/billing export data — the analysis pipeline and report structure remain unchanged.</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Orbit SaaS — Customer Retention &amp; Churn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2026-07-01T09:37:36.790Z</dcterms:created>
  <dcterms:modified xsi:type="dcterms:W3CDTF">2026-07-01T09:37:36.790Z</dcterms:modified>
</cp:coreProperties>
</file>

<file path=docProps/custom.xml><?xml version="1.0" encoding="utf-8"?>
<Properties xmlns="http://schemas.openxmlformats.org/officeDocument/2006/custom-properties" xmlns:vt="http://schemas.openxmlformats.org/officeDocument/2006/docPropsVTypes"/>
</file>