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 Finance Head</w:t>
        <w:br w:type="textWrapping"/>
        <w:t xml:space="preserve">From: Accounts Team</w:t>
        <w:br w:type="textWrapping"/>
        <w:t xml:space="preserve">Date: 31/03/2026</w:t>
        <w:br w:type="textWrapping"/>
        <w:t xml:space="preserve">Subject: Bank Reconciliation Findings (Jan–Mar 2026)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memo summarizes the findings from the bank reconciliation of Arka Tea Traders Pvt Ltd for the period January to March 2026.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reconciliation identified several discrepancies between the Zoho ledger and the bank statement. The most significant issue was an opening balance mismatch of ₹7,850.50, indicating a prior-period error. Additionally, bank charges and interest income entries were recorded in the bank statement but not in Zoho, resulting in further differences. A few transactions were identified as timing differences, such as cheques issued but not yet presented and deposits cleared on different dates.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causes of these discrepancies include lack of regular reconciliation, delayed recording of bank-originated transactions, and absence of a proper review mechanism. Manual entry of transactions in Zoho has also contributed to inconsistencies.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prevent such issues in the future, it is recommended that the company perform monthly bank reconciliations, enable automated bank feeds in Zoho Books, and implement a maker-checker system for reviewing transactions. Additionally, periodic checks of opening balances should be conducted to ensure accuracy.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&amp; Guardrails Applied:</w:t>
        <w:br w:type="textWrapping"/>
        <w:t xml:space="preserve">The reconciliation has been verified by cross-checking transaction dates, amounts, and descriptions between the Zoho ledger and the bank statement. AI-assisted outputs were manually reviewed to ensure accuracy and consistency.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used: ChatGPT. Approximate share: 40%.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